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44DA3" w14:textId="77777777" w:rsidR="00BB3EE1" w:rsidRDefault="00BB3EE1" w:rsidP="00D65ED0">
      <w:pPr>
        <w:jc w:val="right"/>
        <w:rPr>
          <w:rFonts w:ascii="Arial Narrow" w:hAnsi="Arial Narrow"/>
          <w:sz w:val="22"/>
          <w:szCs w:val="22"/>
        </w:rPr>
      </w:pPr>
    </w:p>
    <w:p w14:paraId="2BB396F9" w14:textId="21BD5F2F" w:rsidR="00BB3EE1" w:rsidRDefault="00BB3EE1" w:rsidP="00D65ED0">
      <w:pPr>
        <w:jc w:val="right"/>
        <w:rPr>
          <w:rFonts w:ascii="Arial Narrow" w:hAnsi="Arial Narrow"/>
          <w:sz w:val="22"/>
          <w:szCs w:val="22"/>
        </w:rPr>
      </w:pPr>
    </w:p>
    <w:p w14:paraId="232C0615" w14:textId="77777777" w:rsidR="00BB3EE1" w:rsidRDefault="00BB3EE1" w:rsidP="00D65ED0">
      <w:pPr>
        <w:jc w:val="right"/>
        <w:rPr>
          <w:rFonts w:ascii="Arial Narrow" w:hAnsi="Arial Narrow"/>
          <w:sz w:val="22"/>
          <w:szCs w:val="22"/>
        </w:rPr>
      </w:pPr>
    </w:p>
    <w:p w14:paraId="55B5AB8F" w14:textId="335D2126" w:rsidR="00D65ED0" w:rsidRPr="00F148AD" w:rsidRDefault="00D65ED0" w:rsidP="00D65ED0">
      <w:pPr>
        <w:jc w:val="right"/>
        <w:rPr>
          <w:rFonts w:ascii="Arial Narrow" w:hAnsi="Arial Narrow"/>
          <w:color w:val="000000"/>
          <w:sz w:val="22"/>
          <w:szCs w:val="22"/>
        </w:rPr>
      </w:pPr>
      <w:r w:rsidRPr="00F148AD">
        <w:rPr>
          <w:rFonts w:ascii="Arial Narrow" w:hAnsi="Arial Narrow"/>
          <w:sz w:val="22"/>
          <w:szCs w:val="22"/>
        </w:rPr>
        <w:t xml:space="preserve">Załącznik Nr </w:t>
      </w:r>
      <w:r w:rsidR="00076F07">
        <w:rPr>
          <w:rFonts w:ascii="Arial Narrow" w:hAnsi="Arial Narrow"/>
          <w:sz w:val="22"/>
          <w:szCs w:val="22"/>
        </w:rPr>
        <w:t>2</w:t>
      </w:r>
      <w:r w:rsidR="00AE4C41">
        <w:rPr>
          <w:rFonts w:ascii="Arial Narrow" w:hAnsi="Arial Narrow"/>
          <w:sz w:val="22"/>
          <w:szCs w:val="22"/>
        </w:rPr>
        <w:t>/</w:t>
      </w:r>
      <w:r w:rsidR="00076F07">
        <w:rPr>
          <w:rFonts w:ascii="Arial Narrow" w:hAnsi="Arial Narrow"/>
          <w:sz w:val="22"/>
          <w:szCs w:val="22"/>
        </w:rPr>
        <w:t>3</w:t>
      </w:r>
    </w:p>
    <w:p w14:paraId="358379D2" w14:textId="77777777" w:rsidR="00D65ED0" w:rsidRPr="00F148AD" w:rsidRDefault="00D65ED0" w:rsidP="00D65ED0">
      <w:pPr>
        <w:keepNext/>
        <w:jc w:val="center"/>
        <w:outlineLvl w:val="1"/>
        <w:rPr>
          <w:rFonts w:ascii="Arial Narrow" w:hAnsi="Arial Narrow" w:cs="Arial"/>
          <w:b/>
          <w:bCs/>
          <w:iCs/>
          <w:sz w:val="22"/>
          <w:szCs w:val="22"/>
          <w:u w:val="single"/>
        </w:rPr>
      </w:pPr>
      <w:r w:rsidRPr="00F148AD">
        <w:rPr>
          <w:rFonts w:ascii="Arial Narrow" w:hAnsi="Arial Narrow" w:cs="Arial"/>
          <w:b/>
          <w:bCs/>
          <w:iCs/>
          <w:sz w:val="22"/>
          <w:szCs w:val="22"/>
          <w:u w:val="single"/>
        </w:rPr>
        <w:t>Wymagania i parametry techniczne</w:t>
      </w:r>
    </w:p>
    <w:p w14:paraId="0FE54436" w14:textId="77777777" w:rsidR="00D65ED0" w:rsidRPr="00F148AD" w:rsidRDefault="00D65ED0" w:rsidP="00D65ED0">
      <w:pPr>
        <w:keepNext/>
        <w:jc w:val="center"/>
        <w:outlineLvl w:val="1"/>
        <w:rPr>
          <w:rFonts w:ascii="Arial Narrow" w:hAnsi="Arial Narrow" w:cs="Arial"/>
          <w:b/>
          <w:bCs/>
          <w:iCs/>
          <w:sz w:val="22"/>
          <w:szCs w:val="22"/>
          <w:u w:val="single"/>
        </w:rPr>
      </w:pPr>
    </w:p>
    <w:p w14:paraId="697673B4" w14:textId="689E5501" w:rsidR="00D65ED0" w:rsidRPr="00F148AD" w:rsidRDefault="00D65ED0" w:rsidP="00D65ED0">
      <w:pPr>
        <w:keepNext/>
        <w:outlineLvl w:val="1"/>
        <w:rPr>
          <w:rFonts w:ascii="Arial Narrow" w:hAnsi="Arial Narrow" w:cs="Arial"/>
          <w:b/>
          <w:bCs/>
          <w:iCs/>
          <w:sz w:val="22"/>
          <w:szCs w:val="22"/>
          <w:u w:val="single"/>
        </w:rPr>
      </w:pPr>
    </w:p>
    <w:p w14:paraId="0041A10D" w14:textId="77777777" w:rsidR="00D65ED0" w:rsidRPr="00F148AD" w:rsidRDefault="00D65ED0" w:rsidP="00D65ED0">
      <w:pPr>
        <w:rPr>
          <w:rFonts w:ascii="Arial Narrow" w:hAnsi="Arial Narrow"/>
          <w:sz w:val="22"/>
          <w:szCs w:val="22"/>
        </w:rPr>
      </w:pPr>
    </w:p>
    <w:p w14:paraId="70CC2F56" w14:textId="617605EA" w:rsidR="00D65ED0" w:rsidRPr="00F148AD" w:rsidRDefault="00D65ED0" w:rsidP="00D65ED0">
      <w:pPr>
        <w:jc w:val="both"/>
        <w:rPr>
          <w:rFonts w:ascii="Arial Narrow" w:hAnsi="Arial Narrow"/>
          <w:sz w:val="22"/>
          <w:szCs w:val="22"/>
        </w:rPr>
      </w:pPr>
      <w:r w:rsidRPr="00F148AD">
        <w:rPr>
          <w:rFonts w:ascii="Arial Narrow" w:hAnsi="Arial Narrow"/>
          <w:b/>
          <w:bCs/>
          <w:sz w:val="22"/>
          <w:szCs w:val="22"/>
        </w:rPr>
        <w:t>Przedmiot zamówienia</w:t>
      </w:r>
      <w:r w:rsidR="008E448D">
        <w:rPr>
          <w:rFonts w:ascii="Arial Narrow" w:hAnsi="Arial Narrow"/>
          <w:b/>
          <w:bCs/>
          <w:sz w:val="22"/>
          <w:szCs w:val="22"/>
        </w:rPr>
        <w:t xml:space="preserve">: </w:t>
      </w:r>
      <w:r w:rsidR="00AC1D0E">
        <w:rPr>
          <w:rFonts w:ascii="Arial Narrow" w:hAnsi="Arial Narrow"/>
          <w:b/>
          <w:bCs/>
          <w:sz w:val="22"/>
          <w:szCs w:val="22"/>
        </w:rPr>
        <w:t xml:space="preserve"> </w:t>
      </w:r>
      <w:r w:rsidR="00C01768" w:rsidRPr="00C01768">
        <w:rPr>
          <w:rFonts w:ascii="Arial Narrow" w:hAnsi="Arial Narrow"/>
          <w:b/>
          <w:bCs/>
          <w:sz w:val="22"/>
          <w:szCs w:val="22"/>
        </w:rPr>
        <w:t>Platforma monito</w:t>
      </w:r>
      <w:r w:rsidR="00C01768">
        <w:rPr>
          <w:rFonts w:ascii="Arial Narrow" w:hAnsi="Arial Narrow"/>
          <w:b/>
          <w:bCs/>
          <w:sz w:val="22"/>
          <w:szCs w:val="22"/>
        </w:rPr>
        <w:t xml:space="preserve">rowania hemodynamicznego </w:t>
      </w:r>
      <w:r w:rsidR="00F237DE">
        <w:rPr>
          <w:rFonts w:ascii="Arial Narrow" w:hAnsi="Arial Narrow"/>
          <w:b/>
          <w:bCs/>
          <w:sz w:val="22"/>
          <w:szCs w:val="22"/>
        </w:rPr>
        <w:t xml:space="preserve"> – 1 szt. </w:t>
      </w:r>
    </w:p>
    <w:p w14:paraId="6440D83F" w14:textId="77777777" w:rsidR="00D65ED0" w:rsidRPr="00F148AD" w:rsidRDefault="00D65ED0" w:rsidP="00D65ED0">
      <w:pPr>
        <w:jc w:val="both"/>
        <w:rPr>
          <w:rFonts w:ascii="Arial Narrow" w:hAnsi="Arial Narrow"/>
          <w:b/>
          <w:bCs/>
          <w:sz w:val="22"/>
          <w:szCs w:val="22"/>
        </w:rPr>
      </w:pPr>
    </w:p>
    <w:p w14:paraId="26B4E798" w14:textId="77777777" w:rsidR="00D65ED0" w:rsidRPr="00F148AD" w:rsidRDefault="00D65ED0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  <w:r w:rsidRPr="00F148AD">
        <w:rPr>
          <w:rFonts w:ascii="Arial Narrow" w:hAnsi="Arial Narrow"/>
          <w:b/>
          <w:sz w:val="22"/>
          <w:szCs w:val="22"/>
        </w:rPr>
        <w:t>Nazwa i typ:   .............................................................................................</w:t>
      </w:r>
    </w:p>
    <w:p w14:paraId="05256B9E" w14:textId="77777777" w:rsidR="00D65ED0" w:rsidRPr="00F148AD" w:rsidRDefault="00D65ED0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</w:p>
    <w:p w14:paraId="079E451F" w14:textId="77777777" w:rsidR="00D65ED0" w:rsidRPr="00F148AD" w:rsidRDefault="00D65ED0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  <w:r w:rsidRPr="00F148AD">
        <w:rPr>
          <w:rFonts w:ascii="Arial Narrow" w:hAnsi="Arial Narrow"/>
          <w:b/>
          <w:sz w:val="22"/>
          <w:szCs w:val="22"/>
        </w:rPr>
        <w:t>Producent / Firma: .....................................................................................</w:t>
      </w:r>
    </w:p>
    <w:p w14:paraId="5DCE7CFE" w14:textId="77777777" w:rsidR="00D65ED0" w:rsidRPr="00F148AD" w:rsidRDefault="00D65ED0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</w:p>
    <w:p w14:paraId="559E0818" w14:textId="77777777" w:rsidR="00D65ED0" w:rsidRDefault="00D65ED0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  <w:r w:rsidRPr="00F148AD">
        <w:rPr>
          <w:rFonts w:ascii="Arial Narrow" w:hAnsi="Arial Narrow"/>
          <w:b/>
          <w:sz w:val="22"/>
          <w:szCs w:val="22"/>
        </w:rPr>
        <w:t>Kraj pochodzenia ………………………………………………………………</w:t>
      </w:r>
    </w:p>
    <w:p w14:paraId="4B247F78" w14:textId="77777777" w:rsidR="002F4467" w:rsidRDefault="002F4467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</w:p>
    <w:p w14:paraId="233CC436" w14:textId="1B739EB8" w:rsidR="002F4467" w:rsidRPr="00F148AD" w:rsidRDefault="00F237DE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Rok produkcji: 2023</w:t>
      </w:r>
    </w:p>
    <w:p w14:paraId="1939DC07" w14:textId="77777777" w:rsidR="00D65ED0" w:rsidRPr="00F148AD" w:rsidRDefault="00D65ED0" w:rsidP="00D65ED0">
      <w:pPr>
        <w:tabs>
          <w:tab w:val="right" w:pos="9120"/>
        </w:tabs>
        <w:jc w:val="both"/>
        <w:rPr>
          <w:rFonts w:ascii="Arial Narrow" w:hAnsi="Arial Narrow"/>
          <w:b/>
          <w:sz w:val="22"/>
          <w:szCs w:val="22"/>
        </w:rPr>
      </w:pPr>
    </w:p>
    <w:p w14:paraId="0B0538FF" w14:textId="77777777" w:rsidR="00EC4046" w:rsidRPr="00F148AD" w:rsidRDefault="00EC4046">
      <w:pPr>
        <w:rPr>
          <w:rFonts w:ascii="Arial Narrow" w:hAnsi="Arial Narrow" w:cs="Arial"/>
          <w:sz w:val="22"/>
          <w:szCs w:val="22"/>
        </w:rPr>
      </w:pPr>
    </w:p>
    <w:p w14:paraId="62685046" w14:textId="77777777" w:rsidR="00EC4046" w:rsidRPr="00F148AD" w:rsidRDefault="00EC4046">
      <w:pPr>
        <w:rPr>
          <w:rFonts w:ascii="Arial Narrow" w:hAnsi="Arial Narrow" w:cs="Arial"/>
          <w:sz w:val="22"/>
          <w:szCs w:val="22"/>
        </w:rPr>
      </w:pPr>
    </w:p>
    <w:tbl>
      <w:tblPr>
        <w:tblW w:w="1000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395"/>
        <w:gridCol w:w="5039"/>
      </w:tblGrid>
      <w:tr w:rsidR="00093D93" w:rsidRPr="00F148AD" w14:paraId="511BEA45" w14:textId="77777777" w:rsidTr="00E11A1E">
        <w:tc>
          <w:tcPr>
            <w:tcW w:w="567" w:type="dxa"/>
            <w:shd w:val="clear" w:color="auto" w:fill="D9D9D9"/>
            <w:vAlign w:val="center"/>
          </w:tcPr>
          <w:p w14:paraId="56DC6BC3" w14:textId="77777777" w:rsidR="00093D93" w:rsidRPr="00F148AD" w:rsidRDefault="00093D93" w:rsidP="009651E6">
            <w:pPr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F148AD">
              <w:rPr>
                <w:rFonts w:ascii="Arial Narrow" w:hAnsi="Arial Narrow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4395" w:type="dxa"/>
            <w:shd w:val="clear" w:color="auto" w:fill="D9D9D9"/>
            <w:vAlign w:val="center"/>
          </w:tcPr>
          <w:p w14:paraId="611F0BFA" w14:textId="0A0EA21B" w:rsidR="00093D93" w:rsidRPr="00F148AD" w:rsidRDefault="000F28C3" w:rsidP="009651E6">
            <w:pPr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F148AD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PARAMETRY WYMAGANE </w:t>
            </w:r>
          </w:p>
        </w:tc>
        <w:tc>
          <w:tcPr>
            <w:tcW w:w="5039" w:type="dxa"/>
            <w:shd w:val="clear" w:color="auto" w:fill="D9D9D9"/>
            <w:vAlign w:val="center"/>
          </w:tcPr>
          <w:p w14:paraId="48A3DB2B" w14:textId="7E1FB15E" w:rsidR="00093D93" w:rsidRPr="00F148AD" w:rsidRDefault="000F28C3" w:rsidP="009651E6">
            <w:pPr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F148AD">
              <w:rPr>
                <w:rFonts w:ascii="Arial Narrow" w:hAnsi="Arial Narrow" w:cs="Arial"/>
                <w:b/>
                <w:bCs/>
                <w:sz w:val="22"/>
                <w:szCs w:val="22"/>
              </w:rPr>
              <w:t>PARAMETRY OFEROWANE</w:t>
            </w:r>
          </w:p>
        </w:tc>
      </w:tr>
      <w:tr w:rsidR="000017EB" w:rsidRPr="00F148AD" w14:paraId="4F1D6930" w14:textId="77777777" w:rsidTr="003008B9">
        <w:tc>
          <w:tcPr>
            <w:tcW w:w="10001" w:type="dxa"/>
            <w:gridSpan w:val="3"/>
            <w:shd w:val="clear" w:color="auto" w:fill="D9D9D9"/>
            <w:vAlign w:val="center"/>
          </w:tcPr>
          <w:p w14:paraId="5E827DB5" w14:textId="7487651F" w:rsidR="000017EB" w:rsidRPr="00F148AD" w:rsidRDefault="00C01768" w:rsidP="00C01768">
            <w:pPr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b/>
                <w:bCs/>
                <w:sz w:val="22"/>
                <w:szCs w:val="22"/>
              </w:rPr>
              <w:t>PLATFORMA MONITOROWANIA HEMODYNAMICZNEGO</w:t>
            </w:r>
          </w:p>
        </w:tc>
      </w:tr>
      <w:tr w:rsidR="00DC5DC8" w:rsidRPr="00F148AD" w14:paraId="4C75ECDF" w14:textId="77777777" w:rsidTr="00E501F7">
        <w:tc>
          <w:tcPr>
            <w:tcW w:w="567" w:type="dxa"/>
          </w:tcPr>
          <w:p w14:paraId="751BDDA4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115B3A4E" w14:textId="7B96730C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Ocena hemodynamiczna układu krążenia metodą małoinwazyjną rozumianą jako:</w:t>
            </w:r>
          </w:p>
          <w:p w14:paraId="73D87EA6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- bez użycia cewnika Swan-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Ganza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, </w:t>
            </w:r>
          </w:p>
          <w:p w14:paraId="537FAEF9" w14:textId="55C89D8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- pomiar parametrów hemodynamicznych z jednego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  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dostępu naczyniowego lub drogą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kaniulacji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 </w:t>
            </w:r>
          </w:p>
          <w:p w14:paraId="64686C48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 obwodowego naczynia tętniczego i żyły głównej górnej,</w:t>
            </w:r>
          </w:p>
          <w:p w14:paraId="4912C062" w14:textId="491A657A" w:rsidR="00F237DE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- pomiar u pacjentów zaintubowanych i nie zaintubowanych 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76E50ECE" w14:textId="77777777" w:rsidR="00DC5DC8" w:rsidRPr="00F148AD" w:rsidRDefault="00DC5DC8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C5DC8" w:rsidRPr="00F148AD" w14:paraId="665084FA" w14:textId="77777777" w:rsidTr="0042064E">
        <w:tc>
          <w:tcPr>
            <w:tcW w:w="567" w:type="dxa"/>
          </w:tcPr>
          <w:p w14:paraId="630D0BF0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767CB" w14:textId="6E9173B1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Analiza kształtu fali ciśnienia tętniczego do ciągłego (w czasie rzeczywistym) oznaczania ciśnienia krwi, trendu rzutu serca, reakcji hemodynamicznych na podanie płynów i innych parametrów pochodnych z wykorzystaniem jednego dostępu naczyniowego.</w:t>
            </w:r>
          </w:p>
          <w:p w14:paraId="0BF5B862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14:paraId="6CAF2EB6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Mierzone parametry:</w:t>
            </w:r>
          </w:p>
          <w:p w14:paraId="068FE9BB" w14:textId="5214996D" w:rsidR="00DC5DC8" w:rsidRPr="00F148AD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COCal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>/Trend (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CICal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/Trend) – rzutu serca w oparciu o kształt fali pulsu, SV (SVI) - objętość wyrzutowa, SVR (SVRI) - obwodowy opór naczyniowy, SVV - wahania objętości wyrzutowej, PPV - wahania ciśnienia tętniczego,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dPmx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Wskaźnik kurczliwości lewej komory, CPO (CPI) - moc pojemności minutowej, HR - częstość akcji serca,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APsys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 skurczowe ciśnienie tętnicze,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APdia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rozkurczowe ciśnienie tętnicze, MAP - średnie ciśnienie tętnicze, CVP - Ośrodkowe ciśnienie żylne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0686394A" w14:textId="77777777" w:rsidR="00DC5DC8" w:rsidRPr="00F148AD" w:rsidRDefault="00DC5DC8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C5DC8" w:rsidRPr="00F148AD" w14:paraId="1B10438F" w14:textId="77777777" w:rsidTr="005B1005">
        <w:tc>
          <w:tcPr>
            <w:tcW w:w="567" w:type="dxa"/>
          </w:tcPr>
          <w:p w14:paraId="3A0A5465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B70A9" w14:textId="032BC2AC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Dla uzyskania maksymalnie dokładnego pomiaru ciągłego rzutu serca urządzenie posiadające dwie opcje kalibracji: </w:t>
            </w:r>
          </w:p>
          <w:p w14:paraId="487DCDCC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- automatyczną rozumianą jako wygenerowanie szacunkowej wartości kalibracji na podstawie </w:t>
            </w:r>
          </w:p>
          <w:p w14:paraId="1D4CF31D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 ciśnienia krwi oraz danych pacjenta,</w:t>
            </w:r>
          </w:p>
          <w:p w14:paraId="2C175782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- ręczną rozumianą jako wpisanie w polu wprowadzania danych wartości referencyjnej CO, </w:t>
            </w:r>
          </w:p>
          <w:p w14:paraId="39547DE9" w14:textId="124FC450" w:rsidR="00DC5DC8" w:rsidRPr="00F148AD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lastRenderedPageBreak/>
              <w:t>otrzymanej za pomocą innej technologii monitorowania hemodynamicznego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55E7074F" w14:textId="77777777" w:rsidR="00DC5DC8" w:rsidRPr="00F148AD" w:rsidRDefault="00DC5DC8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C5DC8" w:rsidRPr="00F148AD" w14:paraId="592D08FD" w14:textId="77777777" w:rsidTr="0093704A">
        <w:tc>
          <w:tcPr>
            <w:tcW w:w="567" w:type="dxa"/>
          </w:tcPr>
          <w:p w14:paraId="59FC80F7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7A98AEFC" w14:textId="02AA9CF4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Moduł ciągłego (w czasie rzeczywistym) pomiaru rzutu serca z analizy kształtu fali ciśnienia tętniczego, kalibrowanego metodą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termodylucji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przezpłucnej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, drogą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kaniulacji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obwodowego naczynia tętniczego i żyły głównej górnej.</w:t>
            </w:r>
          </w:p>
          <w:p w14:paraId="4E7E0224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14:paraId="5324FE03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Mierzone parametry:</w:t>
            </w:r>
          </w:p>
          <w:p w14:paraId="46EC7087" w14:textId="177FBAA8" w:rsidR="00DC5DC8" w:rsidRPr="00F148AD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COPC (CIPC) - rzut serca w oparciu o kształt fali pulsu, SV (SVI) - objętość wyrzutowa, SVR (SVRI) - obwodowy opór naczyniowy, SVV - wahania objętości wyrzutowej, PPV - wahania ciśnienia tętniczego,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dPmx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Wskaźnik kurczliwości lewej komory,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tdCO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(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tdCI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) - rzut minutowy z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termodylucji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przezpłucnej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, CFI - wskaźnik funkcji serca, GEDV (GEDI) - całkowita objętość końcowo-rozkurczowa, EVLW (ELWI) - objętość pozanaczyniowej wody płucnej, PVPI - wskaźnik przepuszczalności naczyń płucnych, GEF - całkowita frakcja wyrzutowa, CPO (CPI) - moc użyteczna serca, HR - częstość skurczów serca,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APsys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skurczowe ciśnienie tętnicze,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APdia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rozkurczowe ciśnienie tętnicze, MAP - średnie ciśnienie tętnicze, CVP - ośrodkowe ciśnienie żylne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1BA662E7" w14:textId="77777777" w:rsidR="00DC5DC8" w:rsidRPr="00F148AD" w:rsidRDefault="00DC5DC8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 w:rsidRPr="00F148AD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  <w:tr w:rsidR="00DC5DC8" w:rsidRPr="00F148AD" w14:paraId="10F5A920" w14:textId="77777777" w:rsidTr="00906C0E">
        <w:tc>
          <w:tcPr>
            <w:tcW w:w="567" w:type="dxa"/>
          </w:tcPr>
          <w:p w14:paraId="2FBEC048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4188D711" w14:textId="266137AF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Urządzenie umożliwiające rozbudowę o ciągły (w czasie rzeczywistym) pomiar saturacji krwi żylnej z żyły głównej górnej za pomocą refleksyjnego czujnika światłowodowego zakładanego do istniejącego cewnika CVC. </w:t>
            </w:r>
          </w:p>
          <w:p w14:paraId="39AF7195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14:paraId="1AA522C5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Mierzone parametry:</w:t>
            </w:r>
          </w:p>
          <w:p w14:paraId="43E352FD" w14:textId="6D6CA86D" w:rsidR="00DC5DC8" w:rsidRPr="00F148AD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ScvO</w:t>
            </w:r>
            <w:proofErr w:type="spellEnd"/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saturacja krwi 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ż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ylnej z 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ż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y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y g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łó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wnej g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ó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rnej, DO</w:t>
            </w:r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(DO</w:t>
            </w:r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I) 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–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dostarczenie tlenu, VO</w:t>
            </w:r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(VO</w:t>
            </w:r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I) 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–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konsumpcja tlenu, O</w:t>
            </w:r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ER - wsp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ół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czynnik ekstrakcji tlenu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423F498E" w14:textId="77777777" w:rsidR="00DC5DC8" w:rsidRPr="00F148AD" w:rsidRDefault="00DC5DC8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0FF11AD0" w14:textId="77777777" w:rsidTr="00906C0E">
        <w:tc>
          <w:tcPr>
            <w:tcW w:w="567" w:type="dxa"/>
          </w:tcPr>
          <w:p w14:paraId="7CF679CB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3A3378F0" w14:textId="0AFCFC21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Urządzenie umożliwiające rozbudowę o ciągły (w czasie rzeczywistym) pomiar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pulsoksymetrii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do stałego monitorowania nasycenia hemoglobiny tętniczej tlenem (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SpO</w:t>
            </w:r>
            <w:proofErr w:type="spellEnd"/>
            <w:r w:rsidRPr="00C01768">
              <w:rPr>
                <w:rFonts w:ascii="Cambria Math" w:hAnsi="Cambria Math" w:cs="Cambria Math"/>
                <w:sz w:val="22"/>
                <w:szCs w:val="22"/>
              </w:rPr>
              <w:t>₂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), a tak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ż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e o pomiar densytometryczny t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ę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tna do okre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ś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lania st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ęż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enia zieleni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indocyjaninowej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>, wska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ź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nika stosowanego do oceny og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ó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lnej czynno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ś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ci w</w:t>
            </w:r>
            <w:r w:rsidRPr="00C01768">
              <w:rPr>
                <w:rFonts w:ascii="Arial Narrow" w:hAnsi="Arial Narrow" w:cs="Arial Narrow"/>
                <w:sz w:val="22"/>
                <w:szCs w:val="22"/>
              </w:rPr>
              <w:t>ą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>troby i/lub perfuzji otrzewnej</w:t>
            </w:r>
          </w:p>
          <w:p w14:paraId="63B374A3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14:paraId="768E8F2B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Mierzone parametry:</w:t>
            </w:r>
          </w:p>
          <w:p w14:paraId="16AB623A" w14:textId="1DCBEABF" w:rsidR="00F237DE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PDR - Wskaźnik eliminacji z osocza, R15 - Wskaźnik utrzymywania ICG po 15 minutach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47E3F9C0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5EA68769" w14:textId="77777777" w:rsidTr="00906C0E">
        <w:tc>
          <w:tcPr>
            <w:tcW w:w="567" w:type="dxa"/>
          </w:tcPr>
          <w:p w14:paraId="4FF4B29A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79749A07" w14:textId="1AF6C3AF" w:rsidR="00F237DE" w:rsidRPr="00F148AD" w:rsidRDefault="00C01768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Dane pomiarowe wyświetlane na min. 8” ekranie o wysokiej rozdzielczości – 800 x 480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pixel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094607D1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0750C016" w14:textId="77777777" w:rsidTr="00906C0E">
        <w:tc>
          <w:tcPr>
            <w:tcW w:w="567" w:type="dxa"/>
          </w:tcPr>
          <w:p w14:paraId="3764AF82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2CADEB97" w14:textId="0979C722" w:rsidR="00F237DE" w:rsidRPr="00F148AD" w:rsidRDefault="00C01768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Wyświetlanie rzeczywistej krzywe</w:t>
            </w:r>
            <w:r>
              <w:rPr>
                <w:rFonts w:ascii="Arial Narrow" w:hAnsi="Arial Narrow" w:cs="Arial"/>
                <w:sz w:val="22"/>
                <w:szCs w:val="22"/>
              </w:rPr>
              <w:t>j ciśnienia tętniczego (AP)</w:t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2733BFC5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47B4013D" w14:textId="77777777" w:rsidTr="00906C0E">
        <w:tc>
          <w:tcPr>
            <w:tcW w:w="567" w:type="dxa"/>
          </w:tcPr>
          <w:p w14:paraId="5F317F07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08E32482" w14:textId="0166D92F" w:rsidR="00F237DE" w:rsidRPr="00F148AD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Obsługa monitora poprzez ekran dotykowy i klawisze funkcyjne. Oprogramowanie w języku polskim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0CFC5776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23D7BCBF" w14:textId="77777777" w:rsidTr="00906C0E">
        <w:tc>
          <w:tcPr>
            <w:tcW w:w="567" w:type="dxa"/>
          </w:tcPr>
          <w:p w14:paraId="388E7C77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4D49A1E5" w14:textId="31F8E0B8" w:rsidR="00F237DE" w:rsidRPr="00F148AD" w:rsidRDefault="00C01768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Wybór sposobu prezentacji danych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pomiarowych – min. 2 tryby</w:t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1CD49EAB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57324EB2" w14:textId="77777777" w:rsidTr="00906C0E">
        <w:tc>
          <w:tcPr>
            <w:tcW w:w="567" w:type="dxa"/>
          </w:tcPr>
          <w:p w14:paraId="1DBB262D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2FB45DDF" w14:textId="45750B78" w:rsidR="00F237DE" w:rsidRPr="00F148AD" w:rsidRDefault="00C01768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Prezentacja danych w postaci trendów graficznych. Możliwość wyświetlania dwóch krzywych trendu w jednym oknie. Zakres czasowy trendu 15 min/30 min/1 godz./3 godz./6 godz./12 godz./24 go</w:t>
            </w:r>
            <w:r>
              <w:rPr>
                <w:rFonts w:ascii="Arial Narrow" w:hAnsi="Arial Narrow" w:cs="Arial"/>
                <w:sz w:val="22"/>
                <w:szCs w:val="22"/>
              </w:rPr>
              <w:t>dz./2 dni/3 dni/6dni/12 dni.</w:t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3581FF77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5C9598F0" w14:textId="77777777" w:rsidTr="00906C0E">
        <w:tc>
          <w:tcPr>
            <w:tcW w:w="567" w:type="dxa"/>
          </w:tcPr>
          <w:p w14:paraId="236F0A64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25865417" w14:textId="1B07881A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Drukowania danych poprzez:</w:t>
            </w:r>
          </w:p>
          <w:p w14:paraId="2D54B23A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- wirtualne drukowanie z portu USB do pliku PDF lub Excel (do dalszej obróbki)</w:t>
            </w:r>
          </w:p>
          <w:p w14:paraId="75EE6F19" w14:textId="1E788E01" w:rsidR="00F237DE" w:rsidRPr="00F237DE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- drukowanie poprzez sieć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57290AF1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16D14850" w14:textId="77777777" w:rsidTr="00906C0E">
        <w:tc>
          <w:tcPr>
            <w:tcW w:w="567" w:type="dxa"/>
          </w:tcPr>
          <w:p w14:paraId="7DEB98FE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52593F09" w14:textId="684316A8" w:rsidR="00F237DE" w:rsidRPr="00F237DE" w:rsidRDefault="00C01768" w:rsidP="00926D4D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Możliwość ustawienia wartości normalnych i docelowych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44D4125D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237DE" w:rsidRPr="00F148AD" w14:paraId="08ED18E2" w14:textId="77777777" w:rsidTr="00906C0E">
        <w:tc>
          <w:tcPr>
            <w:tcW w:w="567" w:type="dxa"/>
          </w:tcPr>
          <w:p w14:paraId="5505AB58" w14:textId="77777777" w:rsidR="00F237DE" w:rsidRPr="00F148AD" w:rsidRDefault="00F237DE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558B3D0A" w14:textId="67E11FD0" w:rsidR="00F237DE" w:rsidRPr="00F237DE" w:rsidRDefault="00C01768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Możliwości transmisji danych z wykorzystaniem LAN do podłączania drukarek sieciowych lub systemów PDMS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59B17BF4" w14:textId="77777777" w:rsidR="00F237DE" w:rsidRPr="00F148AD" w:rsidRDefault="00F237DE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01768" w:rsidRPr="00F148AD" w14:paraId="008F2097" w14:textId="77777777" w:rsidTr="00C01768">
        <w:tc>
          <w:tcPr>
            <w:tcW w:w="10001" w:type="dxa"/>
            <w:gridSpan w:val="3"/>
            <w:shd w:val="clear" w:color="auto" w:fill="D0CECE" w:themeFill="background2" w:themeFillShade="E6"/>
          </w:tcPr>
          <w:p w14:paraId="5DC59918" w14:textId="5E2C8FB1" w:rsidR="00C01768" w:rsidRPr="00C01768" w:rsidRDefault="00C01768" w:rsidP="00C01768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b/>
                <w:sz w:val="22"/>
                <w:szCs w:val="22"/>
              </w:rPr>
              <w:t>MODUŁ DO POMIARU TERMODYLUCJI PRZEZPŁUCNEJ</w:t>
            </w:r>
          </w:p>
        </w:tc>
      </w:tr>
      <w:tr w:rsidR="00926D4D" w:rsidRPr="00F148AD" w14:paraId="7DA864A5" w14:textId="77777777" w:rsidTr="00906C0E">
        <w:tc>
          <w:tcPr>
            <w:tcW w:w="567" w:type="dxa"/>
          </w:tcPr>
          <w:p w14:paraId="2E224583" w14:textId="77777777" w:rsidR="00926D4D" w:rsidRPr="00F148AD" w:rsidRDefault="00926D4D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750E8D69" w14:textId="1FB9192D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Moduł ciągłego (w czasie rzeczywistym) pomiaru rzutu serca z analizy kształtu fali ciśnienia tętniczego, kalibrowanego metodą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termodylucji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przezpłucnej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, drogą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kaniulacji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obwodowego naczynia tętniczego i żyły głównej górnej.</w:t>
            </w:r>
          </w:p>
          <w:p w14:paraId="4A53E370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14:paraId="0F4927EB" w14:textId="77777777" w:rsidR="00C01768" w:rsidRPr="00C01768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Mierzone parametry:</w:t>
            </w:r>
          </w:p>
          <w:p w14:paraId="73D18F93" w14:textId="39C457A9" w:rsidR="00926D4D" w:rsidRPr="00926D4D" w:rsidRDefault="00C01768" w:rsidP="00C01768">
            <w:pPr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COPC (CIPC) - rzut serca w oparciu o kształt fali pulsu, SV (SVI) - objętość wyrzutowa, SVR (SVRI) - obwodowy opór naczyniowy, SVV - wahania objętości wyrzutowej, PPV - wahania ciśnienia tętniczego,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dPmx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Wskaźnik kurczliwości lewej komory,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tdCO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(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tdCI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) - rzut minutowy z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termodylucji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przezpłucnej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, CFI - wskaźnik funkcji serca, GEDV (GEDI) - całkowita objętość końcowo-rozkurczowa, EVLW (ELWI) - objętość pozanaczyniowej wody płucnej, PVPI - wskaźnik przepuszczalności naczyń płucnych, GEF - całkowita frakcja wyrzutowa, CPO (CPI) - moc użyteczna serca, HR - częstość skurczów serca,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APsys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skurczowe ciśnienie tętnicze,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APdia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rozkurczowe ciśnienie tętnicze, MAP - średnie ciśnienie tętnicze, CVP - ośrodkowe ciśnienie żylne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497DE433" w14:textId="77777777" w:rsidR="00926D4D" w:rsidRPr="00F148AD" w:rsidRDefault="00926D4D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01768" w:rsidRPr="00F148AD" w14:paraId="72E7482A" w14:textId="77777777" w:rsidTr="00C01768">
        <w:tc>
          <w:tcPr>
            <w:tcW w:w="10001" w:type="dxa"/>
            <w:gridSpan w:val="3"/>
            <w:shd w:val="clear" w:color="auto" w:fill="D0CECE" w:themeFill="background2" w:themeFillShade="E6"/>
          </w:tcPr>
          <w:p w14:paraId="440E47DA" w14:textId="2CAD34F1" w:rsidR="00C01768" w:rsidRPr="00C01768" w:rsidRDefault="00C01768" w:rsidP="00C01768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b/>
                <w:sz w:val="22"/>
                <w:szCs w:val="22"/>
              </w:rPr>
              <w:t>ZESTAW PICCO Z POJEDYNCZYM PRZETWORNIKIEM CIŚNIENIA</w:t>
            </w:r>
          </w:p>
        </w:tc>
      </w:tr>
      <w:tr w:rsidR="00926D4D" w:rsidRPr="00F148AD" w14:paraId="2C688B24" w14:textId="77777777" w:rsidTr="00906C0E">
        <w:tc>
          <w:tcPr>
            <w:tcW w:w="567" w:type="dxa"/>
          </w:tcPr>
          <w:p w14:paraId="1A6AEEFD" w14:textId="77777777" w:rsidR="00926D4D" w:rsidRPr="00F148AD" w:rsidRDefault="00926D4D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2DB14663" w14:textId="3C63CE4E" w:rsidR="00C01768" w:rsidRPr="00C01768" w:rsidRDefault="00C01768" w:rsidP="00C01768">
            <w:pPr>
              <w:ind w:hanging="3"/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Zestaw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PiCCO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składający się z:</w:t>
            </w:r>
          </w:p>
          <w:p w14:paraId="04E602E9" w14:textId="77777777" w:rsidR="00C01768" w:rsidRPr="00C01768" w:rsidRDefault="00C01768" w:rsidP="00C01768">
            <w:pPr>
              <w:ind w:hanging="3"/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cewnika do pomiaru rzutu serca metodą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termodylucji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przezpłucnej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PiCCO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- tętnica udowa długość użyteczna 20 cm/średnica zewnętrzna 5F, tętnica ramienna okolica łokciowa długość użyteczna 22 cm/średnica 4F, tętnica ramienna proksymalnie długość użyteczna 16 cm/średnica 4F, tętnica pachowa długość użyteczna 8 cm/średnica 4F, przystosowany do pomiaru ciśnienia krwi metodą inwazyjną, posiadający czujnik termiczny. Zestaw zawiera nieodkształcającą się prowadnicę wykonaną 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lastRenderedPageBreak/>
              <w:t xml:space="preserve">z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nitinolu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, rozszerzało oraz igłę umożliwiającą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kaniulację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naczynia metodą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Seldingera</w:t>
            </w:r>
            <w:proofErr w:type="spellEnd"/>
          </w:p>
          <w:p w14:paraId="070A47F1" w14:textId="77777777" w:rsidR="00C01768" w:rsidRPr="00C01768" w:rsidRDefault="00C01768" w:rsidP="00C01768">
            <w:pPr>
              <w:ind w:hanging="3"/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oraz </w:t>
            </w:r>
          </w:p>
          <w:p w14:paraId="135F1723" w14:textId="5B628068" w:rsidR="00926D4D" w:rsidRPr="00926D4D" w:rsidRDefault="00C01768" w:rsidP="00C01768">
            <w:pPr>
              <w:ind w:hanging="3"/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>przetwornika do pomiaru ciśnienia metodą inwazyjną, zawierający w standardzie zestaw płuczący z czerwoną linią o dł. 150 cm z trójdrożnym kranikiem, przystosowany do ciągłego pomiaru ciśnienia tętniczego. Zestaw zawiera przepływowy czujnik termiczny, dostosowany do użycia płynów o temperaturze pokojowej oraz płynów o bardzo niskiej temperaturze, zintegrowany z sensorem detekcji p</w:t>
            </w:r>
            <w:r>
              <w:rPr>
                <w:rFonts w:ascii="Arial Narrow" w:hAnsi="Arial Narrow" w:cs="Arial"/>
                <w:sz w:val="22"/>
                <w:szCs w:val="22"/>
              </w:rPr>
              <w:t>rzepływu i czasu jego trwania.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4207482C" w14:textId="77777777" w:rsidR="00926D4D" w:rsidRPr="00F148AD" w:rsidRDefault="00926D4D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C01768" w:rsidRPr="00F148AD" w14:paraId="06DD71F7" w14:textId="77777777" w:rsidTr="00C01768">
        <w:tc>
          <w:tcPr>
            <w:tcW w:w="10001" w:type="dxa"/>
            <w:gridSpan w:val="3"/>
            <w:shd w:val="clear" w:color="auto" w:fill="D0CECE" w:themeFill="background2" w:themeFillShade="E6"/>
          </w:tcPr>
          <w:p w14:paraId="4F36DD87" w14:textId="3B04CFD8" w:rsidR="00C01768" w:rsidRPr="00C01768" w:rsidRDefault="00C01768" w:rsidP="00C01768">
            <w:pPr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b/>
                <w:sz w:val="22"/>
                <w:szCs w:val="22"/>
              </w:rPr>
              <w:t>CZUJNIK</w:t>
            </w:r>
          </w:p>
        </w:tc>
      </w:tr>
      <w:tr w:rsidR="00C01768" w:rsidRPr="00F148AD" w14:paraId="781B7DB4" w14:textId="77777777" w:rsidTr="00906C0E">
        <w:tc>
          <w:tcPr>
            <w:tcW w:w="567" w:type="dxa"/>
          </w:tcPr>
          <w:p w14:paraId="197838F8" w14:textId="77777777" w:rsidR="00C01768" w:rsidRPr="00F148AD" w:rsidRDefault="00C0176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</w:tcPr>
          <w:p w14:paraId="342E4C0D" w14:textId="157B1050" w:rsidR="00C01768" w:rsidRPr="00C01768" w:rsidRDefault="00C01768" w:rsidP="00C01768">
            <w:pPr>
              <w:ind w:hanging="3"/>
              <w:rPr>
                <w:rFonts w:ascii="Arial Narrow" w:hAnsi="Arial Narrow" w:cs="Arial"/>
                <w:sz w:val="22"/>
                <w:szCs w:val="22"/>
              </w:rPr>
            </w:pPr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Czujnik przeznaczony do przeprowadzania analizy krzywej ciśnienia tętniczego, wyposażony w  przewód ciśnieniowy o długości 30 cm oraz </w:t>
            </w:r>
            <w:proofErr w:type="spellStart"/>
            <w:r w:rsidRPr="00C01768">
              <w:rPr>
                <w:rFonts w:ascii="Arial Narrow" w:hAnsi="Arial Narrow" w:cs="Arial"/>
                <w:sz w:val="22"/>
                <w:szCs w:val="22"/>
              </w:rPr>
              <w:t>zintegrowanę</w:t>
            </w:r>
            <w:proofErr w:type="spellEnd"/>
            <w:r w:rsidRPr="00C01768">
              <w:rPr>
                <w:rFonts w:ascii="Arial Narrow" w:hAnsi="Arial Narrow" w:cs="Arial"/>
                <w:sz w:val="22"/>
                <w:szCs w:val="22"/>
              </w:rPr>
              <w:t xml:space="preserve"> diodę LED wskazującą stan sygnału ciśnienia. </w:t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  <w:r w:rsidRPr="00C01768">
              <w:rPr>
                <w:rFonts w:ascii="Arial Narrow" w:hAnsi="Arial Narrow" w:cs="Arial"/>
                <w:sz w:val="22"/>
                <w:szCs w:val="22"/>
              </w:rPr>
              <w:tab/>
            </w:r>
          </w:p>
        </w:tc>
        <w:tc>
          <w:tcPr>
            <w:tcW w:w="5039" w:type="dxa"/>
          </w:tcPr>
          <w:p w14:paraId="6F284CE9" w14:textId="77777777" w:rsidR="00C01768" w:rsidRPr="00F148AD" w:rsidRDefault="00C01768" w:rsidP="00DC5DC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C5DC8" w:rsidRPr="00F148AD" w14:paraId="71289189" w14:textId="77777777" w:rsidTr="00217DA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0001" w:type="dxa"/>
            <w:gridSpan w:val="3"/>
            <w:shd w:val="clear" w:color="auto" w:fill="D9D9D9"/>
          </w:tcPr>
          <w:p w14:paraId="4F2FA061" w14:textId="1E1B14E8" w:rsidR="00DC5DC8" w:rsidRPr="00F148AD" w:rsidRDefault="00DC5DC8" w:rsidP="00DC5DC8">
            <w:pPr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B7A5D">
              <w:rPr>
                <w:rFonts w:ascii="Arial Narrow" w:hAnsi="Arial Narrow" w:cs="Arial"/>
                <w:b/>
                <w:bCs/>
                <w:sz w:val="22"/>
                <w:szCs w:val="22"/>
              </w:rPr>
              <w:t>WARUNKI OGÓLNE</w:t>
            </w:r>
          </w:p>
        </w:tc>
      </w:tr>
      <w:tr w:rsidR="00DC5DC8" w:rsidRPr="00F148AD" w14:paraId="7DF1CA60" w14:textId="77777777" w:rsidTr="009813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567" w:type="dxa"/>
            <w:shd w:val="clear" w:color="auto" w:fill="FFFFFF"/>
          </w:tcPr>
          <w:p w14:paraId="3C642EFA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FFFFFF"/>
          </w:tcPr>
          <w:p w14:paraId="6A6B108C" w14:textId="15B49A7C" w:rsidR="00DC5DC8" w:rsidRPr="00F148AD" w:rsidRDefault="001E4A8C" w:rsidP="00DC5DC8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S</w:t>
            </w:r>
            <w:r w:rsidR="00DC5DC8" w:rsidRPr="009B7A5D">
              <w:rPr>
                <w:rFonts w:ascii="Arial Narrow" w:hAnsi="Arial Narrow" w:cs="Arial"/>
                <w:sz w:val="22"/>
                <w:szCs w:val="22"/>
              </w:rPr>
              <w:t>erwis gwarancyjny i pogwarancyjny</w:t>
            </w:r>
          </w:p>
        </w:tc>
        <w:tc>
          <w:tcPr>
            <w:tcW w:w="5039" w:type="dxa"/>
            <w:shd w:val="clear" w:color="auto" w:fill="FFFFFF"/>
          </w:tcPr>
          <w:p w14:paraId="241CBFAB" w14:textId="77777777" w:rsidR="00DC5DC8" w:rsidRPr="00F148AD" w:rsidRDefault="00DC5DC8" w:rsidP="00DC5DC8">
            <w:pPr>
              <w:ind w:left="4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C5DC8" w:rsidRPr="00F148AD" w14:paraId="20EF04B4" w14:textId="77777777" w:rsidTr="00250FB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567" w:type="dxa"/>
            <w:shd w:val="clear" w:color="auto" w:fill="FFFFFF"/>
          </w:tcPr>
          <w:p w14:paraId="3FEDBB1D" w14:textId="77777777" w:rsidR="00DC5DC8" w:rsidRPr="00F148AD" w:rsidRDefault="00DC5DC8" w:rsidP="00DC5DC8">
            <w:pPr>
              <w:numPr>
                <w:ilvl w:val="0"/>
                <w:numId w:val="13"/>
              </w:numPr>
              <w:ind w:left="356" w:right="35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395" w:type="dxa"/>
            <w:shd w:val="clear" w:color="auto" w:fill="FFFFFF"/>
          </w:tcPr>
          <w:p w14:paraId="1E30134A" w14:textId="3E82F7DE" w:rsidR="00DC5DC8" w:rsidRPr="00F148AD" w:rsidRDefault="00DC5DC8" w:rsidP="00DC5DC8">
            <w:pPr>
              <w:rPr>
                <w:rFonts w:ascii="Arial Narrow" w:hAnsi="Arial Narrow" w:cs="Arial"/>
                <w:sz w:val="22"/>
                <w:szCs w:val="22"/>
                <w:lang w:eastAsia="ar-SA"/>
              </w:rPr>
            </w:pPr>
            <w:r w:rsidRPr="009B7A5D">
              <w:rPr>
                <w:rFonts w:ascii="Arial Narrow" w:hAnsi="Arial Narrow" w:cs="Arial"/>
                <w:sz w:val="22"/>
                <w:szCs w:val="22"/>
                <w:lang w:eastAsia="ar-SA"/>
              </w:rPr>
              <w:t>Instrukcja obsługi przedmiotu oferty w języku polskim</w:t>
            </w:r>
          </w:p>
        </w:tc>
        <w:tc>
          <w:tcPr>
            <w:tcW w:w="5039" w:type="dxa"/>
            <w:shd w:val="clear" w:color="auto" w:fill="FFFFFF"/>
          </w:tcPr>
          <w:p w14:paraId="1D45FC5C" w14:textId="77777777" w:rsidR="00DC5DC8" w:rsidRPr="00F148AD" w:rsidRDefault="00DC5DC8" w:rsidP="00DC5DC8">
            <w:pPr>
              <w:ind w:left="4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14:paraId="42AE2A12" w14:textId="77777777" w:rsidR="00AB765E" w:rsidRDefault="00AB765E" w:rsidP="00AB765E">
      <w:pPr>
        <w:spacing w:after="160" w:line="256" w:lineRule="auto"/>
        <w:ind w:right="-851"/>
        <w:jc w:val="both"/>
        <w:rPr>
          <w:rFonts w:ascii="Arial Narrow" w:eastAsia="Calibri" w:hAnsi="Arial Narrow"/>
          <w:b/>
          <w:u w:val="single"/>
          <w:lang w:eastAsia="en-US"/>
        </w:rPr>
      </w:pPr>
    </w:p>
    <w:p w14:paraId="7649B7EF" w14:textId="7694B9F0" w:rsidR="00AB765E" w:rsidRPr="00AB765E" w:rsidRDefault="00AB765E" w:rsidP="00AB765E">
      <w:pPr>
        <w:spacing w:after="160" w:line="256" w:lineRule="auto"/>
        <w:ind w:right="-285"/>
        <w:jc w:val="both"/>
        <w:rPr>
          <w:rFonts w:ascii="Arial Narrow" w:eastAsia="Calibri" w:hAnsi="Arial Narrow"/>
          <w:lang w:eastAsia="en-US"/>
        </w:rPr>
      </w:pPr>
      <w:r w:rsidRPr="00AB765E">
        <w:rPr>
          <w:rFonts w:ascii="Arial Narrow" w:eastAsia="Calibri" w:hAnsi="Arial Narrow"/>
          <w:b/>
          <w:u w:val="single"/>
          <w:lang w:eastAsia="en-US"/>
        </w:rPr>
        <w:t>UWAGA</w:t>
      </w:r>
      <w:r w:rsidRPr="00AB765E">
        <w:rPr>
          <w:rFonts w:ascii="Arial Narrow" w:eastAsia="Calibri" w:hAnsi="Arial Narrow"/>
          <w:lang w:eastAsia="en-US"/>
        </w:rPr>
        <w:t xml:space="preserve">: W kolumnie  </w:t>
      </w:r>
      <w:r w:rsidRPr="00AB765E">
        <w:rPr>
          <w:rFonts w:ascii="Arial Narrow" w:eastAsia="Calibri" w:hAnsi="Arial Narrow"/>
          <w:i/>
          <w:lang w:eastAsia="en-US"/>
        </w:rPr>
        <w:t>„</w:t>
      </w:r>
      <w:r w:rsidRPr="00AB765E">
        <w:rPr>
          <w:rFonts w:ascii="Arial Narrow" w:eastAsia="Calibri" w:hAnsi="Arial Narrow"/>
          <w:lang w:eastAsia="en-US"/>
        </w:rPr>
        <w:t>Opis parametrów wymaganych</w:t>
      </w:r>
      <w:r w:rsidRPr="00AB765E">
        <w:rPr>
          <w:rFonts w:ascii="Arial Narrow" w:eastAsia="Calibri" w:hAnsi="Arial Narrow"/>
          <w:i/>
          <w:lang w:eastAsia="en-US"/>
        </w:rPr>
        <w:t>”</w:t>
      </w:r>
      <w:r w:rsidRPr="00AB765E">
        <w:rPr>
          <w:rFonts w:ascii="Arial Narrow" w:eastAsia="Calibri" w:hAnsi="Arial Narrow"/>
          <w:lang w:eastAsia="en-US"/>
        </w:rPr>
        <w:t xml:space="preserve"> wpisano minimalne wymagane parametry. Nie spełnienie choć jednego z parametrów minimalnych będzie skutkowało odrzuceniem oferty.</w:t>
      </w:r>
    </w:p>
    <w:p w14:paraId="052254B9" w14:textId="77777777" w:rsidR="00AB765E" w:rsidRPr="00AB765E" w:rsidRDefault="00AB765E" w:rsidP="00AB765E">
      <w:pPr>
        <w:ind w:right="-285"/>
        <w:jc w:val="both"/>
        <w:rPr>
          <w:rFonts w:ascii="Arial Narrow" w:hAnsi="Arial Narrow"/>
        </w:rPr>
      </w:pPr>
    </w:p>
    <w:p w14:paraId="1118EB4B" w14:textId="77777777" w:rsidR="00AB765E" w:rsidRPr="00AB765E" w:rsidRDefault="00AB765E" w:rsidP="00AB765E">
      <w:pPr>
        <w:ind w:right="-285"/>
        <w:jc w:val="both"/>
        <w:rPr>
          <w:rFonts w:ascii="Arial Narrow" w:hAnsi="Arial Narrow"/>
          <w:b/>
          <w:bCs/>
          <w:u w:val="single"/>
        </w:rPr>
      </w:pPr>
      <w:r w:rsidRPr="00AB765E">
        <w:rPr>
          <w:rFonts w:ascii="Arial Narrow" w:hAnsi="Arial Narrow"/>
          <w:b/>
          <w:bCs/>
          <w:u w:val="single"/>
        </w:rPr>
        <w:t xml:space="preserve">Oświadczenie  Wykonawcy: </w:t>
      </w:r>
    </w:p>
    <w:p w14:paraId="04074490" w14:textId="77777777" w:rsidR="00AB765E" w:rsidRPr="00AB765E" w:rsidRDefault="00AB765E" w:rsidP="00AB765E">
      <w:pPr>
        <w:ind w:right="-285"/>
        <w:jc w:val="both"/>
        <w:rPr>
          <w:rFonts w:ascii="Arial Narrow" w:hAnsi="Arial Narrow"/>
          <w:u w:val="single"/>
        </w:rPr>
      </w:pPr>
    </w:p>
    <w:p w14:paraId="25DDF126" w14:textId="77777777" w:rsidR="00AB765E" w:rsidRPr="00AB765E" w:rsidRDefault="00AB765E" w:rsidP="00AB765E">
      <w:pPr>
        <w:numPr>
          <w:ilvl w:val="0"/>
          <w:numId w:val="19"/>
        </w:numPr>
        <w:spacing w:after="160" w:line="256" w:lineRule="auto"/>
        <w:ind w:left="567" w:right="-285" w:hanging="425"/>
        <w:contextualSpacing/>
        <w:jc w:val="both"/>
        <w:rPr>
          <w:rFonts w:ascii="Arial Narrow" w:hAnsi="Arial Narrow"/>
        </w:rPr>
      </w:pPr>
      <w:r w:rsidRPr="00AB765E">
        <w:rPr>
          <w:rFonts w:ascii="Arial Narrow" w:hAnsi="Arial Narrow"/>
        </w:rPr>
        <w:t>Oświadczamy, że przedstawione powyżej dane są prawdziwe oraz zobowiązujemy się w przypadku wygrania postępowania do dostarczenia sprzętu spełniającego wyspecyfikowane parametry.</w:t>
      </w:r>
    </w:p>
    <w:p w14:paraId="4E79186B" w14:textId="77777777" w:rsidR="00AB765E" w:rsidRPr="00AB765E" w:rsidRDefault="00AB765E" w:rsidP="00AB765E">
      <w:pPr>
        <w:numPr>
          <w:ilvl w:val="0"/>
          <w:numId w:val="19"/>
        </w:numPr>
        <w:spacing w:after="160" w:line="256" w:lineRule="auto"/>
        <w:ind w:left="567" w:right="-285" w:hanging="425"/>
        <w:contextualSpacing/>
        <w:jc w:val="both"/>
        <w:rPr>
          <w:rFonts w:ascii="Arial Narrow" w:hAnsi="Arial Narrow"/>
        </w:rPr>
      </w:pPr>
      <w:r w:rsidRPr="00AB765E">
        <w:rPr>
          <w:rFonts w:ascii="Arial Narrow" w:hAnsi="Arial Narrow"/>
        </w:rPr>
        <w:t>Oświadczamy, że oferowany, powyżej wyspecyfikowany sprzęt jest kompletny i po zainstalowaniu będzie gotowy do eksploatacji, bez żadnych dodatkowych zakupów i inwestycji.</w:t>
      </w:r>
    </w:p>
    <w:p w14:paraId="0AC7D2DE" w14:textId="77777777" w:rsidR="00391EC4" w:rsidRPr="00F148AD" w:rsidRDefault="00391EC4" w:rsidP="00102244">
      <w:pPr>
        <w:spacing w:line="360" w:lineRule="auto"/>
        <w:rPr>
          <w:rFonts w:ascii="Arial Narrow" w:hAnsi="Arial Narrow" w:cs="Arial"/>
          <w:sz w:val="22"/>
          <w:szCs w:val="22"/>
        </w:rPr>
      </w:pPr>
    </w:p>
    <w:sectPr w:rsidR="00391EC4" w:rsidRPr="00F148AD" w:rsidSect="00163578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058A0"/>
    <w:multiLevelType w:val="hybridMultilevel"/>
    <w:tmpl w:val="2F90FCEA"/>
    <w:lvl w:ilvl="0" w:tplc="00FC093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CB4A6A"/>
    <w:multiLevelType w:val="hybridMultilevel"/>
    <w:tmpl w:val="350C77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00CCA"/>
    <w:multiLevelType w:val="hybridMultilevel"/>
    <w:tmpl w:val="CCC8932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152E55"/>
    <w:multiLevelType w:val="hybridMultilevel"/>
    <w:tmpl w:val="60867B8E"/>
    <w:lvl w:ilvl="0" w:tplc="CCCA0236">
      <w:numFmt w:val="bullet"/>
      <w:lvlText w:val="•"/>
      <w:lvlJc w:val="left"/>
      <w:pPr>
        <w:ind w:left="1065" w:hanging="705"/>
      </w:pPr>
      <w:rPr>
        <w:rFonts w:ascii="Arial Narrow" w:eastAsia="Times New Roman" w:hAnsi="Arial Narrow" w:cs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1B66BA"/>
    <w:multiLevelType w:val="hybridMultilevel"/>
    <w:tmpl w:val="7A28D606"/>
    <w:lvl w:ilvl="0" w:tplc="04150001">
      <w:start w:val="1"/>
      <w:numFmt w:val="bullet"/>
      <w:lvlText w:val=""/>
      <w:lvlJc w:val="left"/>
      <w:pPr>
        <w:tabs>
          <w:tab w:val="num" w:pos="830"/>
        </w:tabs>
        <w:ind w:left="8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50"/>
        </w:tabs>
        <w:ind w:left="155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70"/>
        </w:tabs>
        <w:ind w:left="22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90"/>
        </w:tabs>
        <w:ind w:left="29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10"/>
        </w:tabs>
        <w:ind w:left="371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430"/>
        </w:tabs>
        <w:ind w:left="44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50"/>
        </w:tabs>
        <w:ind w:left="51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70"/>
        </w:tabs>
        <w:ind w:left="587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90"/>
        </w:tabs>
        <w:ind w:left="6590" w:hanging="360"/>
      </w:pPr>
      <w:rPr>
        <w:rFonts w:ascii="Wingdings" w:hAnsi="Wingdings" w:hint="default"/>
      </w:rPr>
    </w:lvl>
  </w:abstractNum>
  <w:abstractNum w:abstractNumId="5" w15:restartNumberingAfterBreak="0">
    <w:nsid w:val="1E543383"/>
    <w:multiLevelType w:val="hybridMultilevel"/>
    <w:tmpl w:val="DB0854B4"/>
    <w:lvl w:ilvl="0" w:tplc="173CE0E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503B3E"/>
    <w:multiLevelType w:val="hybridMultilevel"/>
    <w:tmpl w:val="CDC22910"/>
    <w:lvl w:ilvl="0" w:tplc="C5A270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F78930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49C3B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91C57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716E19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844378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606647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CEECE63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394E7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273407A"/>
    <w:multiLevelType w:val="hybridMultilevel"/>
    <w:tmpl w:val="25D6E7E4"/>
    <w:lvl w:ilvl="0" w:tplc="CCCA0236">
      <w:numFmt w:val="bullet"/>
      <w:lvlText w:val="•"/>
      <w:lvlJc w:val="left"/>
      <w:pPr>
        <w:ind w:left="1065" w:hanging="705"/>
      </w:pPr>
      <w:rPr>
        <w:rFonts w:ascii="Arial Narrow" w:eastAsia="Times New Roman" w:hAnsi="Arial Narrow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B08C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2146C4E"/>
    <w:multiLevelType w:val="hybridMultilevel"/>
    <w:tmpl w:val="F7AC2F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8C5334"/>
    <w:multiLevelType w:val="hybridMultilevel"/>
    <w:tmpl w:val="C688F606"/>
    <w:lvl w:ilvl="0" w:tplc="FFFFFFFF">
      <w:start w:val="1"/>
      <w:numFmt w:val="decimal"/>
      <w:lvlText w:val="%1."/>
      <w:lvlJc w:val="left"/>
      <w:pPr>
        <w:ind w:left="1065" w:hanging="705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FE7251"/>
    <w:multiLevelType w:val="hybridMultilevel"/>
    <w:tmpl w:val="7D906C2C"/>
    <w:lvl w:ilvl="0" w:tplc="90BC1D6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862B91"/>
    <w:multiLevelType w:val="hybridMultilevel"/>
    <w:tmpl w:val="48B0F56A"/>
    <w:lvl w:ilvl="0" w:tplc="8716D19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123F2D"/>
    <w:multiLevelType w:val="hybridMultilevel"/>
    <w:tmpl w:val="D630ABA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7145F1"/>
    <w:multiLevelType w:val="hybridMultilevel"/>
    <w:tmpl w:val="8ECEE130"/>
    <w:lvl w:ilvl="0" w:tplc="F5C897E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994C48"/>
    <w:multiLevelType w:val="hybridMultilevel"/>
    <w:tmpl w:val="3806CD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811E7A"/>
    <w:multiLevelType w:val="hybridMultilevel"/>
    <w:tmpl w:val="B66277A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950C60"/>
    <w:multiLevelType w:val="hybridMultilevel"/>
    <w:tmpl w:val="053ABF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8A2A04"/>
    <w:multiLevelType w:val="hybridMultilevel"/>
    <w:tmpl w:val="2A18353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971366">
    <w:abstractNumId w:val="14"/>
  </w:num>
  <w:num w:numId="2" w16cid:durableId="442502905">
    <w:abstractNumId w:val="12"/>
  </w:num>
  <w:num w:numId="3" w16cid:durableId="421999309">
    <w:abstractNumId w:val="0"/>
  </w:num>
  <w:num w:numId="4" w16cid:durableId="1933393614">
    <w:abstractNumId w:val="2"/>
  </w:num>
  <w:num w:numId="5" w16cid:durableId="353581307">
    <w:abstractNumId w:val="18"/>
  </w:num>
  <w:num w:numId="6" w16cid:durableId="1628046438">
    <w:abstractNumId w:val="6"/>
  </w:num>
  <w:num w:numId="7" w16cid:durableId="1931160005">
    <w:abstractNumId w:val="4"/>
  </w:num>
  <w:num w:numId="8" w16cid:durableId="102504721">
    <w:abstractNumId w:val="16"/>
  </w:num>
  <w:num w:numId="9" w16cid:durableId="808327926">
    <w:abstractNumId w:val="15"/>
  </w:num>
  <w:num w:numId="10" w16cid:durableId="1159421273">
    <w:abstractNumId w:val="11"/>
  </w:num>
  <w:num w:numId="11" w16cid:durableId="232857335">
    <w:abstractNumId w:val="8"/>
  </w:num>
  <w:num w:numId="12" w16cid:durableId="2100174955">
    <w:abstractNumId w:val="1"/>
  </w:num>
  <w:num w:numId="13" w16cid:durableId="31542585">
    <w:abstractNumId w:val="13"/>
  </w:num>
  <w:num w:numId="14" w16cid:durableId="645206729">
    <w:abstractNumId w:val="5"/>
  </w:num>
  <w:num w:numId="15" w16cid:durableId="746922252">
    <w:abstractNumId w:val="9"/>
  </w:num>
  <w:num w:numId="16" w16cid:durableId="1591739538">
    <w:abstractNumId w:val="17"/>
  </w:num>
  <w:num w:numId="17" w16cid:durableId="212155247">
    <w:abstractNumId w:val="7"/>
  </w:num>
  <w:num w:numId="18" w16cid:durableId="1446735330">
    <w:abstractNumId w:val="3"/>
  </w:num>
  <w:num w:numId="19" w16cid:durableId="187271978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1F2"/>
    <w:rsid w:val="000017EB"/>
    <w:rsid w:val="000048D9"/>
    <w:rsid w:val="00014169"/>
    <w:rsid w:val="00023897"/>
    <w:rsid w:val="00025666"/>
    <w:rsid w:val="00027211"/>
    <w:rsid w:val="00054820"/>
    <w:rsid w:val="00065B8E"/>
    <w:rsid w:val="00076F07"/>
    <w:rsid w:val="0009389D"/>
    <w:rsid w:val="00093D93"/>
    <w:rsid w:val="000A7496"/>
    <w:rsid w:val="000B3DB3"/>
    <w:rsid w:val="000C6C64"/>
    <w:rsid w:val="000D6D7E"/>
    <w:rsid w:val="000E612A"/>
    <w:rsid w:val="000E7764"/>
    <w:rsid w:val="000E7E99"/>
    <w:rsid w:val="000F1A64"/>
    <w:rsid w:val="000F28C3"/>
    <w:rsid w:val="00101FAC"/>
    <w:rsid w:val="00102244"/>
    <w:rsid w:val="00105839"/>
    <w:rsid w:val="001103FC"/>
    <w:rsid w:val="001150EB"/>
    <w:rsid w:val="001200AE"/>
    <w:rsid w:val="00123D06"/>
    <w:rsid w:val="00163578"/>
    <w:rsid w:val="00165310"/>
    <w:rsid w:val="001828EE"/>
    <w:rsid w:val="001835C6"/>
    <w:rsid w:val="001958FC"/>
    <w:rsid w:val="001A457A"/>
    <w:rsid w:val="001A4A28"/>
    <w:rsid w:val="001B5E0B"/>
    <w:rsid w:val="001D1EC1"/>
    <w:rsid w:val="001E4A8C"/>
    <w:rsid w:val="001F0291"/>
    <w:rsid w:val="001F3335"/>
    <w:rsid w:val="001F35C9"/>
    <w:rsid w:val="001F3AC9"/>
    <w:rsid w:val="001F503F"/>
    <w:rsid w:val="002055DB"/>
    <w:rsid w:val="00213E90"/>
    <w:rsid w:val="00216147"/>
    <w:rsid w:val="0022042D"/>
    <w:rsid w:val="00230E24"/>
    <w:rsid w:val="00234237"/>
    <w:rsid w:val="002464CC"/>
    <w:rsid w:val="0024725E"/>
    <w:rsid w:val="00262C65"/>
    <w:rsid w:val="0027307F"/>
    <w:rsid w:val="0029103E"/>
    <w:rsid w:val="0029416A"/>
    <w:rsid w:val="002A2AF3"/>
    <w:rsid w:val="002B4442"/>
    <w:rsid w:val="002B5B82"/>
    <w:rsid w:val="002C020D"/>
    <w:rsid w:val="002C479A"/>
    <w:rsid w:val="002C4E3D"/>
    <w:rsid w:val="002D0D04"/>
    <w:rsid w:val="002D26FB"/>
    <w:rsid w:val="002E39A8"/>
    <w:rsid w:val="002E5343"/>
    <w:rsid w:val="002E6E15"/>
    <w:rsid w:val="002E7B85"/>
    <w:rsid w:val="002F118F"/>
    <w:rsid w:val="002F4467"/>
    <w:rsid w:val="003071BF"/>
    <w:rsid w:val="00330754"/>
    <w:rsid w:val="0034128E"/>
    <w:rsid w:val="003422DC"/>
    <w:rsid w:val="003463ED"/>
    <w:rsid w:val="003509F8"/>
    <w:rsid w:val="00352476"/>
    <w:rsid w:val="0036718A"/>
    <w:rsid w:val="0037443B"/>
    <w:rsid w:val="00377F55"/>
    <w:rsid w:val="003808ED"/>
    <w:rsid w:val="00382917"/>
    <w:rsid w:val="003912BF"/>
    <w:rsid w:val="00391EC4"/>
    <w:rsid w:val="003965EE"/>
    <w:rsid w:val="003C2D6A"/>
    <w:rsid w:val="003D6D3B"/>
    <w:rsid w:val="003E5984"/>
    <w:rsid w:val="003F1C59"/>
    <w:rsid w:val="003F1DC0"/>
    <w:rsid w:val="003F768A"/>
    <w:rsid w:val="00403027"/>
    <w:rsid w:val="004116AA"/>
    <w:rsid w:val="0043015A"/>
    <w:rsid w:val="0043731B"/>
    <w:rsid w:val="00441FEC"/>
    <w:rsid w:val="0044202D"/>
    <w:rsid w:val="00444DF6"/>
    <w:rsid w:val="004667B0"/>
    <w:rsid w:val="00470FC9"/>
    <w:rsid w:val="00490C11"/>
    <w:rsid w:val="004B11CD"/>
    <w:rsid w:val="004B176B"/>
    <w:rsid w:val="004B3769"/>
    <w:rsid w:val="004D0A2C"/>
    <w:rsid w:val="004D1203"/>
    <w:rsid w:val="004D295C"/>
    <w:rsid w:val="004D789C"/>
    <w:rsid w:val="004F092A"/>
    <w:rsid w:val="00517413"/>
    <w:rsid w:val="00525A88"/>
    <w:rsid w:val="0055419D"/>
    <w:rsid w:val="00555594"/>
    <w:rsid w:val="00557CD3"/>
    <w:rsid w:val="00564ED8"/>
    <w:rsid w:val="00565EFF"/>
    <w:rsid w:val="005733B8"/>
    <w:rsid w:val="005759B4"/>
    <w:rsid w:val="00595A73"/>
    <w:rsid w:val="005A0BDB"/>
    <w:rsid w:val="005A4262"/>
    <w:rsid w:val="005A4B42"/>
    <w:rsid w:val="005A5024"/>
    <w:rsid w:val="005A7FD1"/>
    <w:rsid w:val="005B2EFD"/>
    <w:rsid w:val="005B5687"/>
    <w:rsid w:val="005C3517"/>
    <w:rsid w:val="005D0783"/>
    <w:rsid w:val="005D09E8"/>
    <w:rsid w:val="005D0CE2"/>
    <w:rsid w:val="005E0005"/>
    <w:rsid w:val="005E1189"/>
    <w:rsid w:val="005E678E"/>
    <w:rsid w:val="006006EF"/>
    <w:rsid w:val="00602211"/>
    <w:rsid w:val="00603D51"/>
    <w:rsid w:val="00607897"/>
    <w:rsid w:val="006107EB"/>
    <w:rsid w:val="006125FE"/>
    <w:rsid w:val="0062627E"/>
    <w:rsid w:val="00676261"/>
    <w:rsid w:val="0068517C"/>
    <w:rsid w:val="00685925"/>
    <w:rsid w:val="006932AE"/>
    <w:rsid w:val="006B5F9D"/>
    <w:rsid w:val="006D4F55"/>
    <w:rsid w:val="0070526B"/>
    <w:rsid w:val="00711506"/>
    <w:rsid w:val="00715341"/>
    <w:rsid w:val="00724697"/>
    <w:rsid w:val="00724C4B"/>
    <w:rsid w:val="0073165C"/>
    <w:rsid w:val="007404F2"/>
    <w:rsid w:val="00740653"/>
    <w:rsid w:val="007526E2"/>
    <w:rsid w:val="00753885"/>
    <w:rsid w:val="00764ED0"/>
    <w:rsid w:val="00767AA3"/>
    <w:rsid w:val="0077127A"/>
    <w:rsid w:val="0077478B"/>
    <w:rsid w:val="00777EBB"/>
    <w:rsid w:val="00780FE2"/>
    <w:rsid w:val="007939F5"/>
    <w:rsid w:val="007969FE"/>
    <w:rsid w:val="007B5B71"/>
    <w:rsid w:val="007D5FD1"/>
    <w:rsid w:val="007D6F9B"/>
    <w:rsid w:val="007F0251"/>
    <w:rsid w:val="007F0A5C"/>
    <w:rsid w:val="007F6C10"/>
    <w:rsid w:val="007F6EF5"/>
    <w:rsid w:val="008113A4"/>
    <w:rsid w:val="008136C3"/>
    <w:rsid w:val="0082110E"/>
    <w:rsid w:val="008258AC"/>
    <w:rsid w:val="00833031"/>
    <w:rsid w:val="008407EE"/>
    <w:rsid w:val="008550A6"/>
    <w:rsid w:val="008718CC"/>
    <w:rsid w:val="008802C5"/>
    <w:rsid w:val="00881EAC"/>
    <w:rsid w:val="00883F3D"/>
    <w:rsid w:val="00894574"/>
    <w:rsid w:val="00897310"/>
    <w:rsid w:val="008A0BF9"/>
    <w:rsid w:val="008A4E2B"/>
    <w:rsid w:val="008A6045"/>
    <w:rsid w:val="008A73D4"/>
    <w:rsid w:val="008C4638"/>
    <w:rsid w:val="008C489A"/>
    <w:rsid w:val="008D6863"/>
    <w:rsid w:val="008E448D"/>
    <w:rsid w:val="008E5D6A"/>
    <w:rsid w:val="008F0ABA"/>
    <w:rsid w:val="008F1876"/>
    <w:rsid w:val="008F4E0D"/>
    <w:rsid w:val="00907AA6"/>
    <w:rsid w:val="00926D4D"/>
    <w:rsid w:val="009342D7"/>
    <w:rsid w:val="00943185"/>
    <w:rsid w:val="009457B2"/>
    <w:rsid w:val="009553B1"/>
    <w:rsid w:val="00955EFF"/>
    <w:rsid w:val="00963551"/>
    <w:rsid w:val="009651E6"/>
    <w:rsid w:val="00970900"/>
    <w:rsid w:val="00983AA5"/>
    <w:rsid w:val="009979AD"/>
    <w:rsid w:val="009A0110"/>
    <w:rsid w:val="009A1311"/>
    <w:rsid w:val="009A5005"/>
    <w:rsid w:val="009A578B"/>
    <w:rsid w:val="009B122A"/>
    <w:rsid w:val="009B1E30"/>
    <w:rsid w:val="009B7A5D"/>
    <w:rsid w:val="009C22B7"/>
    <w:rsid w:val="009C4E29"/>
    <w:rsid w:val="009D0DB2"/>
    <w:rsid w:val="009F222B"/>
    <w:rsid w:val="009F4AA7"/>
    <w:rsid w:val="00A036B3"/>
    <w:rsid w:val="00A13D88"/>
    <w:rsid w:val="00A225B3"/>
    <w:rsid w:val="00A54D00"/>
    <w:rsid w:val="00A93B74"/>
    <w:rsid w:val="00AB032D"/>
    <w:rsid w:val="00AB5440"/>
    <w:rsid w:val="00AB5C3D"/>
    <w:rsid w:val="00AB765E"/>
    <w:rsid w:val="00AC1D0E"/>
    <w:rsid w:val="00AC3AC2"/>
    <w:rsid w:val="00AC6AE0"/>
    <w:rsid w:val="00AE4C41"/>
    <w:rsid w:val="00AF03A2"/>
    <w:rsid w:val="00B00A10"/>
    <w:rsid w:val="00B0195C"/>
    <w:rsid w:val="00B025CB"/>
    <w:rsid w:val="00B04853"/>
    <w:rsid w:val="00B06C3E"/>
    <w:rsid w:val="00B14E7F"/>
    <w:rsid w:val="00B16133"/>
    <w:rsid w:val="00B16DCD"/>
    <w:rsid w:val="00B224A8"/>
    <w:rsid w:val="00B44674"/>
    <w:rsid w:val="00B50EDA"/>
    <w:rsid w:val="00B60E09"/>
    <w:rsid w:val="00B633BF"/>
    <w:rsid w:val="00B82D15"/>
    <w:rsid w:val="00B85229"/>
    <w:rsid w:val="00BA11F2"/>
    <w:rsid w:val="00BA2CB8"/>
    <w:rsid w:val="00BA6A17"/>
    <w:rsid w:val="00BB1FA3"/>
    <w:rsid w:val="00BB3EE1"/>
    <w:rsid w:val="00BB6C59"/>
    <w:rsid w:val="00BC0202"/>
    <w:rsid w:val="00BD12CA"/>
    <w:rsid w:val="00BD3679"/>
    <w:rsid w:val="00BD45AC"/>
    <w:rsid w:val="00BE5F25"/>
    <w:rsid w:val="00C01768"/>
    <w:rsid w:val="00C03425"/>
    <w:rsid w:val="00C23088"/>
    <w:rsid w:val="00C4175D"/>
    <w:rsid w:val="00C52995"/>
    <w:rsid w:val="00C63699"/>
    <w:rsid w:val="00C733CA"/>
    <w:rsid w:val="00C74715"/>
    <w:rsid w:val="00C94D30"/>
    <w:rsid w:val="00CA0BF2"/>
    <w:rsid w:val="00CA130D"/>
    <w:rsid w:val="00CB58F0"/>
    <w:rsid w:val="00CC03BA"/>
    <w:rsid w:val="00CC175F"/>
    <w:rsid w:val="00CC6768"/>
    <w:rsid w:val="00CD4EB4"/>
    <w:rsid w:val="00CF33DD"/>
    <w:rsid w:val="00CF35D9"/>
    <w:rsid w:val="00CF45D6"/>
    <w:rsid w:val="00CF51AA"/>
    <w:rsid w:val="00D02281"/>
    <w:rsid w:val="00D045A0"/>
    <w:rsid w:val="00D458B2"/>
    <w:rsid w:val="00D64149"/>
    <w:rsid w:val="00D65ED0"/>
    <w:rsid w:val="00D66735"/>
    <w:rsid w:val="00D710A7"/>
    <w:rsid w:val="00D81C25"/>
    <w:rsid w:val="00D97BF1"/>
    <w:rsid w:val="00DB275C"/>
    <w:rsid w:val="00DB2AF5"/>
    <w:rsid w:val="00DB6BF1"/>
    <w:rsid w:val="00DC3A5B"/>
    <w:rsid w:val="00DC5DC8"/>
    <w:rsid w:val="00DC76E7"/>
    <w:rsid w:val="00DD4581"/>
    <w:rsid w:val="00DE2575"/>
    <w:rsid w:val="00E01381"/>
    <w:rsid w:val="00E32A41"/>
    <w:rsid w:val="00E36177"/>
    <w:rsid w:val="00E424A7"/>
    <w:rsid w:val="00E70727"/>
    <w:rsid w:val="00E83A55"/>
    <w:rsid w:val="00EA012F"/>
    <w:rsid w:val="00EA2790"/>
    <w:rsid w:val="00EA28FD"/>
    <w:rsid w:val="00EA4DA2"/>
    <w:rsid w:val="00EC4046"/>
    <w:rsid w:val="00EC44D3"/>
    <w:rsid w:val="00ED002A"/>
    <w:rsid w:val="00ED627C"/>
    <w:rsid w:val="00ED791F"/>
    <w:rsid w:val="00EE0897"/>
    <w:rsid w:val="00EE3E4B"/>
    <w:rsid w:val="00EE5427"/>
    <w:rsid w:val="00F138BF"/>
    <w:rsid w:val="00F148AD"/>
    <w:rsid w:val="00F16D6D"/>
    <w:rsid w:val="00F237DE"/>
    <w:rsid w:val="00F2766B"/>
    <w:rsid w:val="00F3207E"/>
    <w:rsid w:val="00F56964"/>
    <w:rsid w:val="00F57B28"/>
    <w:rsid w:val="00F61787"/>
    <w:rsid w:val="00F632DE"/>
    <w:rsid w:val="00F67870"/>
    <w:rsid w:val="00F728F9"/>
    <w:rsid w:val="00F80FBA"/>
    <w:rsid w:val="00F86989"/>
    <w:rsid w:val="00F95873"/>
    <w:rsid w:val="00FA20E3"/>
    <w:rsid w:val="00FC3994"/>
    <w:rsid w:val="00FD0395"/>
    <w:rsid w:val="00FD6789"/>
    <w:rsid w:val="00FE39D9"/>
    <w:rsid w:val="00FF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5D0D77"/>
  <w15:chartTrackingRefBased/>
  <w15:docId w15:val="{35429E2A-EEE3-4B3C-98A3-A36F65FB3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rFonts w:ascii="Arial" w:hAnsi="Arial" w:cs="Arial"/>
      <w:b/>
      <w:bCs/>
      <w:sz w:val="22"/>
    </w:rPr>
  </w:style>
  <w:style w:type="paragraph" w:styleId="Nagwek2">
    <w:name w:val="heading 2"/>
    <w:basedOn w:val="Normalny"/>
    <w:next w:val="Normalny"/>
    <w:qFormat/>
    <w:pPr>
      <w:keepNext/>
      <w:spacing w:line="360" w:lineRule="auto"/>
      <w:jc w:val="center"/>
      <w:outlineLvl w:val="1"/>
    </w:pPr>
    <w:rPr>
      <w:rFonts w:ascii="Arial" w:hAnsi="Arial" w:cs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rFonts w:ascii="Arial" w:hAnsi="Arial" w:cs="Arial"/>
      <w:b/>
      <w:bCs/>
      <w:sz w:val="22"/>
    </w:rPr>
  </w:style>
  <w:style w:type="paragraph" w:styleId="Podtytu">
    <w:name w:val="Subtitle"/>
    <w:basedOn w:val="Normalny"/>
    <w:link w:val="PodtytuZnak"/>
    <w:qFormat/>
    <w:rPr>
      <w:rFonts w:ascii="Arial" w:hAnsi="Arial" w:cs="Arial"/>
      <w:b/>
      <w:bCs/>
      <w:sz w:val="22"/>
    </w:rPr>
  </w:style>
  <w:style w:type="paragraph" w:styleId="Tekstpodstawowywcity3">
    <w:name w:val="Body Text Indent 3"/>
    <w:basedOn w:val="Normalny"/>
    <w:pPr>
      <w:ind w:firstLine="300"/>
      <w:jc w:val="both"/>
    </w:pPr>
    <w:rPr>
      <w:kern w:val="16"/>
    </w:rPr>
  </w:style>
  <w:style w:type="paragraph" w:styleId="Tekstpodstawowy">
    <w:name w:val="Body Text"/>
    <w:basedOn w:val="Normalny"/>
    <w:pPr>
      <w:spacing w:after="120"/>
    </w:pPr>
  </w:style>
  <w:style w:type="character" w:customStyle="1" w:styleId="WW-Absatz-Standardschriftart1">
    <w:name w:val="WW-Absatz-Standardschriftart1"/>
  </w:style>
  <w:style w:type="character" w:customStyle="1" w:styleId="PodtytuZnak">
    <w:name w:val="Podtytuł Znak"/>
    <w:link w:val="Podtytu"/>
    <w:rsid w:val="00CC175F"/>
    <w:rPr>
      <w:rFonts w:ascii="Arial" w:hAnsi="Arial" w:cs="Arial"/>
      <w:b/>
      <w:bCs/>
      <w:sz w:val="22"/>
      <w:szCs w:val="24"/>
    </w:rPr>
  </w:style>
  <w:style w:type="paragraph" w:styleId="Akapitzlist">
    <w:name w:val="List Paragraph"/>
    <w:basedOn w:val="Normalny"/>
    <w:uiPriority w:val="34"/>
    <w:qFormat/>
    <w:rsid w:val="00F237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42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967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Arkadiusz Janicki</cp:lastModifiedBy>
  <cp:revision>9</cp:revision>
  <cp:lastPrinted>2009-05-27T07:20:00Z</cp:lastPrinted>
  <dcterms:created xsi:type="dcterms:W3CDTF">2023-11-09T13:20:00Z</dcterms:created>
  <dcterms:modified xsi:type="dcterms:W3CDTF">2023-11-10T17:49:00Z</dcterms:modified>
</cp:coreProperties>
</file>