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04F64F4B" w14:textId="38225219" w:rsidR="008870AA" w:rsidRDefault="00857B2A" w:rsidP="008870AA">
      <w:pPr>
        <w:spacing w:line="240" w:lineRule="auto"/>
        <w:jc w:val="center"/>
        <w:rPr>
          <w:rFonts w:asciiTheme="minorHAnsi" w:hAnsiTheme="minorHAnsi" w:cstheme="minorHAnsi"/>
          <w:b/>
          <w:bCs/>
        </w:rPr>
      </w:pPr>
      <w:bookmarkStart w:id="3" w:name="_Hlk80952099"/>
      <w:r>
        <w:rPr>
          <w:rFonts w:asciiTheme="minorHAnsi" w:hAnsiTheme="minorHAnsi" w:cstheme="minorHAnsi"/>
          <w:b/>
          <w:bCs/>
        </w:rPr>
        <w:t>Budowa Szkoły Podstawowej w Dopiewcu</w:t>
      </w:r>
    </w:p>
    <w:p w14:paraId="2086C0D8" w14:textId="6253E244" w:rsidR="008870AA" w:rsidRDefault="008870AA" w:rsidP="008870AA">
      <w:pPr>
        <w:spacing w:line="240" w:lineRule="auto"/>
        <w:jc w:val="center"/>
        <w:rPr>
          <w:rFonts w:asciiTheme="minorHAnsi" w:hAnsiTheme="minorHAnsi" w:cstheme="minorHAnsi"/>
          <w:b/>
          <w:bCs/>
        </w:rPr>
      </w:pPr>
    </w:p>
    <w:p w14:paraId="471C4224" w14:textId="77777777" w:rsidR="008870AA" w:rsidRPr="008870AA" w:rsidRDefault="008870AA" w:rsidP="008870AA">
      <w:pPr>
        <w:spacing w:line="240" w:lineRule="auto"/>
        <w:jc w:val="center"/>
        <w:rPr>
          <w:rFonts w:asciiTheme="minorHAnsi" w:hAnsiTheme="minorHAnsi" w:cstheme="minorHAnsi"/>
          <w:b/>
          <w:noProof/>
        </w:rPr>
      </w:pPr>
    </w:p>
    <w:p w14:paraId="6E8345BC" w14:textId="77777777" w:rsidR="00850178" w:rsidRDefault="00850178" w:rsidP="008870AA">
      <w:pPr>
        <w:jc w:val="center"/>
        <w:rPr>
          <w:rFonts w:asciiTheme="minorHAnsi" w:hAnsiTheme="minorHAnsi" w:cstheme="minorHAnsi"/>
          <w:sz w:val="18"/>
          <w:szCs w:val="18"/>
        </w:rPr>
      </w:pPr>
      <w:bookmarkStart w:id="4" w:name="_Hlk89441002"/>
      <w:bookmarkEnd w:id="3"/>
      <w:r>
        <w:rPr>
          <w:rFonts w:asciiTheme="minorHAnsi" w:hAnsiTheme="minorHAnsi" w:cstheme="minorHAnsi"/>
          <w:sz w:val="18"/>
          <w:szCs w:val="18"/>
        </w:rPr>
        <w:t>Operacja</w:t>
      </w:r>
      <w:r w:rsidR="008870AA" w:rsidRPr="008870AA">
        <w:rPr>
          <w:rFonts w:asciiTheme="minorHAnsi" w:hAnsiTheme="minorHAnsi" w:cstheme="minorHAnsi"/>
          <w:sz w:val="18"/>
          <w:szCs w:val="18"/>
        </w:rPr>
        <w:t xml:space="preserve"> pn. </w:t>
      </w:r>
      <w:r w:rsidR="008870AA" w:rsidRPr="008870AA">
        <w:rPr>
          <w:rFonts w:asciiTheme="minorHAnsi" w:hAnsiTheme="minorHAnsi" w:cstheme="minorHAnsi"/>
          <w:b/>
          <w:bCs/>
          <w:sz w:val="18"/>
          <w:szCs w:val="18"/>
        </w:rPr>
        <w:t>„</w:t>
      </w:r>
      <w:r w:rsidR="008870AA" w:rsidRPr="008870AA">
        <w:rPr>
          <w:rFonts w:asciiTheme="minorHAnsi" w:hAnsiTheme="minorHAnsi" w:cstheme="minorHAnsi"/>
          <w:b/>
          <w:bCs/>
          <w:i/>
          <w:iCs/>
          <w:sz w:val="18"/>
          <w:szCs w:val="18"/>
        </w:rPr>
        <w:t>Budowa kanalizacji sanitarnej w miejscowościach Palędzie i Dopiewiec oraz budowa sieci wodociągowej w miejscowości Palędzie w Gminie Dopiewo</w:t>
      </w:r>
      <w:r w:rsidR="008870AA" w:rsidRPr="008870AA">
        <w:rPr>
          <w:rFonts w:asciiTheme="minorHAnsi" w:hAnsiTheme="minorHAnsi" w:cstheme="minorHAnsi"/>
          <w:sz w:val="18"/>
          <w:szCs w:val="18"/>
        </w:rPr>
        <w:t>”</w:t>
      </w:r>
      <w:r w:rsidR="008870AA" w:rsidRPr="008870AA">
        <w:rPr>
          <w:rFonts w:asciiTheme="minorHAnsi" w:hAnsiTheme="minorHAnsi" w:cstheme="minorHAnsi"/>
          <w:b/>
          <w:sz w:val="18"/>
          <w:szCs w:val="18"/>
        </w:rPr>
        <w:t xml:space="preserve"> </w:t>
      </w:r>
      <w:r w:rsidR="008870AA" w:rsidRPr="008870AA">
        <w:rPr>
          <w:rFonts w:asciiTheme="minorHAnsi" w:hAnsiTheme="minorHAnsi" w:cstheme="minorHAnsi"/>
          <w:sz w:val="18"/>
          <w:szCs w:val="18"/>
        </w:rPr>
        <w:t xml:space="preserve">współfinansowany jest ze środków Unii Europejskiej w ramach poddziałania </w:t>
      </w:r>
      <w:r w:rsidR="008870AA" w:rsidRPr="008870AA">
        <w:rPr>
          <w:rFonts w:asciiTheme="minorHAnsi" w:hAnsiTheme="minorHAnsi" w:cstheme="minorHAnsi"/>
          <w:i/>
          <w:iCs/>
          <w:sz w:val="18"/>
          <w:szCs w:val="18"/>
        </w:rPr>
        <w:t xml:space="preserve">„Wsparcie inwestycji związanych z tworzeniem, ulepszaniem lub rozbudową wszystkich rodzajów małej infrastruktury, w tym inwestycji w energie odnawialną i </w:t>
      </w:r>
      <w:r w:rsidR="008870AA" w:rsidRPr="00311B20">
        <w:rPr>
          <w:rFonts w:asciiTheme="minorHAnsi" w:hAnsiTheme="minorHAnsi" w:cstheme="minorHAnsi"/>
          <w:i/>
          <w:iCs/>
          <w:sz w:val="18"/>
          <w:szCs w:val="18"/>
        </w:rPr>
        <w:t>w oszczędzanie energii</w:t>
      </w:r>
      <w:r w:rsidR="008870AA" w:rsidRPr="00311B20">
        <w:rPr>
          <w:rFonts w:asciiTheme="minorHAnsi" w:hAnsiTheme="minorHAnsi" w:cstheme="minorHAnsi"/>
          <w:sz w:val="18"/>
          <w:szCs w:val="18"/>
        </w:rPr>
        <w:t>” ob</w:t>
      </w:r>
      <w:r w:rsidR="008870AA" w:rsidRPr="008870AA">
        <w:rPr>
          <w:rFonts w:asciiTheme="minorHAnsi" w:hAnsiTheme="minorHAnsi" w:cstheme="minorHAnsi"/>
          <w:sz w:val="18"/>
          <w:szCs w:val="18"/>
        </w:rPr>
        <w:t>jętego PROW na lata 2014-2020</w:t>
      </w:r>
      <w:r>
        <w:rPr>
          <w:rFonts w:asciiTheme="minorHAnsi" w:hAnsiTheme="minorHAnsi" w:cstheme="minorHAnsi"/>
          <w:sz w:val="18"/>
          <w:szCs w:val="18"/>
        </w:rPr>
        <w:t xml:space="preserve"> </w:t>
      </w:r>
    </w:p>
    <w:p w14:paraId="4499FFDE" w14:textId="3D1732B6" w:rsidR="008870AA" w:rsidRPr="008870AA" w:rsidRDefault="00850178" w:rsidP="008870AA">
      <w:pPr>
        <w:jc w:val="center"/>
        <w:rPr>
          <w:rFonts w:asciiTheme="minorHAnsi" w:hAnsiTheme="minorHAnsi" w:cstheme="minorHAnsi"/>
          <w:sz w:val="18"/>
          <w:szCs w:val="18"/>
        </w:rPr>
      </w:pPr>
      <w:r>
        <w:rPr>
          <w:rFonts w:asciiTheme="minorHAnsi" w:hAnsiTheme="minorHAnsi" w:cstheme="minorHAnsi"/>
          <w:sz w:val="18"/>
          <w:szCs w:val="18"/>
        </w:rPr>
        <w:t>(Umowa o przyznaniu pomocy Nr 00119-65150-UM1500208/19 z dnia 12.05.2021r.)</w:t>
      </w:r>
    </w:p>
    <w:p w14:paraId="784CAD62" w14:textId="77777777" w:rsidR="008870AA" w:rsidRPr="008870AA" w:rsidRDefault="008870AA" w:rsidP="008870AA">
      <w:pPr>
        <w:spacing w:line="240" w:lineRule="auto"/>
        <w:rPr>
          <w:rFonts w:asciiTheme="minorHAnsi" w:eastAsia="Calibri" w:hAnsiTheme="minorHAnsi" w:cstheme="minorHAnsi"/>
          <w:b/>
          <w:bCs/>
          <w:kern w:val="3"/>
          <w:sz w:val="24"/>
          <w:szCs w:val="24"/>
        </w:rPr>
      </w:pPr>
    </w:p>
    <w:bookmarkEnd w:id="4"/>
    <w:p w14:paraId="30A49132" w14:textId="77777777" w:rsidR="008870AA" w:rsidRPr="008870AA" w:rsidRDefault="008870AA"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BAB6B44"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Pr>
          <w:rFonts w:asciiTheme="minorHAnsi" w:hAnsiTheme="minorHAnsi" w:cstheme="minorHAnsi"/>
          <w:b/>
          <w:bCs/>
        </w:rPr>
        <w:t>2</w:t>
      </w:r>
      <w:r w:rsidR="00857B2A">
        <w:rPr>
          <w:rFonts w:asciiTheme="minorHAnsi" w:hAnsiTheme="minorHAnsi" w:cstheme="minorHAnsi"/>
          <w:b/>
          <w:bCs/>
        </w:rPr>
        <w:t>9</w:t>
      </w:r>
      <w:r w:rsidRPr="008870AA">
        <w:rPr>
          <w:rFonts w:asciiTheme="minorHAnsi" w:hAnsiTheme="minorHAnsi" w:cstheme="minorHAnsi"/>
          <w:b/>
          <w:bCs/>
        </w:rPr>
        <w:t>.2021</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C0926CD"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2021.1</w:t>
      </w:r>
      <w:r w:rsidR="00ED702C" w:rsidRPr="00311B20">
        <w:rPr>
          <w:rFonts w:asciiTheme="minorHAnsi" w:eastAsia="Times New Roman" w:hAnsiTheme="minorHAnsi" w:cstheme="minorHAnsi"/>
          <w:b/>
          <w:bCs/>
        </w:rPr>
        <w:t>2</w:t>
      </w:r>
      <w:r w:rsidR="00311B20" w:rsidRPr="00311B20">
        <w:rPr>
          <w:rFonts w:asciiTheme="minorHAnsi" w:eastAsia="Times New Roman" w:hAnsiTheme="minorHAnsi" w:cstheme="minorHAnsi"/>
          <w:b/>
          <w:bCs/>
        </w:rPr>
        <w:t>.</w:t>
      </w:r>
      <w:r w:rsidR="00857B2A">
        <w:rPr>
          <w:rFonts w:asciiTheme="minorHAnsi" w:eastAsia="Times New Roman" w:hAnsiTheme="minorHAnsi" w:cstheme="minorHAnsi"/>
          <w:b/>
          <w:bCs/>
        </w:rPr>
        <w:t>17</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6" w:name="_Hlk88037790"/>
    </w:p>
    <w:p w14:paraId="5EDF39C9" w14:textId="77777777" w:rsidR="00857B2A" w:rsidRPr="008870AA" w:rsidRDefault="00857B2A"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6E8024B5"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BD2813">
                  <w:rPr>
                    <w:noProof/>
                    <w:webHidden/>
                  </w:rPr>
                  <w:t>3</w:t>
                </w:r>
                <w:r w:rsidRPr="008870AA">
                  <w:rPr>
                    <w:noProof/>
                    <w:webHidden/>
                  </w:rPr>
                  <w:fldChar w:fldCharType="end"/>
                </w:r>
              </w:hyperlink>
            </w:p>
            <w:p w14:paraId="61A34EEC" w14:textId="54132199" w:rsidR="004C6E37" w:rsidRPr="008870AA" w:rsidRDefault="000B24FD"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BD2813">
                  <w:rPr>
                    <w:noProof/>
                    <w:webHidden/>
                  </w:rPr>
                  <w:t>3</w:t>
                </w:r>
                <w:r w:rsidR="004C6E37" w:rsidRPr="008870AA">
                  <w:rPr>
                    <w:noProof/>
                    <w:webHidden/>
                  </w:rPr>
                  <w:fldChar w:fldCharType="end"/>
                </w:r>
              </w:hyperlink>
            </w:p>
            <w:p w14:paraId="5117AE51" w14:textId="0805550A" w:rsidR="004C6E37" w:rsidRPr="008870AA" w:rsidRDefault="000B24FD"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BD2813">
                  <w:rPr>
                    <w:noProof/>
                    <w:webHidden/>
                  </w:rPr>
                  <w:t>4</w:t>
                </w:r>
                <w:r w:rsidR="004C6E37" w:rsidRPr="008870AA">
                  <w:rPr>
                    <w:noProof/>
                    <w:webHidden/>
                  </w:rPr>
                  <w:fldChar w:fldCharType="end"/>
                </w:r>
              </w:hyperlink>
            </w:p>
            <w:p w14:paraId="14873990" w14:textId="0466FE22" w:rsidR="004C6E37" w:rsidRPr="008870AA" w:rsidRDefault="000B24FD"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324C0161" w:rsidR="004C6E37" w:rsidRPr="008870AA" w:rsidRDefault="000B24FD"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BD2813">
                  <w:rPr>
                    <w:noProof/>
                    <w:webHidden/>
                  </w:rPr>
                  <w:t>8</w:t>
                </w:r>
                <w:r w:rsidR="004C6E37" w:rsidRPr="008870AA">
                  <w:rPr>
                    <w:noProof/>
                    <w:webHidden/>
                  </w:rPr>
                  <w:fldChar w:fldCharType="end"/>
                </w:r>
              </w:hyperlink>
            </w:p>
            <w:p w14:paraId="07ABC015" w14:textId="5BEB2A49" w:rsidR="004C6E37" w:rsidRPr="008870AA" w:rsidRDefault="000B24FD"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BD2813">
                  <w:rPr>
                    <w:noProof/>
                    <w:webHidden/>
                  </w:rPr>
                  <w:t>8</w:t>
                </w:r>
                <w:r w:rsidR="004C6E37" w:rsidRPr="008870AA">
                  <w:rPr>
                    <w:noProof/>
                    <w:webHidden/>
                  </w:rPr>
                  <w:fldChar w:fldCharType="end"/>
                </w:r>
              </w:hyperlink>
            </w:p>
            <w:p w14:paraId="62F4ACF5" w14:textId="7A345FF3" w:rsidR="004C6E37" w:rsidRPr="008870AA" w:rsidRDefault="000B24FD"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651E4B7" w:rsidR="004C6E37" w:rsidRPr="008870AA" w:rsidRDefault="000B24FD"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EC008A3" w:rsidR="004C6E37" w:rsidRPr="008870AA" w:rsidRDefault="000B24FD"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1AA03440" w:rsidR="004C6E37" w:rsidRPr="008870AA" w:rsidRDefault="000B24FD"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BD2813">
                  <w:rPr>
                    <w:noProof/>
                    <w:webHidden/>
                  </w:rPr>
                  <w:t>13</w:t>
                </w:r>
                <w:r w:rsidR="004C6E37" w:rsidRPr="008870AA">
                  <w:rPr>
                    <w:noProof/>
                    <w:webHidden/>
                  </w:rPr>
                  <w:fldChar w:fldCharType="end"/>
                </w:r>
              </w:hyperlink>
            </w:p>
            <w:p w14:paraId="68FE1B86" w14:textId="3F023DDC" w:rsidR="004C6E37" w:rsidRPr="008870AA" w:rsidRDefault="000B24FD"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BD2813">
                  <w:rPr>
                    <w:noProof/>
                    <w:webHidden/>
                  </w:rPr>
                  <w:t>16</w:t>
                </w:r>
                <w:r w:rsidR="004C6E37" w:rsidRPr="008870AA">
                  <w:rPr>
                    <w:noProof/>
                    <w:webHidden/>
                  </w:rPr>
                  <w:fldChar w:fldCharType="end"/>
                </w:r>
              </w:hyperlink>
            </w:p>
            <w:p w14:paraId="7772C934" w14:textId="6866B61E" w:rsidR="004C6E37" w:rsidRPr="008870AA" w:rsidRDefault="000B24FD"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BD2813">
                  <w:rPr>
                    <w:noProof/>
                    <w:webHidden/>
                  </w:rPr>
                  <w:t>17</w:t>
                </w:r>
                <w:r w:rsidR="004C6E37" w:rsidRPr="008870AA">
                  <w:rPr>
                    <w:noProof/>
                    <w:webHidden/>
                  </w:rPr>
                  <w:fldChar w:fldCharType="end"/>
                </w:r>
              </w:hyperlink>
            </w:p>
            <w:p w14:paraId="099DD4D1" w14:textId="1C047143" w:rsidR="004C6E37" w:rsidRPr="008870AA" w:rsidRDefault="000B24FD"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BD2813">
                  <w:rPr>
                    <w:noProof/>
                    <w:webHidden/>
                  </w:rPr>
                  <w:t>17</w:t>
                </w:r>
                <w:r w:rsidR="004C6E37" w:rsidRPr="008870AA">
                  <w:rPr>
                    <w:noProof/>
                    <w:webHidden/>
                  </w:rPr>
                  <w:fldChar w:fldCharType="end"/>
                </w:r>
              </w:hyperlink>
            </w:p>
            <w:p w14:paraId="06FA1266" w14:textId="6E940233" w:rsidR="004C6E37" w:rsidRPr="008870AA" w:rsidRDefault="000B24FD"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6D0C900E" w:rsidR="004C6E37" w:rsidRPr="008870AA" w:rsidRDefault="000B24FD"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BD2813">
                  <w:rPr>
                    <w:noProof/>
                    <w:webHidden/>
                  </w:rPr>
                  <w:t>24</w:t>
                </w:r>
                <w:r w:rsidR="004C6E37" w:rsidRPr="008870AA">
                  <w:rPr>
                    <w:noProof/>
                    <w:webHidden/>
                  </w:rPr>
                  <w:fldChar w:fldCharType="end"/>
                </w:r>
              </w:hyperlink>
            </w:p>
            <w:p w14:paraId="20F19CA0" w14:textId="7FAE2DB3" w:rsidR="004C6E37" w:rsidRPr="008870AA" w:rsidRDefault="000B24FD"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BD2813">
                  <w:rPr>
                    <w:noProof/>
                    <w:webHidden/>
                  </w:rPr>
                  <w:t>25</w:t>
                </w:r>
                <w:r w:rsidR="004C6E37" w:rsidRPr="008870AA">
                  <w:rPr>
                    <w:noProof/>
                    <w:webHidden/>
                  </w:rPr>
                  <w:fldChar w:fldCharType="end"/>
                </w:r>
              </w:hyperlink>
            </w:p>
            <w:p w14:paraId="70127AF1" w14:textId="4AC2D1CD" w:rsidR="004C6E37" w:rsidRPr="008870AA" w:rsidRDefault="000B24FD"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BD2813">
                  <w:rPr>
                    <w:noProof/>
                    <w:webHidden/>
                  </w:rPr>
                  <w:t>25</w:t>
                </w:r>
                <w:r w:rsidR="004C6E37" w:rsidRPr="008870AA">
                  <w:rPr>
                    <w:noProof/>
                    <w:webHidden/>
                  </w:rPr>
                  <w:fldChar w:fldCharType="end"/>
                </w:r>
              </w:hyperlink>
            </w:p>
            <w:p w14:paraId="10036112" w14:textId="668BA0DD" w:rsidR="004C6E37" w:rsidRPr="008870AA" w:rsidRDefault="000B24FD"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BD2813">
                  <w:rPr>
                    <w:noProof/>
                    <w:webHidden/>
                  </w:rPr>
                  <w:t>25</w:t>
                </w:r>
                <w:r w:rsidR="004C6E37" w:rsidRPr="008870AA">
                  <w:rPr>
                    <w:noProof/>
                    <w:webHidden/>
                  </w:rPr>
                  <w:fldChar w:fldCharType="end"/>
                </w:r>
              </w:hyperlink>
            </w:p>
            <w:p w14:paraId="6CAFAA35" w14:textId="49889070" w:rsidR="004C6E37" w:rsidRPr="008870AA" w:rsidRDefault="000B24FD"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BD2813">
                  <w:rPr>
                    <w:noProof/>
                    <w:webHidden/>
                  </w:rPr>
                  <w:t>26</w:t>
                </w:r>
                <w:r w:rsidR="004C6E37" w:rsidRPr="008870AA">
                  <w:rPr>
                    <w:noProof/>
                    <w:webHidden/>
                  </w:rPr>
                  <w:fldChar w:fldCharType="end"/>
                </w:r>
              </w:hyperlink>
            </w:p>
            <w:p w14:paraId="2A2195B6" w14:textId="5B9EFE03" w:rsidR="004C6E37" w:rsidRPr="008870AA" w:rsidRDefault="000B24FD"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BD2813">
                  <w:rPr>
                    <w:noProof/>
                    <w:webHidden/>
                  </w:rPr>
                  <w:t>26</w:t>
                </w:r>
                <w:r w:rsidR="004C6E37" w:rsidRPr="008870AA">
                  <w:rPr>
                    <w:noProof/>
                    <w:webHidden/>
                  </w:rPr>
                  <w:fldChar w:fldCharType="end"/>
                </w:r>
              </w:hyperlink>
            </w:p>
            <w:p w14:paraId="657934AA" w14:textId="3E5D46F7" w:rsidR="004C6E37" w:rsidRPr="008870AA" w:rsidRDefault="000B24FD"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BD2813">
                  <w:rPr>
                    <w:noProof/>
                    <w:webHidden/>
                  </w:rPr>
                  <w:t>28</w:t>
                </w:r>
                <w:r w:rsidR="004C6E37" w:rsidRPr="008870AA">
                  <w:rPr>
                    <w:noProof/>
                    <w:webHidden/>
                  </w:rPr>
                  <w:fldChar w:fldCharType="end"/>
                </w:r>
              </w:hyperlink>
            </w:p>
            <w:p w14:paraId="75E65DE2" w14:textId="718D6AFC" w:rsidR="004C6E37" w:rsidRPr="008870AA" w:rsidRDefault="000B24FD"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BD2813">
                  <w:rPr>
                    <w:noProof/>
                    <w:webHidden/>
                  </w:rPr>
                  <w:t>28</w:t>
                </w:r>
                <w:r w:rsidR="004C6E37" w:rsidRPr="008870AA">
                  <w:rPr>
                    <w:noProof/>
                    <w:webHidden/>
                  </w:rPr>
                  <w:fldChar w:fldCharType="end"/>
                </w:r>
              </w:hyperlink>
            </w:p>
            <w:p w14:paraId="21AC982C" w14:textId="27671013" w:rsidR="004C6E37" w:rsidRPr="008870AA" w:rsidRDefault="000B24FD"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BD2813">
                  <w:rPr>
                    <w:noProof/>
                    <w:webHidden/>
                  </w:rPr>
                  <w:t>29</w:t>
                </w:r>
                <w:r w:rsidR="004C6E37" w:rsidRPr="008870AA">
                  <w:rPr>
                    <w:noProof/>
                    <w:webHidden/>
                  </w:rPr>
                  <w:fldChar w:fldCharType="end"/>
                </w:r>
              </w:hyperlink>
            </w:p>
            <w:p w14:paraId="75568734" w14:textId="35812432" w:rsidR="004C6E37" w:rsidRPr="008870AA" w:rsidRDefault="000B24FD"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BD2813">
                  <w:rPr>
                    <w:noProof/>
                    <w:webHidden/>
                  </w:rPr>
                  <w:t>29</w:t>
                </w:r>
                <w:r w:rsidR="004C6E37" w:rsidRPr="008870AA">
                  <w:rPr>
                    <w:noProof/>
                    <w:webHidden/>
                  </w:rPr>
                  <w:fldChar w:fldCharType="end"/>
                </w:r>
              </w:hyperlink>
            </w:p>
            <w:p w14:paraId="429A910E" w14:textId="2AF065C1" w:rsidR="004C6E37" w:rsidRPr="008870AA" w:rsidRDefault="000B24FD"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BD2813">
                  <w:rPr>
                    <w:noProof/>
                    <w:webHidden/>
                  </w:rPr>
                  <w:t>30</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6" w:displacedByCustomXml="prev"/>
    <w:bookmarkStart w:id="7" w:name="_Toc65495843" w:displacedByCustomXml="prev"/>
    <w:p w14:paraId="0E689F29" w14:textId="77777777" w:rsidR="00857B2A" w:rsidRDefault="00857B2A" w:rsidP="004C6E37">
      <w:pPr>
        <w:tabs>
          <w:tab w:val="right" w:pos="9025"/>
        </w:tabs>
        <w:spacing w:line="319" w:lineRule="auto"/>
        <w:rPr>
          <w:rFonts w:asciiTheme="minorHAnsi" w:hAnsiTheme="minorHAnsi" w:cstheme="minorHAnsi"/>
          <w:b/>
          <w:bCs/>
          <w:sz w:val="24"/>
          <w:szCs w:val="24"/>
        </w:rPr>
      </w:pPr>
    </w:p>
    <w:p w14:paraId="6F2BD369" w14:textId="77777777" w:rsidR="00857B2A" w:rsidRDefault="00857B2A" w:rsidP="004C6E37">
      <w:pPr>
        <w:tabs>
          <w:tab w:val="right" w:pos="9025"/>
        </w:tabs>
        <w:spacing w:line="319" w:lineRule="auto"/>
        <w:rPr>
          <w:rFonts w:asciiTheme="minorHAnsi" w:hAnsiTheme="minorHAnsi" w:cstheme="minorHAnsi"/>
          <w:b/>
          <w:bCs/>
          <w:sz w:val="24"/>
          <w:szCs w:val="24"/>
        </w:rPr>
      </w:pPr>
    </w:p>
    <w:p w14:paraId="458EADF3" w14:textId="77777777" w:rsidR="00857B2A" w:rsidRDefault="00857B2A" w:rsidP="004C6E37">
      <w:pPr>
        <w:tabs>
          <w:tab w:val="right" w:pos="9025"/>
        </w:tabs>
        <w:spacing w:line="319" w:lineRule="auto"/>
        <w:rPr>
          <w:rFonts w:asciiTheme="minorHAnsi" w:hAnsiTheme="minorHAnsi" w:cstheme="minorHAnsi"/>
          <w:b/>
          <w:bCs/>
          <w:sz w:val="24"/>
          <w:szCs w:val="24"/>
        </w:rPr>
      </w:pPr>
    </w:p>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3FEC35D2" w14:textId="6EED404D"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7"/>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8"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8"/>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4"/>
      <w:r w:rsidRPr="008870AA">
        <w:rPr>
          <w:rFonts w:asciiTheme="minorHAnsi" w:hAnsiTheme="minorHAnsi" w:cstheme="minorHAnsi"/>
          <w:b/>
          <w:bCs/>
          <w:sz w:val="24"/>
          <w:szCs w:val="24"/>
        </w:rPr>
        <w:t>II. Ochrona danych osobowych</w:t>
      </w:r>
      <w:bookmarkEnd w:id="9"/>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5"/>
      <w:r w:rsidRPr="008870AA">
        <w:rPr>
          <w:rFonts w:asciiTheme="minorHAnsi" w:hAnsiTheme="minorHAnsi" w:cstheme="minorHAnsi"/>
          <w:b/>
          <w:bCs/>
          <w:sz w:val="24"/>
          <w:szCs w:val="24"/>
        </w:rPr>
        <w:t>III. Tryb udzielania zamówienia</w:t>
      </w:r>
      <w:bookmarkEnd w:id="10"/>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77AEDA86"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Szczegółowe wymagania dotyczące realizacji oraz egzekwowania wymogu zatrudnienia na podstawie stosunku pracy zostały określone w projekcie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1" w:name="_Toc65495846"/>
      <w:bookmarkStart w:id="12" w:name="_Hlk66787009"/>
      <w:r w:rsidRPr="008870AA">
        <w:rPr>
          <w:rFonts w:asciiTheme="minorHAnsi" w:hAnsiTheme="minorHAnsi" w:cstheme="minorHAnsi"/>
          <w:b/>
          <w:bCs/>
          <w:sz w:val="24"/>
          <w:szCs w:val="24"/>
        </w:rPr>
        <w:t>IV. Opis przedmiotu zamówienia</w:t>
      </w:r>
      <w:bookmarkEnd w:id="11"/>
    </w:p>
    <w:p w14:paraId="0581BA54" w14:textId="7B52426D" w:rsidR="008870AA" w:rsidRDefault="008870AA" w:rsidP="00296A44">
      <w:pPr>
        <w:jc w:val="both"/>
        <w:rPr>
          <w:rFonts w:asciiTheme="minorHAnsi" w:hAnsiTheme="minorHAnsi" w:cstheme="minorHAnsi"/>
        </w:rPr>
      </w:pPr>
      <w:bookmarkStart w:id="13"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budowa </w:t>
      </w:r>
      <w:r w:rsidR="00857B2A" w:rsidRPr="00EE0719">
        <w:rPr>
          <w:rFonts w:asciiTheme="minorHAnsi" w:hAnsiTheme="minorHAnsi" w:cstheme="minorHAnsi"/>
        </w:rPr>
        <w:t>Szkoły Podstawowej w Dopiewcu</w:t>
      </w:r>
      <w:r w:rsidR="00EE0719" w:rsidRPr="00EE0719">
        <w:rPr>
          <w:rFonts w:asciiTheme="minorHAnsi" w:hAnsiTheme="minorHAnsi" w:cstheme="minorHAnsi"/>
        </w:rPr>
        <w:t>.</w:t>
      </w:r>
    </w:p>
    <w:p w14:paraId="1DCB48FC" w14:textId="5385F764" w:rsidR="00EE0719" w:rsidRPr="00EE0719" w:rsidRDefault="00EE0719" w:rsidP="00296A44">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4C5DD7E0" w14:textId="77777777" w:rsidR="003E3E74" w:rsidRPr="003E3E74" w:rsidRDefault="003E3E74" w:rsidP="003E3E74">
      <w:pPr>
        <w:autoSpaceDE w:val="0"/>
        <w:autoSpaceDN w:val="0"/>
        <w:adjustRightInd w:val="0"/>
        <w:spacing w:line="319" w:lineRule="auto"/>
        <w:jc w:val="both"/>
        <w:rPr>
          <w:rFonts w:asciiTheme="minorHAnsi" w:eastAsia="Lucida Sans Unicode" w:hAnsiTheme="minorHAnsi" w:cstheme="minorHAnsi"/>
          <w:kern w:val="1"/>
          <w:lang w:val="pl-PL" w:eastAsia="en-US"/>
        </w:rPr>
      </w:pPr>
      <w:r w:rsidRPr="003E3E74">
        <w:rPr>
          <w:rFonts w:asciiTheme="minorHAnsi" w:eastAsiaTheme="minorHAnsi" w:hAnsiTheme="minorHAnsi" w:cstheme="minorHAnsi"/>
          <w:color w:val="000000"/>
          <w:lang w:val="pl-PL" w:eastAsia="en-US"/>
        </w:rPr>
        <w:t>B</w:t>
      </w:r>
      <w:r w:rsidRPr="003E3E74">
        <w:rPr>
          <w:rFonts w:asciiTheme="minorHAnsi" w:eastAsia="Lucida Sans Unicode" w:hAnsiTheme="minorHAnsi" w:cstheme="minorHAnsi"/>
          <w:kern w:val="1"/>
          <w:lang w:val="pl-PL" w:eastAsia="en-US"/>
        </w:rPr>
        <w:t xml:space="preserve">udowa dwukondygnacyjnego budynku szkoły podstawowej w Dopiewcu o powierzchni użytkowej 1269,87 m2. wraz z zagospodarowaniem terenu. </w:t>
      </w:r>
    </w:p>
    <w:p w14:paraId="472F9221" w14:textId="039EE508" w:rsidR="003E3E74" w:rsidRPr="003E3E74" w:rsidRDefault="003E3E74" w:rsidP="003E3E74">
      <w:pPr>
        <w:widowControl w:val="0"/>
        <w:suppressLineNumbers/>
        <w:suppressAutoHyphens/>
        <w:spacing w:line="319" w:lineRule="auto"/>
        <w:jc w:val="both"/>
        <w:rPr>
          <w:rFonts w:asciiTheme="minorHAnsi" w:eastAsiaTheme="minorHAnsi" w:hAnsiTheme="minorHAnsi" w:cstheme="minorHAnsi"/>
          <w:lang w:val="pl-PL" w:eastAsia="en-US"/>
        </w:rPr>
      </w:pPr>
      <w:r w:rsidRPr="003E3E74">
        <w:rPr>
          <w:rFonts w:asciiTheme="minorHAnsi" w:eastAsiaTheme="minorHAnsi" w:hAnsiTheme="minorHAnsi" w:cstheme="minorHAnsi"/>
          <w:color w:val="000000"/>
          <w:lang w:val="pl-PL" w:eastAsia="en-US"/>
        </w:rPr>
        <w:t xml:space="preserve">Budynek komunikacyjnie skoncentrowany wokół otwarcia w środku, doświetlonego świetlikiem dachowym. Parter i piętro skomunikowano poprzez dwie klatki schodowe i windę. Szkoła jest w pełni dostępna dla osób niepełnosprawnych. Na każdej kondygnacji znajduje się po 5 </w:t>
      </w:r>
      <w:proofErr w:type="spellStart"/>
      <w:r w:rsidRPr="003E3E74">
        <w:rPr>
          <w:rFonts w:asciiTheme="minorHAnsi" w:eastAsiaTheme="minorHAnsi" w:hAnsiTheme="minorHAnsi" w:cstheme="minorHAnsi"/>
          <w:color w:val="000000"/>
          <w:lang w:val="pl-PL" w:eastAsia="en-US"/>
        </w:rPr>
        <w:t>sal</w:t>
      </w:r>
      <w:proofErr w:type="spellEnd"/>
      <w:r w:rsidRPr="003E3E74">
        <w:rPr>
          <w:rFonts w:asciiTheme="minorHAnsi" w:eastAsiaTheme="minorHAnsi" w:hAnsiTheme="minorHAnsi" w:cstheme="minorHAnsi"/>
          <w:color w:val="000000"/>
          <w:lang w:val="pl-PL" w:eastAsia="en-US"/>
        </w:rPr>
        <w:t xml:space="preserve"> lekcyjnych, w tym na parterze fizyczna i chemiczna</w:t>
      </w:r>
      <w:r w:rsidR="00F13C47">
        <w:rPr>
          <w:rFonts w:asciiTheme="minorHAnsi" w:eastAsiaTheme="minorHAnsi" w:hAnsiTheme="minorHAnsi" w:cstheme="minorHAnsi"/>
          <w:color w:val="000000"/>
          <w:lang w:val="pl-PL" w:eastAsia="en-US"/>
        </w:rPr>
        <w:t xml:space="preserve"> (Uwaga: dygestorium w sali chemicznej nie jest przedmiotem niniejszego postępowania)</w:t>
      </w:r>
      <w:r w:rsidRPr="003E3E74">
        <w:rPr>
          <w:rFonts w:asciiTheme="minorHAnsi" w:eastAsiaTheme="minorHAnsi" w:hAnsiTheme="minorHAnsi" w:cstheme="minorHAnsi"/>
          <w:color w:val="000000"/>
          <w:lang w:val="pl-PL" w:eastAsia="en-US"/>
        </w:rPr>
        <w:t xml:space="preserve">. </w:t>
      </w:r>
      <w:r w:rsidRPr="003E3E74">
        <w:rPr>
          <w:rFonts w:asciiTheme="minorHAnsi" w:eastAsiaTheme="minorHAnsi" w:hAnsiTheme="minorHAnsi" w:cstheme="minorHAnsi"/>
          <w:lang w:val="pl-PL" w:eastAsia="en-US"/>
        </w:rPr>
        <w:t>Sale lekcyjne uzupełniają pomieszczenia pomocnicze dostępne z korytarzy.</w:t>
      </w:r>
    </w:p>
    <w:p w14:paraId="0705C918" w14:textId="77777777" w:rsidR="003E3E74" w:rsidRPr="003E3E74" w:rsidRDefault="003E3E74" w:rsidP="003E3E74">
      <w:pPr>
        <w:widowControl w:val="0"/>
        <w:suppressLineNumbers/>
        <w:suppressAutoHyphens/>
        <w:spacing w:line="319" w:lineRule="auto"/>
        <w:jc w:val="both"/>
        <w:rPr>
          <w:rFonts w:asciiTheme="minorHAnsi" w:eastAsiaTheme="minorHAnsi" w:hAnsiTheme="minorHAnsi" w:cstheme="minorHAnsi"/>
          <w:lang w:val="pl-PL" w:eastAsia="en-US"/>
        </w:rPr>
      </w:pPr>
      <w:r w:rsidRPr="003E3E74">
        <w:rPr>
          <w:rFonts w:asciiTheme="minorHAnsi" w:eastAsiaTheme="minorHAnsi" w:hAnsiTheme="minorHAnsi" w:cstheme="minorHAnsi"/>
          <w:lang w:val="pl-PL" w:eastAsia="en-US"/>
        </w:rPr>
        <w:t>W ramach zagospodarowanie terenu należy wykonać m.in. drogę pożarową, dojścia i dojazdy, miejsca parkingowe, nasadzenia, zbiornik magazynowo -  rozsączający.</w:t>
      </w:r>
    </w:p>
    <w:p w14:paraId="04004DAD" w14:textId="54EE28B4" w:rsidR="003E3E74" w:rsidRPr="003E3E74" w:rsidRDefault="005F05D5" w:rsidP="003E3E74">
      <w:pPr>
        <w:widowControl w:val="0"/>
        <w:suppressLineNumbers/>
        <w:suppressAutoHyphens/>
        <w:spacing w:line="319" w:lineRule="auto"/>
        <w:jc w:val="both"/>
        <w:rPr>
          <w:rFonts w:asciiTheme="minorHAnsi" w:eastAsiaTheme="minorHAnsi" w:hAnsiTheme="minorHAnsi" w:cstheme="minorHAnsi"/>
          <w:lang w:val="pl-PL" w:eastAsia="en-US"/>
        </w:rPr>
      </w:pPr>
      <w:r w:rsidRPr="005F05D5">
        <w:rPr>
          <w:rFonts w:asciiTheme="minorHAnsi" w:eastAsiaTheme="minorHAnsi" w:hAnsiTheme="minorHAnsi" w:cstheme="minorHAnsi"/>
          <w:lang w:val="pl-PL" w:eastAsia="en-US"/>
        </w:rPr>
        <w:t>W</w:t>
      </w:r>
      <w:r w:rsidR="003E3E74" w:rsidRPr="003E3E74">
        <w:rPr>
          <w:rFonts w:asciiTheme="minorHAnsi" w:eastAsiaTheme="minorHAnsi" w:hAnsiTheme="minorHAnsi" w:cstheme="minorHAnsi"/>
          <w:lang w:val="pl-PL" w:eastAsia="en-US"/>
        </w:rPr>
        <w:t xml:space="preserve">ykonawca zobowiązany jest </w:t>
      </w:r>
      <w:r w:rsidR="00EE0719" w:rsidRPr="005F05D5">
        <w:rPr>
          <w:rFonts w:asciiTheme="minorHAnsi" w:eastAsiaTheme="minorHAnsi" w:hAnsiTheme="minorHAnsi" w:cstheme="minorHAnsi"/>
          <w:lang w:val="pl-PL" w:eastAsia="en-US"/>
        </w:rPr>
        <w:t xml:space="preserve">w ramach niniejszego zamówienia </w:t>
      </w:r>
      <w:r w:rsidR="003E3E74" w:rsidRPr="003E3E74">
        <w:rPr>
          <w:rFonts w:asciiTheme="minorHAnsi" w:eastAsiaTheme="minorHAnsi" w:hAnsiTheme="minorHAnsi" w:cstheme="minorHAnsi"/>
          <w:lang w:val="pl-PL" w:eastAsia="en-US"/>
        </w:rPr>
        <w:t xml:space="preserve">uzyskać pozwolenie na prowadzenie badań archeologicznych oraz przeprowadzić badania archeologiczne. </w:t>
      </w:r>
    </w:p>
    <w:p w14:paraId="5CD5ECD9" w14:textId="34F79ABE" w:rsidR="008870AA" w:rsidRDefault="008870AA" w:rsidP="008870AA">
      <w:pPr>
        <w:spacing w:line="240" w:lineRule="auto"/>
        <w:rPr>
          <w:rFonts w:asciiTheme="minorHAnsi" w:hAnsiTheme="minorHAnsi" w:cstheme="minorHAnsi"/>
        </w:rPr>
      </w:pPr>
    </w:p>
    <w:p w14:paraId="19F84397" w14:textId="6445C627" w:rsidR="003E3E74" w:rsidRDefault="003E3E74" w:rsidP="008870AA">
      <w:pPr>
        <w:spacing w:line="240" w:lineRule="auto"/>
        <w:rPr>
          <w:rFonts w:asciiTheme="minorHAnsi" w:hAnsiTheme="minorHAnsi" w:cstheme="minorHAnsi"/>
        </w:rPr>
      </w:pPr>
    </w:p>
    <w:p w14:paraId="63CFBF40" w14:textId="33E8E878" w:rsidR="003E3E74" w:rsidRDefault="003E3E74" w:rsidP="008870AA">
      <w:pPr>
        <w:spacing w:line="240" w:lineRule="auto"/>
        <w:rPr>
          <w:rFonts w:asciiTheme="minorHAnsi" w:hAnsiTheme="minorHAnsi" w:cstheme="minorHAnsi"/>
        </w:rPr>
      </w:pPr>
    </w:p>
    <w:p w14:paraId="092B24DB" w14:textId="57319031" w:rsidR="003E3E74" w:rsidRDefault="003E3E74" w:rsidP="008870AA">
      <w:pPr>
        <w:spacing w:line="240" w:lineRule="auto"/>
        <w:rPr>
          <w:rFonts w:asciiTheme="minorHAnsi" w:hAnsiTheme="minorHAnsi" w:cstheme="minorHAnsi"/>
        </w:rPr>
      </w:pPr>
    </w:p>
    <w:p w14:paraId="52F248D9" w14:textId="77777777" w:rsidR="003E3E74" w:rsidRPr="008870AA" w:rsidRDefault="003E3E74" w:rsidP="008870AA">
      <w:pPr>
        <w:spacing w:line="240" w:lineRule="auto"/>
        <w:rPr>
          <w:rFonts w:asciiTheme="minorHAnsi" w:hAnsiTheme="minorHAnsi" w:cstheme="minorHAnsi"/>
          <w:b/>
        </w:rPr>
      </w:pPr>
    </w:p>
    <w:p w14:paraId="22D79036" w14:textId="5D0FC028" w:rsidR="00595D00" w:rsidRPr="008870AA" w:rsidRDefault="00595D00" w:rsidP="00595D00">
      <w:pPr>
        <w:spacing w:line="319" w:lineRule="auto"/>
        <w:jc w:val="both"/>
        <w:rPr>
          <w:rFonts w:asciiTheme="minorHAnsi" w:hAnsiTheme="minorHAnsi" w:cstheme="minorHAnsi"/>
          <w:color w:val="000000"/>
          <w:kern w:val="3"/>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3"/>
    <w:p w14:paraId="5092E7F6"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45214200-2 Roboty budowlane w zakresie budowy obiektów budowlanych zwi</w:t>
      </w:r>
      <w:r w:rsidRPr="00EE0719">
        <w:rPr>
          <w:rFonts w:ascii="Times New Roman" w:eastAsia="Times New Roman" w:hAnsi="Times New Roman" w:cs="Times New Roman"/>
          <w:kern w:val="1"/>
          <w:sz w:val="24"/>
          <w:lang w:val="pl-PL" w:eastAsia="en-US"/>
        </w:rPr>
        <w:t>ą</w:t>
      </w:r>
      <w:r w:rsidRPr="00EE0719">
        <w:rPr>
          <w:rFonts w:ascii="Times New Roman" w:eastAsia="Lucida Sans Unicode" w:hAnsi="Times New Roman" w:cs="Calibri"/>
          <w:kern w:val="1"/>
          <w:sz w:val="24"/>
          <w:lang w:val="pl-PL" w:eastAsia="en-US"/>
        </w:rPr>
        <w:t>zanych ze szkolnictwem</w:t>
      </w:r>
    </w:p>
    <w:p w14:paraId="2ED9A1D5"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45111200-0 Roboty w zakresie przygotowania terenu pod budowę i roboty ziemne</w:t>
      </w:r>
    </w:p>
    <w:p w14:paraId="6E223D92"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45223500-1 Konstrukcje z betonu zbrojonego</w:t>
      </w:r>
    </w:p>
    <w:p w14:paraId="32A0F809"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45262500-6 Roboty murarskie i murowe</w:t>
      </w:r>
    </w:p>
    <w:p w14:paraId="64583D9F"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45324000-4 Roboty w zakresie okładziny tynkowej</w:t>
      </w:r>
    </w:p>
    <w:p w14:paraId="2840DA20"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45421146-9 Instalowanie sufitów podwieszanych</w:t>
      </w:r>
    </w:p>
    <w:p w14:paraId="5AFCBD8A"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45421000-4 Roboty w zakresie stolarki budowlanej</w:t>
      </w:r>
    </w:p>
    <w:p w14:paraId="2D002EA7"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45432130-4 Pokrywanie podłóg</w:t>
      </w:r>
    </w:p>
    <w:p w14:paraId="7B0A7622"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45261000-4 Wykonywanie pokryć i konstrukcji dachowych oraz podobne roboty</w:t>
      </w:r>
    </w:p>
    <w:p w14:paraId="5B6302C4"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45443000-4 Roboty elewacyjne</w:t>
      </w:r>
    </w:p>
    <w:p w14:paraId="006E0255" w14:textId="77777777" w:rsidR="00EE0719" w:rsidRPr="00EE0719" w:rsidRDefault="00EE0719" w:rsidP="00EE0719">
      <w:pPr>
        <w:autoSpaceDE w:val="0"/>
        <w:autoSpaceDN w:val="0"/>
        <w:adjustRightInd w:val="0"/>
        <w:spacing w:line="240" w:lineRule="auto"/>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45233220-7 Roboty w zakresie nawierzchni dróg</w:t>
      </w:r>
    </w:p>
    <w:p w14:paraId="175C244A" w14:textId="77777777" w:rsidR="00EE0719" w:rsidRPr="00EE0719" w:rsidRDefault="00EE0719" w:rsidP="00EE0719">
      <w:pPr>
        <w:spacing w:line="240" w:lineRule="auto"/>
        <w:jc w:val="both"/>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45112710-5 Roboty w zakresie kształtowania terenów zielonych</w:t>
      </w:r>
    </w:p>
    <w:p w14:paraId="44E8E135" w14:textId="77777777" w:rsidR="00EE0719" w:rsidRPr="00EE0719" w:rsidRDefault="00EE0719" w:rsidP="00EE0719">
      <w:pPr>
        <w:spacing w:line="240" w:lineRule="auto"/>
        <w:jc w:val="both"/>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45330000-9 INSTALACJE SANITARNE</w:t>
      </w:r>
    </w:p>
    <w:p w14:paraId="351487AF" w14:textId="77777777" w:rsidR="00EE0719" w:rsidRPr="00EE0719" w:rsidRDefault="00EE0719" w:rsidP="00EE0719">
      <w:pPr>
        <w:spacing w:line="240" w:lineRule="auto"/>
        <w:jc w:val="both"/>
        <w:rPr>
          <w:rFonts w:ascii="Times New Roman" w:eastAsia="Lucida Sans Unicode" w:hAnsi="Times New Roman" w:cs="Calibri"/>
          <w:kern w:val="1"/>
          <w:sz w:val="24"/>
          <w:lang w:val="pl-PL" w:eastAsia="en-US"/>
        </w:rPr>
      </w:pPr>
      <w:r w:rsidRPr="00EE0719">
        <w:rPr>
          <w:rFonts w:ascii="Times New Roman" w:eastAsia="Lucida Sans Unicode" w:hAnsi="Times New Roman" w:cs="Calibri"/>
          <w:kern w:val="1"/>
          <w:sz w:val="24"/>
          <w:lang w:val="pl-PL" w:eastAsia="en-US"/>
        </w:rPr>
        <w:t>45310000-3 Roboty instalacyjne elektryczne</w:t>
      </w:r>
    </w:p>
    <w:p w14:paraId="7DEA5DFF" w14:textId="5D4199CB" w:rsidR="008870AA"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329C7CCA"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b/>
        </w:rPr>
        <w:t xml:space="preserve"> </w:t>
      </w: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AF36E0"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77777777"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3. </w:t>
      </w:r>
      <w:r w:rsidR="00392D2A" w:rsidRPr="00392D2A">
        <w:rPr>
          <w:rFonts w:asciiTheme="minorHAnsi" w:eastAsia="Times New Roman" w:hAnsiTheme="minorHAnsi" w:cstheme="minorHAnsi"/>
          <w:szCs w:val="24"/>
        </w:rPr>
        <w:t xml:space="preserve">Zamawiający wymaga, aby przedmiot zamówienia był objęty minimum </w:t>
      </w:r>
      <w:r w:rsidR="00392D2A" w:rsidRPr="00392D2A">
        <w:rPr>
          <w:rFonts w:asciiTheme="minorHAnsi" w:eastAsia="Times New Roman" w:hAnsiTheme="minorHAnsi" w:cstheme="minorHAnsi"/>
          <w:b/>
          <w:szCs w:val="24"/>
        </w:rPr>
        <w:t>36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okresem gwarancji oraz 36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77777777"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Pr="00392D2A">
        <w:rPr>
          <w:rFonts w:asciiTheme="minorHAnsi" w:eastAsia="Times New Roman" w:hAnsiTheme="minorHAnsi" w:cstheme="minorHAnsi"/>
          <w:b/>
          <w:bCs/>
          <w:szCs w:val="24"/>
        </w:rPr>
        <w:t>60 miesięcy.</w:t>
      </w:r>
      <w:r w:rsidRPr="00392D2A">
        <w:rPr>
          <w:rFonts w:asciiTheme="minorHAnsi" w:eastAsia="Times New Roman" w:hAnsiTheme="minorHAnsi" w:cstheme="minorHAnsi"/>
          <w:szCs w:val="24"/>
        </w:rPr>
        <w:t xml:space="preserve"> </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2"/>
    <w:p w14:paraId="0A05A80D" w14:textId="66A83A91"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49887417" w14:textId="0708E95A"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12DA7571" w14:textId="5B3BC991"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  i podrożyłoby to koszty wykonania zamówienia.</w:t>
      </w:r>
    </w:p>
    <w:p w14:paraId="61D836C8"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3EBA827A"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lastRenderedPageBreak/>
        <w:t>Ze względu na zakres niniejszego zamówienia oraz jego wartość, brak podziału zamówienia na części nie zakłóca konkurencji w ramach postępowania.</w:t>
      </w:r>
    </w:p>
    <w:p w14:paraId="42B12F3A" w14:textId="77777777" w:rsidR="007800A9" w:rsidRPr="008870AA" w:rsidRDefault="007800A9"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4"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4"/>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65495851"/>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1C0B3EDE" w:rsidR="00764A11" w:rsidRDefault="008870AA" w:rsidP="007800A9">
      <w:pPr>
        <w:pStyle w:val="Nagwek2"/>
        <w:spacing w:before="0" w:after="0" w:line="240" w:lineRule="auto"/>
        <w:rPr>
          <w:b/>
          <w:bCs/>
        </w:rPr>
      </w:pPr>
      <w:bookmarkStart w:id="16" w:name="_Toc65495852"/>
      <w:r w:rsidRPr="008870AA">
        <w:rPr>
          <w:rFonts w:asciiTheme="minorHAnsi" w:hAnsiTheme="minorHAnsi" w:cstheme="minorHAnsi"/>
          <w:b/>
          <w:bCs/>
          <w:sz w:val="24"/>
          <w:szCs w:val="24"/>
        </w:rPr>
        <w:t>VII. Termin wykonania zamówienia</w:t>
      </w:r>
      <w:bookmarkEnd w:id="16"/>
      <w:r w:rsidRPr="008870AA">
        <w:rPr>
          <w:rFonts w:asciiTheme="minorHAnsi" w:hAnsiTheme="minorHAnsi" w:cstheme="minorHAnsi"/>
          <w:b/>
          <w:bCs/>
          <w:sz w:val="24"/>
          <w:szCs w:val="24"/>
        </w:rPr>
        <w:t xml:space="preserve">: </w:t>
      </w:r>
      <w:r w:rsidR="00764A11" w:rsidRPr="00393083">
        <w:rPr>
          <w:rFonts w:asciiTheme="minorHAnsi" w:hAnsiTheme="minorHAnsi" w:cstheme="minorHAnsi"/>
          <w:b/>
          <w:bCs/>
          <w:sz w:val="22"/>
          <w:szCs w:val="22"/>
        </w:rPr>
        <w:t xml:space="preserve">do </w:t>
      </w:r>
      <w:r w:rsidR="00393083" w:rsidRPr="00393083">
        <w:rPr>
          <w:rFonts w:asciiTheme="minorHAnsi" w:hAnsiTheme="minorHAnsi" w:cstheme="minorHAnsi"/>
          <w:b/>
          <w:bCs/>
          <w:sz w:val="22"/>
          <w:szCs w:val="22"/>
        </w:rPr>
        <w:t>315</w:t>
      </w:r>
      <w:r w:rsidR="00764A11" w:rsidRPr="00393083">
        <w:rPr>
          <w:rFonts w:asciiTheme="minorHAnsi" w:hAnsiTheme="minorHAnsi" w:cstheme="minorHAnsi"/>
          <w:b/>
          <w:bCs/>
          <w:sz w:val="22"/>
          <w:szCs w:val="22"/>
        </w:rPr>
        <w:t xml:space="preserve"> miesięcy od odpisania umowy</w:t>
      </w:r>
      <w:r w:rsidR="00393083">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7" w:name="_Toc65495853"/>
      <w:r w:rsidRPr="000C69D0">
        <w:rPr>
          <w:rFonts w:asciiTheme="minorHAnsi" w:hAnsiTheme="minorHAnsi" w:cstheme="minorHAnsi"/>
          <w:b/>
          <w:bCs/>
          <w:sz w:val="22"/>
          <w:szCs w:val="22"/>
        </w:rPr>
        <w:t>VIII. Warunki udziału w postępowaniu</w:t>
      </w:r>
      <w:bookmarkEnd w:id="17"/>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25C5DC79" w14:textId="77777777" w:rsidR="00FA4897" w:rsidRDefault="00094A07" w:rsidP="00FA4897">
      <w:pPr>
        <w:ind w:left="540"/>
        <w:jc w:val="both"/>
        <w:rPr>
          <w:rFonts w:ascii="Times New Roman" w:eastAsiaTheme="minorHAnsi" w:hAnsi="Times New Roman" w:cs="Times New Roman"/>
          <w:b/>
          <w:bCs/>
          <w:sz w:val="24"/>
          <w:szCs w:val="24"/>
          <w:lang w:val="pl-PL"/>
        </w:rPr>
      </w:pPr>
      <w:bookmarkStart w:id="18" w:name="_Hlk86932117"/>
      <w:bookmarkStart w:id="19" w:name="_Hlk86929661"/>
      <w:bookmarkStart w:id="20" w:name="_Hlk86930240"/>
      <w:bookmarkStart w:id="21" w:name="_Hlk5877927"/>
      <w:bookmarkStart w:id="22" w:name="_Hlk87001286"/>
      <w:bookmarkStart w:id="23" w:name="_Hlk87005844"/>
      <w:r w:rsidRPr="00BF35CA">
        <w:rPr>
          <w:rFonts w:asciiTheme="minorHAnsi" w:eastAsia="Times New Roman" w:hAnsiTheme="minorHAnsi" w:cstheme="minorHAnsi"/>
          <w:b/>
          <w:bCs/>
        </w:rPr>
        <w:t xml:space="preserve">1. </w:t>
      </w:r>
      <w:r w:rsidR="00AB7F95" w:rsidRPr="00BF35CA">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00AB7F95" w:rsidRPr="00BF35CA">
        <w:rPr>
          <w:rFonts w:asciiTheme="minorHAnsi" w:eastAsia="Times New Roman" w:hAnsiTheme="minorHAnsi" w:cstheme="minorHAnsi"/>
          <w:b/>
          <w:bCs/>
        </w:rPr>
        <w:t xml:space="preserve"> </w:t>
      </w:r>
      <w:bookmarkEnd w:id="18"/>
      <w:bookmarkEnd w:id="19"/>
      <w:bookmarkEnd w:id="20"/>
      <w:r w:rsidR="00FA4897">
        <w:rPr>
          <w:rFonts w:ascii="Times New Roman" w:hAnsi="Times New Roman" w:cs="Times New Roman"/>
          <w:b/>
          <w:bCs/>
          <w:sz w:val="24"/>
          <w:szCs w:val="24"/>
        </w:rPr>
        <w:t xml:space="preserve">należycie wykonał co najmniej dwie </w:t>
      </w:r>
      <w:r w:rsidR="00FA4897">
        <w:rPr>
          <w:rFonts w:ascii="Times New Roman" w:hAnsi="Times New Roman" w:cs="Times New Roman"/>
          <w:b/>
          <w:bCs/>
          <w:sz w:val="24"/>
          <w:szCs w:val="24"/>
        </w:rPr>
        <w:lastRenderedPageBreak/>
        <w:t xml:space="preserve">roboty budowlane zrealizowane w ramach dwóch odrębnych umów, każda o wartości min. </w:t>
      </w:r>
      <w:r w:rsidR="00FA4897" w:rsidRPr="00FA4897">
        <w:rPr>
          <w:rFonts w:ascii="Times New Roman" w:hAnsi="Times New Roman" w:cs="Times New Roman"/>
          <w:b/>
          <w:bCs/>
          <w:sz w:val="24"/>
          <w:szCs w:val="24"/>
        </w:rPr>
        <w:t>5.500.000,00 zł brutto, w skład których wchodziła budowa lub rozbudowa budynku o powierzchnię użytkową nie mniejszą niż 750 m</w:t>
      </w:r>
      <w:r w:rsidR="00FA4897" w:rsidRPr="00FA4897">
        <w:rPr>
          <w:rFonts w:ascii="Times New Roman" w:hAnsi="Times New Roman" w:cs="Times New Roman"/>
          <w:b/>
          <w:bCs/>
          <w:sz w:val="24"/>
          <w:szCs w:val="24"/>
          <w:vertAlign w:val="superscript"/>
        </w:rPr>
        <w:t>2</w:t>
      </w:r>
      <w:r w:rsidR="00FA4897" w:rsidRPr="00FA4897">
        <w:rPr>
          <w:rFonts w:ascii="Times New Roman" w:hAnsi="Times New Roman" w:cs="Times New Roman"/>
          <w:b/>
          <w:bCs/>
          <w:sz w:val="24"/>
          <w:szCs w:val="24"/>
        </w:rPr>
        <w:t xml:space="preserve">, </w:t>
      </w:r>
      <w:r w:rsidR="00FA4897">
        <w:rPr>
          <w:rFonts w:ascii="Times New Roman" w:hAnsi="Times New Roman" w:cs="Times New Roman"/>
          <w:b/>
          <w:bCs/>
          <w:sz w:val="24"/>
          <w:szCs w:val="24"/>
        </w:rPr>
        <w:t>w sposób należyty wykonaną zgodnie z zasadami sztuki budowlanej i prawidłowo ukończona.</w:t>
      </w:r>
    </w:p>
    <w:p w14:paraId="67EC9BA4" w14:textId="32A7E147" w:rsidR="00FE6FFF" w:rsidRDefault="00FE6FFF" w:rsidP="00CA227A">
      <w:pPr>
        <w:spacing w:line="319" w:lineRule="auto"/>
        <w:ind w:left="567"/>
        <w:jc w:val="both"/>
        <w:rPr>
          <w:rFonts w:asciiTheme="minorHAnsi" w:eastAsia="Times New Roman" w:hAnsiTheme="minorHAnsi" w:cstheme="minorHAnsi"/>
        </w:rPr>
      </w:pPr>
    </w:p>
    <w:p w14:paraId="12827913" w14:textId="1D91FDF8" w:rsidR="00AB7F95" w:rsidRPr="00B32DB1" w:rsidRDefault="00AB7F95" w:rsidP="00AB7F95">
      <w:pPr>
        <w:spacing w:line="240" w:lineRule="auto"/>
        <w:ind w:left="567"/>
        <w:jc w:val="both"/>
        <w:rPr>
          <w:rFonts w:asciiTheme="minorHAnsi" w:eastAsia="Times New Roman" w:hAnsiTheme="minorHAnsi" w:cstheme="minorHAnsi"/>
        </w:rPr>
      </w:pPr>
    </w:p>
    <w:p w14:paraId="3BEC19CE" w14:textId="10C6C914" w:rsidR="00BF1623" w:rsidRDefault="004A3292" w:rsidP="00BF35CA">
      <w:pPr>
        <w:spacing w:line="319" w:lineRule="auto"/>
        <w:ind w:left="567"/>
        <w:jc w:val="both"/>
        <w:rPr>
          <w:rFonts w:asciiTheme="minorHAnsi" w:hAnsiTheme="minorHAnsi" w:cstheme="minorHAnsi"/>
        </w:rPr>
      </w:pPr>
      <w:bookmarkStart w:id="24"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p w14:paraId="5C3225FA" w14:textId="01AD287F" w:rsidR="00FE6FFF" w:rsidRDefault="00FE6FFF" w:rsidP="00BF1623">
      <w:pPr>
        <w:spacing w:line="319" w:lineRule="auto"/>
        <w:ind w:left="567"/>
        <w:jc w:val="both"/>
        <w:rPr>
          <w:rFonts w:asciiTheme="minorHAnsi" w:hAnsiTheme="minorHAnsi" w:cstheme="minorHAnsi"/>
        </w:rPr>
      </w:pPr>
    </w:p>
    <w:bookmarkEnd w:id="24"/>
    <w:p w14:paraId="6024455C" w14:textId="77777777" w:rsidR="00AB7F95" w:rsidRPr="00B32DB1" w:rsidRDefault="00AB7F95" w:rsidP="00AB7F95">
      <w:pPr>
        <w:spacing w:line="240" w:lineRule="auto"/>
        <w:jc w:val="both"/>
        <w:rPr>
          <w:rFonts w:asciiTheme="minorHAnsi" w:eastAsia="Times New Roman" w:hAnsiTheme="minorHAnsi" w:cstheme="minorHAnsi"/>
        </w:rPr>
      </w:pPr>
    </w:p>
    <w:p w14:paraId="756F6017" w14:textId="4A712A92" w:rsidR="00764A11" w:rsidRDefault="00764A11" w:rsidP="00AB7F95">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AB7F95">
      <w:pPr>
        <w:ind w:left="540"/>
        <w:jc w:val="both"/>
        <w:rPr>
          <w:rFonts w:asciiTheme="minorHAnsi" w:eastAsia="Times New Roman" w:hAnsiTheme="minorHAnsi" w:cstheme="minorHAnsi"/>
        </w:rPr>
      </w:pPr>
    </w:p>
    <w:p w14:paraId="6A85BA67" w14:textId="7DC30935" w:rsidR="00AB7F95" w:rsidRPr="00B32DB1" w:rsidRDefault="00AB7F95" w:rsidP="00AB7F95">
      <w:pPr>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p w14:paraId="274CF569" w14:textId="77777777" w:rsidR="00AB7F95" w:rsidRPr="00B32DB1" w:rsidRDefault="00AB7F95" w:rsidP="00AB7F95">
      <w:pPr>
        <w:spacing w:line="240" w:lineRule="auto"/>
        <w:jc w:val="both"/>
        <w:rPr>
          <w:rFonts w:asciiTheme="minorHAnsi" w:eastAsia="Times New Roman" w:hAnsiTheme="minorHAnsi" w:cstheme="minorHAnsi"/>
          <w:b/>
        </w:rPr>
      </w:pPr>
    </w:p>
    <w:p w14:paraId="4E6F7783" w14:textId="712739F5" w:rsidR="00AB7F95" w:rsidRPr="00B32DB1" w:rsidRDefault="00BF1623" w:rsidP="00AB7F95">
      <w:pPr>
        <w:spacing w:line="240" w:lineRule="auto"/>
        <w:ind w:left="540"/>
        <w:jc w:val="both"/>
        <w:rPr>
          <w:rFonts w:asciiTheme="minorHAnsi" w:eastAsia="Times New Roman" w:hAnsiTheme="minorHAnsi" w:cstheme="minorHAnsi"/>
        </w:rPr>
      </w:pPr>
      <w:r w:rsidRPr="00B32DB1">
        <w:rPr>
          <w:rFonts w:asciiTheme="minorHAnsi" w:eastAsia="Times New Roman" w:hAnsiTheme="minorHAnsi" w:cstheme="minorHAnsi"/>
          <w:b/>
        </w:rPr>
        <w:t xml:space="preserve">2.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74686AA7" w14:textId="440F0BF9" w:rsidR="00AB7F95" w:rsidRPr="00B32DB1" w:rsidRDefault="00AB7F95" w:rsidP="00AB7F95">
      <w:pPr>
        <w:ind w:left="567"/>
        <w:jc w:val="both"/>
        <w:rPr>
          <w:rFonts w:asciiTheme="minorHAnsi" w:hAnsiTheme="minorHAnsi" w:cstheme="minorHAnsi"/>
          <w:b/>
          <w:bCs/>
        </w:rPr>
      </w:pPr>
      <w:r w:rsidRPr="00B32DB1">
        <w:rPr>
          <w:rFonts w:asciiTheme="minorHAnsi" w:hAnsiTheme="minorHAnsi" w:cstheme="minorHAnsi"/>
          <w:b/>
          <w:bCs/>
        </w:rPr>
        <w:t xml:space="preserve">- </w:t>
      </w:r>
      <w:r w:rsidRPr="00B32DB1">
        <w:rPr>
          <w:rFonts w:asciiTheme="minorHAnsi" w:eastAsia="Times New Roman" w:hAnsiTheme="minorHAnsi" w:cstheme="minorHAnsi"/>
          <w:b/>
        </w:rPr>
        <w:t xml:space="preserve">kierownikiem </w:t>
      </w:r>
      <w:r w:rsidR="00BF1623" w:rsidRPr="00B32DB1">
        <w:rPr>
          <w:rFonts w:asciiTheme="minorHAnsi" w:eastAsia="Times New Roman" w:hAnsiTheme="minorHAnsi" w:cstheme="minorHAnsi"/>
          <w:b/>
        </w:rPr>
        <w:t>budowy</w:t>
      </w:r>
      <w:r w:rsidRPr="00B32DB1">
        <w:rPr>
          <w:rFonts w:asciiTheme="minorHAnsi" w:hAnsiTheme="minorHAnsi" w:cstheme="minorHAnsi"/>
          <w:b/>
          <w:bCs/>
          <w:color w:val="FF0000"/>
        </w:rPr>
        <w:t xml:space="preserve"> </w:t>
      </w:r>
      <w:r w:rsidRPr="00B32DB1">
        <w:rPr>
          <w:rFonts w:asciiTheme="minorHAnsi" w:hAnsiTheme="minorHAnsi" w:cstheme="minorHAnsi"/>
          <w:b/>
          <w:bCs/>
        </w:rPr>
        <w:t xml:space="preserve">- min. jedna osoba posiadająca uprawnienia budowlane </w:t>
      </w:r>
      <w:r w:rsidR="009F5D8E" w:rsidRPr="00B32DB1">
        <w:rPr>
          <w:rFonts w:asciiTheme="minorHAnsi" w:hAnsiTheme="minorHAnsi" w:cstheme="minorHAnsi"/>
          <w:b/>
          <w:bCs/>
        </w:rPr>
        <w:t xml:space="preserve">do kierowania robotami budowlanym bez ograniczeń w </w:t>
      </w:r>
      <w:r w:rsidR="00B435DA">
        <w:rPr>
          <w:rFonts w:asciiTheme="minorHAnsi" w:hAnsiTheme="minorHAnsi" w:cstheme="minorHAnsi"/>
          <w:b/>
          <w:bCs/>
        </w:rPr>
        <w:t>specjalności konstrukcyjno-budowlanej.</w:t>
      </w:r>
    </w:p>
    <w:p w14:paraId="410E0799" w14:textId="2135ED8D" w:rsidR="00AB7F95" w:rsidRPr="00B32DB1" w:rsidRDefault="00AB7F95" w:rsidP="00AB7F95">
      <w:pPr>
        <w:spacing w:line="240" w:lineRule="auto"/>
        <w:jc w:val="both"/>
        <w:rPr>
          <w:rFonts w:asciiTheme="minorHAnsi" w:eastAsia="Times New Roman" w:hAnsiTheme="minorHAnsi" w:cstheme="minorHAnsi"/>
          <w:b/>
        </w:rPr>
      </w:pPr>
    </w:p>
    <w:p w14:paraId="524645FB" w14:textId="69B0837A" w:rsidR="00AB7F95" w:rsidRPr="00B32DB1" w:rsidRDefault="00AB7F95" w:rsidP="00AB7F95">
      <w:pPr>
        <w:spacing w:line="240"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5"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5"/>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2"/>
    <w:p w14:paraId="144D19ED" w14:textId="553E4F8B" w:rsidR="00AB7F95" w:rsidRPr="00B32DB1" w:rsidRDefault="00AB7F95" w:rsidP="00AF5291">
      <w:pPr>
        <w:spacing w:line="319" w:lineRule="auto"/>
        <w:ind w:left="426" w:right="20"/>
        <w:jc w:val="both"/>
        <w:rPr>
          <w:rFonts w:asciiTheme="minorHAnsi" w:hAnsiTheme="minorHAnsi" w:cstheme="minorHAnsi"/>
        </w:rPr>
      </w:pPr>
    </w:p>
    <w:bookmarkEnd w:id="23"/>
    <w:p w14:paraId="63878C5C" w14:textId="77777777" w:rsidR="00AF5291" w:rsidRPr="00B32DB1" w:rsidRDefault="00AF5291" w:rsidP="00B435DA">
      <w:pPr>
        <w:tabs>
          <w:tab w:val="left" w:pos="426"/>
        </w:tabs>
        <w:spacing w:line="319" w:lineRule="auto"/>
        <w:ind w:left="426"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6" w:name="_Toc65495854"/>
      <w:r w:rsidRPr="008870AA">
        <w:rPr>
          <w:rFonts w:asciiTheme="minorHAnsi" w:hAnsiTheme="minorHAnsi" w:cstheme="minorHAnsi"/>
          <w:b/>
          <w:bCs/>
          <w:sz w:val="24"/>
          <w:szCs w:val="24"/>
        </w:rPr>
        <w:t>IX. Podstawy wykluczenia z postępowania</w:t>
      </w:r>
      <w:bookmarkEnd w:id="2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F5B018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c) o którym mowa w </w:t>
      </w:r>
      <w:hyperlink r:id="rId12" w:anchor="/document/16798683?unitId=art(228)&amp;cm=DOCUMENT" w:history="1">
        <w:r w:rsidRPr="008870AA">
          <w:rPr>
            <w:rFonts w:asciiTheme="minorHAnsi" w:eastAsia="Times New Roman" w:hAnsiTheme="minorHAnsi" w:cstheme="minorHAnsi"/>
          </w:rPr>
          <w:t>art. 228-230a</w:t>
        </w:r>
      </w:hyperlink>
      <w:r w:rsidRPr="008870AA">
        <w:rPr>
          <w:rFonts w:asciiTheme="minorHAnsi" w:eastAsia="Times New Roman" w:hAnsiTheme="minorHAnsi" w:cstheme="minorHAnsi"/>
        </w:rPr>
        <w:t xml:space="preserve">, </w:t>
      </w:r>
      <w:hyperlink r:id="rId13" w:anchor="/document/16798683?unitId=art(250(a))&amp;cm=DOCUMENT" w:history="1">
        <w:r w:rsidRPr="008870AA">
          <w:rPr>
            <w:rFonts w:asciiTheme="minorHAnsi" w:eastAsia="Times New Roman" w:hAnsiTheme="minorHAnsi" w:cstheme="minorHAnsi"/>
          </w:rPr>
          <w:t>art. 250a</w:t>
        </w:r>
      </w:hyperlink>
      <w:r w:rsidRPr="008870AA">
        <w:rPr>
          <w:rFonts w:asciiTheme="minorHAnsi" w:eastAsia="Times New Roman" w:hAnsiTheme="minorHAnsi" w:cstheme="minorHAnsi"/>
        </w:rPr>
        <w:t xml:space="preserve"> Kodeksu karnego lub w art. 46 lub art. 48 ustawy z dnia 25 czerwca 2010 r. o sporcie,</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4"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6"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7"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8"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19"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0"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8870AA">
        <w:rPr>
          <w:rFonts w:asciiTheme="minorHAnsi" w:eastAsia="Times New Roman" w:hAnsiTheme="minorHAnsi" w:cstheme="minorHAnsi"/>
        </w:rPr>
        <w:lastRenderedPageBreak/>
        <w:t>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w:t>
      </w:r>
      <w:r w:rsidRPr="00545840">
        <w:rPr>
          <w:rFonts w:asciiTheme="minorHAnsi" w:hAnsiTheme="minorHAnsi" w:cstheme="minorHAnsi"/>
        </w:rPr>
        <w:lastRenderedPageBreak/>
        <w:t xml:space="preserve">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8" w:name="_Toc65495856"/>
      <w:r w:rsidRPr="008870AA">
        <w:rPr>
          <w:rFonts w:asciiTheme="minorHAnsi" w:hAnsiTheme="minorHAnsi" w:cstheme="minorHAnsi"/>
          <w:b/>
          <w:bCs/>
          <w:sz w:val="22"/>
          <w:szCs w:val="22"/>
        </w:rPr>
        <w:t>XI. Poleganie na zasobach innych podmiotów</w:t>
      </w:r>
      <w:bookmarkEnd w:id="2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9" w:name="_Hlk65499459"/>
      <w:r w:rsidRPr="008870AA">
        <w:rPr>
          <w:rFonts w:asciiTheme="minorHAnsi" w:hAnsiTheme="minorHAnsi" w:cstheme="minorHAnsi"/>
        </w:rPr>
        <w:t xml:space="preserve">Wykonawca powołuje się na jego zasoby, </w:t>
      </w:r>
      <w:bookmarkEnd w:id="2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3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31" w:name="_Hlk63772459"/>
      <w:r w:rsidRPr="008870AA">
        <w:rPr>
          <w:rFonts w:asciiTheme="minorHAnsi" w:hAnsiTheme="minorHAnsi" w:cstheme="minorHAnsi"/>
        </w:rPr>
        <w:t xml:space="preserve">Wykonawcy wspólnie ubiegający się o udzielenie zamówienia dołączają do oferty </w:t>
      </w:r>
      <w:bookmarkStart w:id="32"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1"/>
    <w:bookmarkEnd w:id="32"/>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65495858"/>
      <w:bookmarkStart w:id="3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4" w:history="1">
        <w:r w:rsidRPr="008870AA">
          <w:rPr>
            <w:rStyle w:val="Hipercze"/>
            <w:rFonts w:asciiTheme="minorHAnsi" w:hAnsiTheme="minorHAnsi" w:cstheme="minorHAnsi"/>
          </w:rPr>
          <w:t>magdalena.pawlicka@dopiewo.pl</w:t>
        </w:r>
      </w:hyperlink>
    </w:p>
    <w:bookmarkEnd w:id="36"/>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5">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6">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7">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w:t>
      </w:r>
      <w:r w:rsidRPr="008870AA">
        <w:rPr>
          <w:rFonts w:asciiTheme="minorHAnsi" w:hAnsiTheme="minorHAnsi" w:cstheme="minorHAnsi"/>
        </w:rPr>
        <w:lastRenderedPageBreak/>
        <w:t>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8"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8870AA">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8" w:name="_Toc65495859"/>
      <w:bookmarkStart w:id="39" w:name="_Hlk66110879"/>
      <w:r w:rsidRPr="008870AA">
        <w:rPr>
          <w:rFonts w:asciiTheme="minorHAnsi" w:hAnsiTheme="minorHAnsi" w:cstheme="minorHAnsi"/>
          <w:b/>
          <w:bCs/>
          <w:sz w:val="24"/>
          <w:szCs w:val="24"/>
        </w:rPr>
        <w:t>XIV. Opis sposobu przygotowania ofert oraz dokumentów wymaganych przez Zamawiającego w SWZ</w:t>
      </w:r>
      <w:bookmarkEnd w:id="3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40" w:name="_Hlk65238743"/>
      <w:r w:rsidRPr="00A258D6">
        <w:rPr>
          <w:rFonts w:asciiTheme="majorHAnsi" w:hAnsiTheme="majorHAnsi" w:cstheme="majorHAnsi"/>
        </w:rPr>
        <w:t xml:space="preserve">oświadczenie o niepodleganiu wykluczeniu składa </w:t>
      </w:r>
      <w:bookmarkEnd w:id="40"/>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0C5B419F"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41"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9"/>
    <w:bookmarkEnd w:id="4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2" w:name="_Hlk80957306"/>
      <w:r w:rsidRPr="008870AA">
        <w:rPr>
          <w:rFonts w:asciiTheme="minorHAnsi" w:hAnsiTheme="minorHAnsi" w:cstheme="minorHAnsi"/>
        </w:rPr>
        <w:t>muszą zostać podpisane elektronicznym kwalifikowanym podpisem lub podpisem zaufanym lub podpisem osobistym</w:t>
      </w:r>
      <w:bookmarkEnd w:id="4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2">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3">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4">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7"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3" w:name="_Toc65495860"/>
      <w:bookmarkEnd w:id="3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3"/>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lastRenderedPageBreak/>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5"/>
    </w:p>
    <w:bookmarkEnd w:id="44"/>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65495861"/>
      <w:r w:rsidRPr="008870AA">
        <w:rPr>
          <w:rFonts w:asciiTheme="minorHAnsi" w:hAnsiTheme="minorHAnsi" w:cstheme="minorHAnsi"/>
          <w:b/>
          <w:bCs/>
          <w:sz w:val="22"/>
          <w:szCs w:val="22"/>
        </w:rPr>
        <w:lastRenderedPageBreak/>
        <w:t>XVI. Wymagania dotyczące wadium</w:t>
      </w:r>
      <w:bookmarkEnd w:id="46"/>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65495862"/>
      <w:r w:rsidRPr="008870AA">
        <w:rPr>
          <w:rFonts w:asciiTheme="minorHAnsi" w:hAnsiTheme="minorHAnsi" w:cstheme="minorHAnsi"/>
          <w:b/>
          <w:bCs/>
          <w:sz w:val="22"/>
          <w:szCs w:val="22"/>
        </w:rPr>
        <w:t>XVII. Termin związania ofertą</w:t>
      </w:r>
      <w:bookmarkEnd w:id="47"/>
    </w:p>
    <w:p w14:paraId="68E3EA92" w14:textId="03F3C18D"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B435DA">
        <w:rPr>
          <w:rFonts w:asciiTheme="minorHAnsi" w:hAnsiTheme="minorHAnsi" w:cstheme="minorHAnsi"/>
          <w:b/>
          <w:bCs/>
          <w:highlight w:val="yellow"/>
        </w:rPr>
        <w:t>02</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B435DA">
        <w:rPr>
          <w:rFonts w:asciiTheme="minorHAnsi" w:hAnsiTheme="minorHAnsi" w:cstheme="minorHAnsi"/>
          <w:b/>
          <w:bCs/>
          <w:highlight w:val="yellow"/>
        </w:rPr>
        <w:t>2</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8"/>
    </w:p>
    <w:p w14:paraId="31387002" w14:textId="4179D099"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8">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39"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B435DA">
        <w:rPr>
          <w:rFonts w:asciiTheme="minorHAnsi" w:hAnsiTheme="minorHAnsi" w:cstheme="minorHAnsi"/>
          <w:b/>
          <w:bCs/>
          <w:highlight w:val="yellow"/>
        </w:rPr>
        <w:t>04</w:t>
      </w:r>
      <w:r w:rsidRPr="008870AA">
        <w:rPr>
          <w:rFonts w:asciiTheme="minorHAnsi" w:hAnsiTheme="minorHAnsi" w:cstheme="minorHAnsi"/>
          <w:b/>
          <w:bCs/>
          <w:highlight w:val="yellow"/>
        </w:rPr>
        <w:t>.</w:t>
      </w:r>
      <w:r w:rsidR="00B435DA">
        <w:rPr>
          <w:rFonts w:asciiTheme="minorHAnsi" w:hAnsiTheme="minorHAnsi" w:cstheme="minorHAnsi"/>
          <w:b/>
          <w:bCs/>
          <w:highlight w:val="yellow"/>
        </w:rPr>
        <w:t>01</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2">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65495864"/>
      <w:r w:rsidRPr="008870AA">
        <w:rPr>
          <w:rFonts w:asciiTheme="minorHAnsi" w:hAnsiTheme="minorHAnsi" w:cstheme="minorHAnsi"/>
          <w:b/>
          <w:bCs/>
          <w:sz w:val="22"/>
          <w:szCs w:val="22"/>
        </w:rPr>
        <w:t>XIX. Otwarcie ofert</w:t>
      </w:r>
      <w:bookmarkEnd w:id="49"/>
    </w:p>
    <w:p w14:paraId="792AD29B" w14:textId="7DD5A8FF"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8E4316">
        <w:rPr>
          <w:rFonts w:asciiTheme="minorHAnsi" w:hAnsiTheme="minorHAnsi" w:cstheme="minorHAnsi"/>
          <w:b/>
          <w:bCs/>
          <w:highlight w:val="yellow"/>
        </w:rPr>
        <w:t>04</w:t>
      </w:r>
      <w:r w:rsidRPr="00BD054F">
        <w:rPr>
          <w:rFonts w:asciiTheme="minorHAnsi" w:hAnsiTheme="minorHAnsi" w:cstheme="minorHAnsi"/>
          <w:b/>
          <w:bCs/>
          <w:highlight w:val="yellow"/>
        </w:rPr>
        <w:t>.</w:t>
      </w:r>
      <w:r w:rsidR="008E4316">
        <w:rPr>
          <w:rFonts w:asciiTheme="minorHAnsi" w:hAnsiTheme="minorHAnsi" w:cstheme="minorHAnsi"/>
          <w:b/>
          <w:bCs/>
          <w:highlight w:val="yellow"/>
        </w:rPr>
        <w:t>01</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3">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50"/>
    </w:p>
    <w:p w14:paraId="45B4B146" w14:textId="77777777" w:rsidR="008870AA" w:rsidRPr="008870AA" w:rsidRDefault="008870AA" w:rsidP="008870AA">
      <w:pPr>
        <w:rPr>
          <w:rFonts w:asciiTheme="minorHAnsi" w:hAnsiTheme="minorHAnsi" w:cstheme="minorHAnsi"/>
        </w:rPr>
      </w:pPr>
    </w:p>
    <w:p w14:paraId="4001A817" w14:textId="77777777" w:rsidR="008870AA" w:rsidRPr="008870AA" w:rsidRDefault="008870AA" w:rsidP="008870AA">
      <w:pPr>
        <w:spacing w:line="240" w:lineRule="auto"/>
        <w:jc w:val="both"/>
        <w:rPr>
          <w:rFonts w:asciiTheme="minorHAnsi" w:eastAsia="Times New Roman" w:hAnsiTheme="minorHAnsi" w:cstheme="minorHAnsi"/>
        </w:rPr>
      </w:pPr>
      <w:bookmarkStart w:id="51" w:name="_Hlk66451350"/>
      <w:r w:rsidRPr="008870AA">
        <w:rPr>
          <w:rFonts w:asciiTheme="minorHAnsi" w:eastAsia="Times New Roman" w:hAnsiTheme="minorHAnsi" w:cstheme="minorHAnsi"/>
        </w:rPr>
        <w:t xml:space="preserve">1. Za ofertę najkorzystniejszą </w:t>
      </w:r>
      <w:r w:rsidRPr="008870AA">
        <w:rPr>
          <w:rFonts w:asciiTheme="minorHAnsi" w:eastAsia="Times New Roman" w:hAnsiTheme="minorHAnsi" w:cstheme="minorHAnsi"/>
          <w:u w:val="single"/>
        </w:rPr>
        <w:t>w ramach danego zadania</w:t>
      </w:r>
      <w:r w:rsidRPr="008870AA">
        <w:rPr>
          <w:rFonts w:asciiTheme="minorHAnsi" w:eastAsia="Times New Roman" w:hAnsiTheme="minorHAnsi" w:cstheme="minorHAnsi"/>
        </w:rPr>
        <w:t>,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 xml:space="preserve">                Cena oferty badanej brutto</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997AAD2"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 ramach danego zadania,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0118A8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7070E">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miesiące.</w:t>
      </w:r>
    </w:p>
    <w:p w14:paraId="3D1917F9" w14:textId="3917164E"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7070E">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miesięcy.</w:t>
      </w:r>
    </w:p>
    <w:p w14:paraId="06B9708B" w14:textId="7FCFC4D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7070E">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miesięcy, termin ten będzie wiążący dla Wykonawcy, jednakże do oceny ofert w kryterium okres gwarancji zostanie przyjęty okres maksymalny określony w SWZ, czyli </w:t>
      </w:r>
      <w:r w:rsidR="00C7070E">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miesięcy.</w:t>
      </w:r>
    </w:p>
    <w:p w14:paraId="131F4A1C" w14:textId="05B632E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7070E">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7FEDF2C0"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 ramach danego zadania, wynosi: 40 pkt.</w:t>
      </w:r>
    </w:p>
    <w:bookmarkEnd w:id="5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65495866"/>
      <w:r w:rsidRPr="008870AA">
        <w:rPr>
          <w:rFonts w:asciiTheme="minorHAnsi" w:hAnsiTheme="minorHAnsi" w:cstheme="minorHAnsi"/>
          <w:b/>
          <w:bCs/>
          <w:sz w:val="22"/>
          <w:szCs w:val="22"/>
        </w:rPr>
        <w:t>XXI. Wymagania dotyczące zabezpieczenia należytego wykonania umowy.</w:t>
      </w:r>
      <w:bookmarkEnd w:id="52"/>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3" w:name="_Toc65495867"/>
      <w:r w:rsidRPr="008870AA">
        <w:rPr>
          <w:rFonts w:asciiTheme="minorHAnsi" w:hAnsiTheme="minorHAnsi" w:cstheme="minorHAnsi"/>
          <w:b/>
          <w:bCs/>
          <w:sz w:val="24"/>
          <w:szCs w:val="24"/>
        </w:rPr>
        <w:lastRenderedPageBreak/>
        <w:t>XXII. Informacje o formalnościach, jakie powinny być dopełnione po wyborze oferty w celu zawarcia umowy</w:t>
      </w:r>
      <w:bookmarkEnd w:id="5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4" w:name="_Toc65495868"/>
      <w:r w:rsidRPr="008870AA">
        <w:rPr>
          <w:rFonts w:asciiTheme="minorHAnsi" w:hAnsiTheme="minorHAnsi" w:cstheme="minorHAnsi"/>
          <w:b/>
          <w:bCs/>
          <w:sz w:val="24"/>
          <w:szCs w:val="24"/>
        </w:rPr>
        <w:t>XXIII. Informacje o treści zawieranej umowy oraz możliwości jej zmiany</w:t>
      </w:r>
      <w:bookmarkEnd w:id="5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65495869"/>
      <w:r w:rsidRPr="008870AA">
        <w:rPr>
          <w:rFonts w:asciiTheme="minorHAnsi" w:hAnsiTheme="minorHAnsi" w:cstheme="minorHAnsi"/>
          <w:b/>
          <w:bCs/>
          <w:sz w:val="22"/>
          <w:szCs w:val="22"/>
        </w:rPr>
        <w:t>XXIV. Pouczenie o środkach ochrony prawnej przysługujących Wykonawcy</w:t>
      </w:r>
      <w:bookmarkEnd w:id="5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uarrfy5kozla" w:colFirst="0" w:colLast="0"/>
      <w:bookmarkStart w:id="57" w:name="_Toc65495870"/>
      <w:bookmarkEnd w:id="56"/>
      <w:r w:rsidRPr="008870AA">
        <w:rPr>
          <w:rFonts w:asciiTheme="minorHAnsi" w:hAnsiTheme="minorHAnsi" w:cstheme="minorHAnsi"/>
          <w:b/>
          <w:bCs/>
          <w:sz w:val="22"/>
          <w:szCs w:val="22"/>
        </w:rPr>
        <w:t>XXV. Spis załączników</w:t>
      </w:r>
      <w:bookmarkEnd w:id="57"/>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Załącznik nr 8 do SWZ – Wzór zobowiązania.</w:t>
      </w:r>
    </w:p>
    <w:p w14:paraId="25F04871" w14:textId="7AF9166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przedmiary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5A28DF12"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4"/>
      <w:footerReference w:type="default" r:id="rId45"/>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689E" w14:textId="77777777" w:rsidR="000B24FD" w:rsidRDefault="000B24FD" w:rsidP="008870AA">
      <w:pPr>
        <w:spacing w:line="240" w:lineRule="auto"/>
      </w:pPr>
      <w:r>
        <w:separator/>
      </w:r>
    </w:p>
  </w:endnote>
  <w:endnote w:type="continuationSeparator" w:id="0">
    <w:p w14:paraId="0276BA7B" w14:textId="77777777" w:rsidR="000B24FD" w:rsidRDefault="000B24FD"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296A44" w:rsidRPr="00296A44" w:rsidRDefault="00296A44">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Pr="00296A44">
          <w:rPr>
            <w:rFonts w:asciiTheme="minorHAnsi" w:hAnsiTheme="minorHAnsi" w:cstheme="minorHAnsi"/>
            <w:lang w:val="pl-PL"/>
          </w:rPr>
          <w:t>2</w:t>
        </w:r>
        <w:r w:rsidRPr="00296A44">
          <w:rPr>
            <w:rFonts w:asciiTheme="minorHAnsi" w:hAnsiTheme="minorHAnsi" w:cstheme="minorHAnsi"/>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1B09" w14:textId="77777777" w:rsidR="000B24FD" w:rsidRDefault="000B24FD" w:rsidP="008870AA">
      <w:pPr>
        <w:spacing w:line="240" w:lineRule="auto"/>
      </w:pPr>
      <w:r>
        <w:separator/>
      </w:r>
    </w:p>
  </w:footnote>
  <w:footnote w:type="continuationSeparator" w:id="0">
    <w:p w14:paraId="794A10B9" w14:textId="77777777" w:rsidR="000B24FD" w:rsidRDefault="000B24FD"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725B" w14:textId="53DAC724" w:rsidR="00EB00D6" w:rsidRDefault="000B24FD" w:rsidP="00096BAC">
    <w:pPr>
      <w:pStyle w:val="Nagwek"/>
      <w:rPr>
        <w:noProof/>
      </w:rPr>
    </w:pPr>
    <w:bookmarkStart w:id="58" w:name="_Hlk88048700"/>
    <w:bookmarkStart w:id="59" w:name="_Hlk88048667"/>
  </w:p>
  <w:bookmarkEnd w:id="58"/>
  <w:bookmarkEnd w:id="59"/>
  <w:p w14:paraId="78F745C5" w14:textId="77777777" w:rsidR="00096BAC" w:rsidRDefault="000B24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9"/>
  </w:num>
  <w:num w:numId="5">
    <w:abstractNumId w:val="30"/>
  </w:num>
  <w:num w:numId="6">
    <w:abstractNumId w:val="38"/>
  </w:num>
  <w:num w:numId="7">
    <w:abstractNumId w:val="35"/>
  </w:num>
  <w:num w:numId="8">
    <w:abstractNumId w:val="10"/>
  </w:num>
  <w:num w:numId="9">
    <w:abstractNumId w:val="7"/>
  </w:num>
  <w:num w:numId="10">
    <w:abstractNumId w:val="27"/>
  </w:num>
  <w:num w:numId="11">
    <w:abstractNumId w:val="12"/>
  </w:num>
  <w:num w:numId="12">
    <w:abstractNumId w:val="16"/>
  </w:num>
  <w:num w:numId="13">
    <w:abstractNumId w:val="33"/>
  </w:num>
  <w:num w:numId="14">
    <w:abstractNumId w:val="1"/>
  </w:num>
  <w:num w:numId="15">
    <w:abstractNumId w:val="34"/>
  </w:num>
  <w:num w:numId="16">
    <w:abstractNumId w:val="28"/>
  </w:num>
  <w:num w:numId="17">
    <w:abstractNumId w:val="23"/>
  </w:num>
  <w:num w:numId="18">
    <w:abstractNumId w:val="18"/>
  </w:num>
  <w:num w:numId="19">
    <w:abstractNumId w:val="37"/>
  </w:num>
  <w:num w:numId="20">
    <w:abstractNumId w:val="17"/>
  </w:num>
  <w:num w:numId="21">
    <w:abstractNumId w:val="20"/>
  </w:num>
  <w:num w:numId="22">
    <w:abstractNumId w:val="24"/>
  </w:num>
  <w:num w:numId="23">
    <w:abstractNumId w:val="26"/>
  </w:num>
  <w:num w:numId="24">
    <w:abstractNumId w:val="36"/>
  </w:num>
  <w:num w:numId="25">
    <w:abstractNumId w:val="25"/>
  </w:num>
  <w:num w:numId="26">
    <w:abstractNumId w:val="8"/>
  </w:num>
  <w:num w:numId="27">
    <w:abstractNumId w:val="9"/>
  </w:num>
  <w:num w:numId="28">
    <w:abstractNumId w:val="11"/>
  </w:num>
  <w:num w:numId="29">
    <w:abstractNumId w:val="5"/>
  </w:num>
  <w:num w:numId="30">
    <w:abstractNumId w:val="22"/>
  </w:num>
  <w:num w:numId="31">
    <w:abstractNumId w:val="13"/>
  </w:num>
  <w:num w:numId="32">
    <w:abstractNumId w:val="32"/>
  </w:num>
  <w:num w:numId="33">
    <w:abstractNumId w:val="2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31CF1"/>
    <w:rsid w:val="00044423"/>
    <w:rsid w:val="0005175F"/>
    <w:rsid w:val="00053185"/>
    <w:rsid w:val="00094A07"/>
    <w:rsid w:val="000B24FD"/>
    <w:rsid w:val="000C69D0"/>
    <w:rsid w:val="000C77A6"/>
    <w:rsid w:val="000D21F3"/>
    <w:rsid w:val="00101F71"/>
    <w:rsid w:val="00107067"/>
    <w:rsid w:val="00135555"/>
    <w:rsid w:val="001478A7"/>
    <w:rsid w:val="001A0570"/>
    <w:rsid w:val="001B3328"/>
    <w:rsid w:val="001B7876"/>
    <w:rsid w:val="001C0A5A"/>
    <w:rsid w:val="00204865"/>
    <w:rsid w:val="00230688"/>
    <w:rsid w:val="00235E15"/>
    <w:rsid w:val="002864F5"/>
    <w:rsid w:val="002871A3"/>
    <w:rsid w:val="00296A44"/>
    <w:rsid w:val="00297766"/>
    <w:rsid w:val="002D4F56"/>
    <w:rsid w:val="00311772"/>
    <w:rsid w:val="00311B20"/>
    <w:rsid w:val="00351585"/>
    <w:rsid w:val="00392D2A"/>
    <w:rsid w:val="00393083"/>
    <w:rsid w:val="003B3F16"/>
    <w:rsid w:val="003D4692"/>
    <w:rsid w:val="003E0CA5"/>
    <w:rsid w:val="003E39FC"/>
    <w:rsid w:val="003E3E74"/>
    <w:rsid w:val="00403F6A"/>
    <w:rsid w:val="0043670B"/>
    <w:rsid w:val="00487D3D"/>
    <w:rsid w:val="00494791"/>
    <w:rsid w:val="004A3292"/>
    <w:rsid w:val="004B091D"/>
    <w:rsid w:val="004C6E37"/>
    <w:rsid w:val="004F7D33"/>
    <w:rsid w:val="00544842"/>
    <w:rsid w:val="00545840"/>
    <w:rsid w:val="00567DD2"/>
    <w:rsid w:val="00595D00"/>
    <w:rsid w:val="005A014E"/>
    <w:rsid w:val="005A738A"/>
    <w:rsid w:val="005C39DE"/>
    <w:rsid w:val="005E1D15"/>
    <w:rsid w:val="005F05D5"/>
    <w:rsid w:val="005F065A"/>
    <w:rsid w:val="005F5E33"/>
    <w:rsid w:val="006101ED"/>
    <w:rsid w:val="00625026"/>
    <w:rsid w:val="00626D6B"/>
    <w:rsid w:val="0063784B"/>
    <w:rsid w:val="0067157B"/>
    <w:rsid w:val="006939C2"/>
    <w:rsid w:val="006942A8"/>
    <w:rsid w:val="006E1A86"/>
    <w:rsid w:val="006E7876"/>
    <w:rsid w:val="006F445F"/>
    <w:rsid w:val="006F74B6"/>
    <w:rsid w:val="00701633"/>
    <w:rsid w:val="00703E25"/>
    <w:rsid w:val="00764A11"/>
    <w:rsid w:val="007769DC"/>
    <w:rsid w:val="007800A9"/>
    <w:rsid w:val="00793143"/>
    <w:rsid w:val="007A17B9"/>
    <w:rsid w:val="007A7FB8"/>
    <w:rsid w:val="007B261F"/>
    <w:rsid w:val="007C4968"/>
    <w:rsid w:val="007D6272"/>
    <w:rsid w:val="007E4877"/>
    <w:rsid w:val="007E73AC"/>
    <w:rsid w:val="007F359B"/>
    <w:rsid w:val="008264E3"/>
    <w:rsid w:val="00850178"/>
    <w:rsid w:val="00854EF6"/>
    <w:rsid w:val="00857B2A"/>
    <w:rsid w:val="0087614B"/>
    <w:rsid w:val="008870AA"/>
    <w:rsid w:val="008E2A0A"/>
    <w:rsid w:val="008E4316"/>
    <w:rsid w:val="00933941"/>
    <w:rsid w:val="00972E16"/>
    <w:rsid w:val="00987D24"/>
    <w:rsid w:val="009F5D8E"/>
    <w:rsid w:val="00A55B7B"/>
    <w:rsid w:val="00A6491C"/>
    <w:rsid w:val="00A65A72"/>
    <w:rsid w:val="00AB1B91"/>
    <w:rsid w:val="00AB7F95"/>
    <w:rsid w:val="00AF36E0"/>
    <w:rsid w:val="00AF5291"/>
    <w:rsid w:val="00B009C7"/>
    <w:rsid w:val="00B02E9C"/>
    <w:rsid w:val="00B062F4"/>
    <w:rsid w:val="00B14625"/>
    <w:rsid w:val="00B309EE"/>
    <w:rsid w:val="00B32DB1"/>
    <w:rsid w:val="00B42351"/>
    <w:rsid w:val="00B435DA"/>
    <w:rsid w:val="00B63403"/>
    <w:rsid w:val="00BA017F"/>
    <w:rsid w:val="00BD054F"/>
    <w:rsid w:val="00BD2813"/>
    <w:rsid w:val="00BD391E"/>
    <w:rsid w:val="00BE50CB"/>
    <w:rsid w:val="00BF1623"/>
    <w:rsid w:val="00BF35CA"/>
    <w:rsid w:val="00C23C83"/>
    <w:rsid w:val="00C354B1"/>
    <w:rsid w:val="00C37C2B"/>
    <w:rsid w:val="00C7070E"/>
    <w:rsid w:val="00C75CB3"/>
    <w:rsid w:val="00C80A15"/>
    <w:rsid w:val="00CA227A"/>
    <w:rsid w:val="00CE2408"/>
    <w:rsid w:val="00D116A6"/>
    <w:rsid w:val="00D11D1D"/>
    <w:rsid w:val="00D35176"/>
    <w:rsid w:val="00D420DA"/>
    <w:rsid w:val="00D5684A"/>
    <w:rsid w:val="00D60AB1"/>
    <w:rsid w:val="00D60D12"/>
    <w:rsid w:val="00D61D92"/>
    <w:rsid w:val="00D66130"/>
    <w:rsid w:val="00E025ED"/>
    <w:rsid w:val="00E24987"/>
    <w:rsid w:val="00E36E74"/>
    <w:rsid w:val="00E36ECF"/>
    <w:rsid w:val="00E51A42"/>
    <w:rsid w:val="00E563E1"/>
    <w:rsid w:val="00ED0E75"/>
    <w:rsid w:val="00ED702C"/>
    <w:rsid w:val="00EE0719"/>
    <w:rsid w:val="00EE44B6"/>
    <w:rsid w:val="00EF0373"/>
    <w:rsid w:val="00F13C47"/>
    <w:rsid w:val="00F208F9"/>
    <w:rsid w:val="00F53ECA"/>
    <w:rsid w:val="00F86CE1"/>
    <w:rsid w:val="00FA4897"/>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dopiewo"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magdalena.pawlicka@dopiewo.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dopiew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26</Pages>
  <Words>10748</Words>
  <Characters>64490</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45</cp:revision>
  <cp:lastPrinted>2021-12-03T15:49:00Z</cp:lastPrinted>
  <dcterms:created xsi:type="dcterms:W3CDTF">2021-12-01T12:49:00Z</dcterms:created>
  <dcterms:modified xsi:type="dcterms:W3CDTF">2021-12-17T13:01:00Z</dcterms:modified>
</cp:coreProperties>
</file>