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1: Defibrylator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Ilość: 4 szt.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Stymulacja z kardiowersją i AED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synchronizacji defibrylatora z kardiomonitorami systemu monitoringu stanowisk. pracującymi w Oddziale Anestezjologii i Intensywnej Terapii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Czas ładowania do maksymalnej energii (200 J) &lt; 6 sekund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Kardiowersja synchroniczna R (synchronizacja sygnałem EKG z elektrod defibrylujących, elektrod EKG ).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Defibrylacja przy użyciu odpowiednich elektrod samoprzylepnych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Ustawianie poziomów energii przy pomocy pokrętła na płycie czołowej defibrylatora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Przycisk ładowania impulsu defibracyjnego na płycie czołowej oraz łyżkach zewnętrznych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Przycisk wyładowania impulsu defibracyjnego na płycie czołowej oraz łyżkach zewnętrznych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System dopasowania impulsu defibrylacji w zależności od impedancji ciała pacjenta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Wskaźnik sprawności defibrylatora na przedniej ścianie urządzenia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Na łyżkach zewnętrznych wbudowany kilkustopniowy wskaźnik jakości kontaktu z pacjentem.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defibrylacyjnego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do 25 ms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Tryb AED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Energia wyładowania 150J dla dorosłych oraz 50 J dla dzieci i niemowląt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Monitorowanie EKG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Sygnał EKG z elektrod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i z elektrod EKG – z czytelną sygnalizacją braku kontaktu;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Pomiar częstości akcji serca w zakresie minimum 16 – 300 uderzeń na minutę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Wzmocnienie sygnału EKG. Regulacja ręczna: 1/4x, 1/2x, 1x, 2x, 4x i automatyczna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Regulowane alarmy górnej i dolnej granicy częstości akcji serca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Jednoczesna prezentacja 3 krzywych EKG na ekranie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Wyposażenie  defibrylatora: przewód EKG 3 odprowadzeniowy x 1 szt. Kompatybilność z posiadanymi kardiomonitorami w  II Oddziale Anestezjologii i Intensywnej Terapii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komplecie łyżki twarde, instrukcja, akumulator, zasilacz, min. 3-odprowadzeniowe EKG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Pomiar stymulacji przezskórnej. Tryby pracy: „Rytm Sztywny" i „Na Żądanie". Częstość impulsów stymulatora regulowana w zakresie min. 30 -180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/min. Prąd stymulacji regulowany w zakresie min. 10 -200mA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Możliwość rozbudowy o pomiar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pulsoksymetrii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SpO2.</w:t>
            </w: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Pomiar SpO2 w zakresie: 0-100%. </w:t>
            </w: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Pomiar tętna w zakresie min. 30-300 ud./min.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Możliwość rozbudowy o pomiar nieinwazyjnego ciśnienia krwi NIBP. Możliwość ustawienia  pomiaru w czasie w zakresie </w:t>
            </w: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min. od 1 do 120 minut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rozbudowy o pomiar kapnografii CO2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kolorowy o przekątnej min. 6,5 cala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Rejestrator termiczny – szerokość zapisu 50 mm;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Zintegrowane zasilanie sieciowo-akumulatorowe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Ładowanie akumulatorów z sieci elektrycznej 230V ±10%; 50Hz – zasilacz zintegrowany w urządzeniu.</w:t>
            </w: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Czas pracy na akumulatorze: w przypadku monitorowania min. 2 godz., a w przypadku defibrylacji min. 100 wyładowań z energią 200J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Ciężar urządzenia &lt; 8 kg z elektrodami zewnętrznymi i akumulatorem.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Automatyczny test sprawności defibrylatora z sygnalizacją dźwiękową i wizualną ewentualnego błędu.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Wózek jezdny na pięciu kółkach w tym co najmniej 2 z blokadą. Rączka do prowadzenia, koszyk na akcesoria. Możliwość wypięcia defibrylatora bez użycia narzędzi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rPr>
          <w:trHeight w:val="808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6D32">
        <w:trPr>
          <w:trHeight w:val="476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6D32">
        <w:trPr>
          <w:trHeight w:val="142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6D32">
        <w:trPr>
          <w:trHeight w:val="400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6D32">
        <w:trPr>
          <w:trHeight w:val="324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6D32">
        <w:trPr>
          <w:trHeight w:val="99"/>
        </w:trPr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66D32" w:rsidRDefault="00266D3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2: Bronchoskop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Ilość: 5 szt.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 2020.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Aparat giętki w pełni zanurzalny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Bronchoskop giętki służący do oglądania od wewnątrz dróg oddechowych, od strun głosowych i tchawicy po oskrzela i ich rozgałęzienia. Kolorowy ekran monitora z matrycą TFT o szerokim kącie oglądania. Zintegrowane źródło światła LED. W zestawie pojemnik do sterylizacji i przechowywania.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 możliwością podglądu kierunku widzenia, z regulowaną długością roboczą, głębią ostrości, z regulowanym kątem zagięcia końcówki endoskopu w górę i w dół, z dużym kątem widzenia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Kolorowy ekran monitora / procesor z matrycą TFT o szerokim kącie oglądania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Obudowa monitora wykonana z odpornego plastiku ABS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Graficzny wskaźnik informujący o poziomie naładowaniu akumulatora wyświetlany na ekranie monitora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Zintegrowane źródło światła LED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Urządzenie z autonomicznym źródłem światła zasilanym z własnej baterii / akumulatora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Zasilanie: akumulator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– jonowy oraz zasilanie sieciowe. Ładowarka zasilana z sieci 230V 50Hz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Czas ciągłej pracy na jednej baterii: min. 2 godz.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Zasianie akumulatorowe oraz sieciowe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Masa źródła światła: nie większa niż 120 g.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Kąt widzenia: min 90˚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90˚ - 0 pkt, powyżej 90˚ - 10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Kierunek patrzenia w odniesieniu do osi fiberoskopu: 0˚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Wychylenie końcówki w górę/w dół: min. 160˚/130˚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Długość robocza: min 600 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Długość całkowita: max 900 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Średnica kanału instrumentalnego: min. 2,5 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Zewnętrzna średnica tuby wziernikowej: max 5,2mm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Zewnętrzna średnica końcówki dystalnej: max 5,1mm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Głębia ostrości obrazu: min 3-50mm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Wejście kanału roboczego typu LUER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Przyłącze ssaka zamocowane na stałe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Wykonanie jako aparat mobilny, przenośny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komplecie manometryczny tester szczelności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Wyposażenie standardowe do mycia i dezynfekcji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zestawie pojemnik do sterylizacji i przechowywania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Walizka do przechowywania i transportu bronchofiberoskopu</w:t>
            </w:r>
          </w:p>
        </w:tc>
        <w:tc>
          <w:tcPr>
            <w:tcW w:w="1276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lastRenderedPageBreak/>
              <w:t>Tak – 10 pkt, Nie – 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</w:rPr>
      </w:pPr>
    </w:p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3: Laryngoskop do intubacji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Ilość: 5 szt.</w:t>
      </w:r>
    </w:p>
    <w:p w:rsidR="002C0DBB" w:rsidRPr="002C0DBB" w:rsidRDefault="002C0DBB" w:rsidP="002C0DBB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Wideolaryngoskop</w:t>
            </w:r>
            <w:proofErr w:type="spellEnd"/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 xml:space="preserve"> bezprzewodowy ze zintegrowanym kolorowym wyświetlaczem LCD o przekątnej min. 2,4"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wyświetlacz LCD ustawiony w stałej pozycji z maksymalnym kątem widzenia do 155 stopni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Kamera CMOS, rozdzielczość kamery 640x480 VGA, rozdzielczość wideo 320 x 240 (QVGA)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Źródło światła: biała dioda LED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wskaźnik w postaci świecącej się diody informujący o naładowaniu baterii – migający kolor czerwony informuje o konieczności wymiany baterii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zasilany bateriami AAA (3 sztuki) zapewniającymi czas pracy ok. 90 min, w zestawie 4 komplety baterii pozwalające na ok. 360 min pracy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urządzenie wyposażone w układ gospodarowania energią umożliwiający wyłączenie urządzenia  od odłożenia na nieruchomą powierzchnię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Waga urządzenia max. 100 g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urządzenie nadające się do powierzchniowego mycia i dezynfekcji za pomocą wilgotnych ściereczek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Dostępne łyżki czyste mikrobiologicznie, jednorazowego użytku w rozmiarze: 1, 2, 2C (łyżka z kanałem prowadzącym rurkę intubacyjną), 3, 3C (łyżka z kanałem prowadzącym rurkę intubacyjną)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W ramach dostawy: łyżki czyste mikrobiologicznie, jednorazowego użytku w rozmiarze: 3 – 20 szt.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Łyżki przeznaczone do stosowania w trudnych i bardzo trudnych intubacjach w rozmiarze 3C (łyżka z kanałem prowadzącym rurkę intubacyjną) – 20 szt.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4. Aparat do EKG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Ilość: 4 szt.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Waga aparatu z akumulatorem i wbudowanym zasilaczem max. 5 kg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Dwa tryby rejestracji, automatyczny i ręczny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Wbudowany akumulator, którego pojemność umożliwia min. 3,0 godz. ciągłego monitorowania. Ładowanie akumulatora bez jego wyjmowania.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Ochrona przed impulsem defibrylacji CF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Wyświetlacz LCD TFT kolorowy o przekątnej min. 8 cali z podświetleniem LED  oraz wysokiej rozdzielczości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Na wyświetlaczu prezentacja krzywej EKG, wartości parametrów i menu.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Menu w języku polskim.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Klawiatura funkcyjna oraz alfanumeryczna zabezpieczona przed zalaniem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Ciągły pomiar i prezentacja na ekranie HR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Detekcja stymulatora serca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CMRR &gt;110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Częstotliwość próbkowania 1000 [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] / kanał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Detekcja pików rozrusznika serca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Próbkowanie 16000 [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]/kanał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Filtr zakłóceń sieciowych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Filtr zakłóceń mięśniowych 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Filtr anty-dryftowy 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Sygnał EKG 12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standardowych – wydruk w formacie 12-kanałowym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Formaty wydruku min.:3*4 ; 3*4+1R ; 3*4+3R ; 6*2 ; 6*2+1R  /12*1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Głowica drukująca z automatyczną regulacją linii izotermicznej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Czułość: 2,5/5/10/20 mm/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oraz AUTO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Prędkość zapisu rejestratora: 5/12,5/25/50 mm/s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Szerokość papieru min. (szer.) 210 mm  x (wys.) 295  mm. - składanka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przeglądania i oceny badania na badania przed wydrukiem na ekranie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Wydruk w trybie monitorowania rytmu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Automatyczna analiza i interpretacja (dorośli, dzieci, noworodki) w języku polskim 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Sygnalizacja braku kontaktu elektrod i odłączenia przewodu EKG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archiwizacji badania do pamięci wewnętrznej (min. 800 badań)  i eksportu danych do pamięci typu Flash w formacie min. PDF, XML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współpracy urządzenia w sieci komputerowej. Współpraca z serwerem FTP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lastRenderedPageBreak/>
              <w:t>Tak – 10 pkt., Nie  - 0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Przeglądanie i wydruk badania z archiwum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Możliwość wydruku na zewnętrznej drukarce 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rozszerzenia funkcji urządzenia o opcję Wi-Fi oraz czytnik kodów kreskowych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pkt., Nie  - 0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przewód pacjenta – 3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elektrody przyssawkowe oraz klipsowe – 3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papier termiczny 20 szt.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Mobilny wózek aparaturowy na pięciu kółkach, wszystkie kółka wyposażone w blokadę. Dodatkowo: kosz na akcesoria oraz wysięgnik na przewód pacjenta, osłona na aparat.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</w:rPr>
      </w:pPr>
    </w:p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5. Ssak elektryczny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Ilość : 10 szt.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357"/>
        <w:gridCol w:w="1560"/>
        <w:gridCol w:w="1559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7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2020.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Wbudowany manometr do pomiaru podciśnienia ze skalą w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i mmHg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Poziom hałasu poniżej 40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Poziom hałasu 40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i więcej – 0 pkt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Poziom hałasu poniżej 38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– 10 pkt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Zasilanie elektryczne: 230V/50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Ssak medyczny na wózku jezdnym kolumnowym wykonanym ze stopów niekorodujących, na czterech kołach wszystkie z blokadami oraz z szyną na akcesoria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Dwa zbiorniki  wielorazowe z poliwęglanu, nietłukące z tworzywa z podziałką każdy o pojemności 2,00-3,00 l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Podać pojemność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Maksymalne podciśnienie: ≥ 90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Wydajność: min. 30 l/m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Ssak przystosowany do pracy ciągłej 24 h/dobę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precyzyjnego ustawienia podciśnienia za pomocą regulatora membranowego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Gładka, jednoczęściowa obudowa z dotykowym włącznikiem i wskaźnikiem (np. LED), odporna na silne środki dezynfekcyjne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Bezobsługowa, tłokowa  pompa niskoobrotowa  (poniżej 50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/min) 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Zabezpieczenie przed przelaniem pompy ze zbiornikiem zabezpieczającym o poj. min 0,25 l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Zintegrowany włącznik/wyłącznik nożny wbudowany w wózek.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20 pkt, Nie - 0 pkt.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Zawór przełączający ssanie z jednego zbiornika na drugi bez odpinania drenów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Klasa zabezpieczeń: II a, CE (94/42/EEC), Typ CF, IP 21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Maksymalne wymiary 985 mm x 510 mm x 470 mm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Waga maksymalna: 17 kg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Komplet 40 wkładów jednorazowych kompatybilnych z oferowanym zbiornikiem</w:t>
            </w:r>
          </w:p>
        </w:tc>
        <w:tc>
          <w:tcPr>
            <w:tcW w:w="1560" w:type="dxa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7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560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  <w:b/>
          <w:sz w:val="20"/>
          <w:szCs w:val="20"/>
          <w:lang w:eastAsia="pl-PL"/>
        </w:rPr>
      </w:pPr>
    </w:p>
    <w:p w:rsidR="002C0DBB" w:rsidRPr="002C0DBB" w:rsidRDefault="002C0DBB" w:rsidP="002C0DBB">
      <w:pPr>
        <w:rPr>
          <w:rFonts w:ascii="Arial" w:hAnsi="Arial" w:cs="Arial"/>
        </w:rPr>
      </w:pPr>
    </w:p>
    <w:p w:rsidR="002C0DBB" w:rsidRPr="002C0DBB" w:rsidRDefault="002C0DBB" w:rsidP="002C0DBB">
      <w:pPr>
        <w:rPr>
          <w:rFonts w:ascii="Arial" w:hAnsi="Arial" w:cs="Arial"/>
        </w:rPr>
      </w:pPr>
    </w:p>
    <w:p w:rsidR="002C0DBB" w:rsidRPr="002C0DBB" w:rsidRDefault="002C0DBB" w:rsidP="002C0DBB">
      <w:pPr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6. Łóżko do transportu chorych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  <w:r w:rsidRPr="002C0DBB">
        <w:rPr>
          <w:rFonts w:ascii="Arial" w:hAnsi="Arial" w:cs="Arial"/>
          <w:sz w:val="20"/>
          <w:szCs w:val="20"/>
        </w:rPr>
        <w:t>Ilość : 2 szt.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Łóżko do transportu chorych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Łóżko 4-segmentowe z leżem wykonanym z monolitycznego tworzywa sztucznego do badań i transportu chorych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Kolumnowy system hydraulicznej regulacji wysokości za pomocą dźwigni nożnej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Regulacja segmentów leża, wspomagana sprężynami gazowymi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Regulacja oparcia pleców oraz segmentu nóg wspomagana sprężynami gazowym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Hydrauliczna regulacja funkcji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oraz anty-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za pomocą dźwigni nożnych. Zakres regulacji min. 0 do 14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Oparcie pleców o zwiększonej przezierności, zaprojektowane w sposób umożliwiający wykonywanie zdjęć RTG z urządzeń mobilnych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Dopuszczalne obciążenie: min. 260 kg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260 kg – 280 kg – 0 pkt.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281 kg – 300 kg – 10 pkt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Powyżej 300 kg – 20 pkt.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Koła o średnicy min. 125 mm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Łóżko wyposażony w hamulec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Łóżko wyposażony od strony głowy pacjenta w uchwyty do prowadzenia z możliwością składania pod ramę leża, w celu bezpiecznego dostępu do pacjenta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Wózek wyposażony od strony nóg pacjenta w uchwyt do prowadzenia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Długość barierek bocznych min. 1200 mm. Wysokość barierek bocznych ponad leże min. 310 mm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Wymiary łóżka: 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długość: 2070 mm (+/- 20 mm)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szerokość łóżka: 800 mm (+/- 20 mm)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wymiar leża: 2000 x 700 mm (+/- 20 mm)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Prześwit pomiędzy podstawą, a podłożem min. 150 mm, w celu umożliwienia współpracy z podnośnikiem pacjenta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Regulacja wysokości w zakresie od 550 mm do 900 mm (+/- 30 mm), dokonywana dźwigniami nożnymi umiejscowionymi po obu stronach wózka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Regulacja oparcia pleców uzyskiwana płynnie za pomocą sprężyny gazowej dźwignią umieszczoną od strony głowy pacjenta, wyraźnie </w:t>
            </w:r>
            <w:r w:rsidRPr="002C0DBB">
              <w:rPr>
                <w:rFonts w:ascii="Arial" w:hAnsi="Arial" w:cs="Arial"/>
                <w:sz w:val="20"/>
                <w:szCs w:val="20"/>
              </w:rPr>
              <w:lastRenderedPageBreak/>
              <w:t>oznaczona np. kolorem czerwonym. Zakres regulacji od 0 do 70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lastRenderedPageBreak/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Regulacja segmentu uda uzyskiwana płynnie za pomocą sprężyny gazowej dźwignią umieszczoną w łatwo dostępnym miejscu. Zakres regulacji od 0 do 20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Regulacja segmentu podudzia uzyskiwana w zakresie regulacji od 0 do 22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2C0D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D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materac o grubości 80 mm (+/-20%), wykonany z pianki o gęstości 30 kg/m3, w pokrowcu zmywalnym, paroprzepuszczalnym, bakteriostatycznym, zabezpieczonym przed powstawaniem pleśni  i wnikaniem płynów.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wieszak kroplówki wykonany ze stali nierdzewnej, z regulacją wysokości w zakresie min. 700 – 1200 mm, wyposażony w haczyki do płynów. Tuleje do mocowania wieszaka kroplówki w czterech narożnikach leża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półka pod monitor lub defibrylator montowana do uchwytu od strony nóg pacjenta posiadająca pas zabezpieczający monitor lub defibrylator przed spadaniem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pasy zabezpieczające pacjenta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uchwyt na woreczki urologiczne umieszczony z boku wózka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r w:rsidRPr="002C0DBB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</w:p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r w:rsidRPr="002C0DBB">
        <w:rPr>
          <w:rFonts w:ascii="Arial" w:hAnsi="Arial" w:cs="Arial"/>
          <w:b/>
          <w:sz w:val="20"/>
          <w:szCs w:val="20"/>
        </w:rPr>
        <w:t>Zadanie 7. Monitor do pomiaru inwazyjnego rzutu serca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Ilość: 4 szt.</w:t>
      </w:r>
    </w:p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Urządzenie do oceny stanu hemodynamicznego pacjenta w oparciu o pomiar parametrów hemodynamicznych analizy krzywej ciśnienia tętniczego krwi metodą inwazyjną, metodą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termodylucji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, saturacji tkankowej oraz saturacji mieszanej krwi żylnej.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Ocena hemodynamiczna układu krążenia metodą analizy krzywej ciśnienia tętniczego krwi: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bez użycia cewnika Swan-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Ganza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drogą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kaniulizacji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jednego dostępu naczyniowego (dostęp tętniczy).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Ocena hemodynamiczna układu krążenia metodą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termodylucji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 pomocą cewnika Swan-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Ganz’a</w:t>
            </w:r>
            <w:proofErr w:type="spellEnd"/>
          </w:p>
          <w:p w:rsidR="002C0DBB" w:rsidRPr="002C0DBB" w:rsidRDefault="002C0DBB" w:rsidP="002630FA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 pomocą cewnika Swan-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Ganz’a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CCO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Ciągły pomiar saturacji mieszanej krwi żylnej SVO2 z możliwością kalibracji in-vivo i in-vitro przy pomocy cewnika Swan-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Ganza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z modułem optycznym.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Ciągły pomiar oksymetrii tkankowej metodą NIRS.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rozbudowy monitora o moduł do nieinwazyjnego pomiaru rzutu serca metodą analizy krzywej ciśnienia tętniczego krwi przy pomocy mankietu zakładanego na palec ręki.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Wymagane parametry monitorowane lub wyliczane: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rzut serca (CO);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rzut serca indeksowany (CI);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objętość wyrzutowa (SV);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indeks objętości wyrzutowej (SVI);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systemowy (obwodowy) opór naczyniowy (SVR);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indeks systemowego oporu naczyniowego (SVRI);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zmienność objętości wyrzutowej (SVV);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zmienność ciśnienia tętna (PPV);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objętość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późnorozkurczowa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prawej komory (EDV);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saturacja mieszanej krwi żylnej (SVO2);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ośrodkowe ciśnienie żylne (OCŻ);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ciśnienie średnie tętnicze (MAP);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częstość akcji serca (HR);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saturacja tkankowa / mózgowa (StO2);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wskaźnik ryzyka wystąpienia hipotensji HPI – (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Hypotension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Prediction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Index)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Wyświetlanie danych w postaci ekranów: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kokpit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interwencyjny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fizjologiczny animowany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zależność fizjologiczna - ekran drzewa decyzyjnego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graficzny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tabelaryczny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typu „kokpit”: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definiowany i wizualizowany kolorem przez Użytkownika zakres celów terapii i alarmów;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dynamiczny wskaźnik stanu mierzonej wielkości w postaci strzałki;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duże wartości cyfrowe mierzonych parametrów;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procentowy wskaźnik zmian mierzonego parametru w założonym przedziale czasowym;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wizualizacji 1, 2, 3 lub 4 wartości jednocześnie.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interwencyjny: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fizjologiczny animowany: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jednoczasowej wizualizacji cyfrowej i w postaci animacji indeksu tętna (HR), indeksu systemowego oporu obwodowego (SVRI) oraz zmienności objętości wyrzutowej (SVV);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jednoczasowego wyświetlania wartości saturacji mieszanej krwi żylnej (SVO2);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dodatkowe oznaczenie statusu wyświetlanych parametrów przy pomocy kolorowych wskaźników (zielony, żółty, czerwony) – powiązanych z zakresami alarmów.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zależność fizjologiczna- ekran drzewa decyzyjnego: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wyświetlanie powiązanych ze sobą parametrów hemodynamicznych związanych z obciążeniem wstępnym, obciążeniem następczym, kurczliwością oraz saturacją żylną;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wyświetlane w postaci cyfrowej;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dodatkowe oznaczenie statusu wyświetlanych parametrów przy pomocy kolorowych wskaźników (zielony, żółty, czerwony) – powiązanych z zakresami alarmów.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trendów graficznych: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wyświetlania 1, 2, 3 lub 4 trendów graficznych monitorowanych parametrów;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jednoczasowe wyświetlane w postaci cyfrowej bieżącej wartości;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dodatkowe oznaczenie statusu wyświetlanych parametrów przy pomocy kolorowych wskaźników (zielony, żółty, czerwony) – powiązanych z zakresami alarmów.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trendów tabelarycznych: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wyświetlania 1, 2, 3 lub 4 trendów tabelarycznych (wartości cyfrowe) monitorowanych parametrów;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jednoczasowe wyświetlane w postaci cyfrowej bieżącej wartości;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dodatkowe oznaczenie statusu wyświetlanych parametrów przy pomocy kolorowych wskaźników (zielony, żółty, czerwony) – powiązanych z zakresami alarmów.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Możliwość wyświetlania minimum 11 parametrów na jednym ekranie.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Ekran dotykowy o przekątnej min. 12 cali i rozdzielczości min. 1024 x 768.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Wejścia/wyjścia transmisyjne – min.: RS232, USB 2.0, RJ-45, HDMI, analogowe min. 1 szt., EKG.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Dodatkowe zasilanie akumulatorowe o pojemności min. 3000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z możliwością wymiany bez interwencji serwisu.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Możliwość transferu danych przez port USB w postaci pliku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(do dalszej obróbki) lub JPG.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Menu w języku polskim.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Waga aparatu nie więcej niż 5 kg.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Okres gwarancji - 24 miesiące.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Moduł optyczny do ciągłego pomiaru saturacji  mieszanej krwi żylnej SVO2, z możliwością kalibracji in-vivo i in-vitro. Pomiar za pomocą cewnika Swan-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Ganza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– 4 sztuki. 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Moduł do pomiaru ciągłego oksymetrii tkankowej metodą NIRS – 4 sztuki.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Statyw do zamontowania monitora – 4 sztuki.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Możliwość podłączenia czujnika do pomiaru rzutu serca z analizy kształtu fali ciśnienia tętniczego nie wymagający stosowania dodatkowego przetwornika do pomiaru inwazyjnego ciśnienia tętniczego krwi i jednocześnie wskazujący wartość krwawego ciśnienia na monitorze przyłóżkowym. Czujnik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komptybilny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 xml:space="preserve"> z posiadanymi przez Zamawiającego monitorami rzutu serca EV1000.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</w:p>
    <w:p w:rsidR="002C0DBB" w:rsidRPr="002C0DBB" w:rsidRDefault="002C0DBB" w:rsidP="002C0DBB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2C0DBB">
        <w:rPr>
          <w:rFonts w:ascii="Arial" w:hAnsi="Arial" w:cs="Arial"/>
          <w:b/>
          <w:sz w:val="20"/>
          <w:szCs w:val="20"/>
        </w:rPr>
        <w:br w:type="page"/>
      </w:r>
    </w:p>
    <w:p w:rsidR="00266D32" w:rsidRDefault="00266D32" w:rsidP="002C0DBB">
      <w:pPr>
        <w:pStyle w:val="Styl1"/>
        <w:rPr>
          <w:rFonts w:ascii="Arial" w:hAnsi="Arial" w:cs="Arial"/>
          <w:b/>
          <w:sz w:val="20"/>
          <w:szCs w:val="20"/>
        </w:rPr>
      </w:pPr>
    </w:p>
    <w:p w:rsidR="002C0DBB" w:rsidRPr="002C0DBB" w:rsidRDefault="002C0DBB" w:rsidP="002C0DBB">
      <w:pPr>
        <w:pStyle w:val="Styl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C0DBB">
        <w:rPr>
          <w:rFonts w:ascii="Arial" w:hAnsi="Arial" w:cs="Arial"/>
          <w:b/>
          <w:sz w:val="20"/>
          <w:szCs w:val="20"/>
        </w:rPr>
        <w:t>Zadanie 8. System pneumatycznego ucisku sekwencyjnego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C0DBB" w:rsidRPr="002C0DBB" w:rsidRDefault="002C0DBB" w:rsidP="002C0DB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C0DBB">
        <w:rPr>
          <w:rFonts w:ascii="Arial" w:hAnsi="Arial" w:cs="Arial"/>
          <w:sz w:val="20"/>
          <w:szCs w:val="20"/>
          <w:lang w:eastAsia="pl-PL"/>
        </w:rPr>
        <w:t>Ilość: 4 szt.</w:t>
      </w:r>
    </w:p>
    <w:p w:rsidR="002C0DBB" w:rsidRPr="002C0DBB" w:rsidRDefault="002C0DBB" w:rsidP="002C0DBB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2020.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Aparat zapewniający automatyczną kontrolę sekwencyjnego, gradientowego i obwodowego ucisku na kończyny dolne – 1 szt.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Sekwencyjny, obwodowy ucisk na podudzie i udo z zachowaniem predefiniowanego, automatycznego gradientu ciśnień: dolna część podudzia – 45mmHg; łydka – 40mmHg; udo – 30mmHg. Czas trwania cyklu kompresji – 11s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Czas trwania przerw pomiędzy kompresjami regulowany automatycznie za pomocą sytemu wykrywającego ponowne wypełnienie naczyń, umożliwiającego dostosowanie częstotliwości kompresji do fizjologii pacjenta, automatyczna rekalkulacja czasu trwania przerw – co 30 min.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Regulowany automatycznie czas trwania przerw pomiędzy kompresjami dla  uda i podudzia w zakresie: 20-60s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Równomierny ucisk na stopę z predefiniowanym  ciśnieniem 130mmHg. Czas trwania cyklu kompresji – 5s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Regulowany automatycznie czas trwania przerw pomiędzy kompresjami dla stopy w zakresie: 30-60s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uciskowe udowe dostępne w rozmiarach: XS, S, M, L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uciskowe na podudzie dostępne w rozmiarach: M, L, XL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uciskowe stopowe dostępne w rozmiarach: M, L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Na wyposażeniu: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pończochy przeciwzakrzepowe pełnej długości z sekwencyjnym uciskiem 18-14-8-10-8 mmHg od kostki do uda w rozmiarach łydki (+/- 5%):</w:t>
            </w:r>
          </w:p>
          <w:p w:rsidR="002C0DBB" w:rsidRPr="002C0DBB" w:rsidRDefault="002C0DBB" w:rsidP="002630FA">
            <w:pPr>
              <w:pStyle w:val="ArialNarow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30,5 – 38,0 cm – 20 szt.</w:t>
            </w:r>
          </w:p>
          <w:p w:rsidR="002C0DBB" w:rsidRPr="002C0DBB" w:rsidRDefault="002C0DBB" w:rsidP="002630FA">
            <w:pPr>
              <w:pStyle w:val="ArialNarow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38,0 – 45,0 cm – 20 szt.</w:t>
            </w:r>
          </w:p>
          <w:p w:rsidR="002C0DBB" w:rsidRPr="002C0DBB" w:rsidRDefault="002C0DBB" w:rsidP="002630FA">
            <w:pPr>
              <w:pStyle w:val="ArialNarow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44,5 – 54,6 cm – 20szt.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udowe do pneumatycznego ucisku sekwencyjnego - rozmiar S – 10 szt.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udowe do pneumatycznego ucisku sekwencyjnego - rozmiar M – 10 szt.</w:t>
            </w:r>
          </w:p>
          <w:p w:rsidR="002C0DBB" w:rsidRPr="002C0DBB" w:rsidRDefault="002C0DBB" w:rsidP="002630FA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mankiety udowe do pneumatycznego ucisku sekwencyjnego - rozmiar L – 10 szt.</w:t>
            </w:r>
          </w:p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obrębie uda od jego wewnętrznej strony elastyczny klin w górnej części pończochy. Pończochy wyposażone w punkt rewizyjny w obrębie palców.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Aparat wyposażony w kolorowy ekran LCD o przekątnej powyżej 3 cali.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Aparat wyposażony w regulowany uchwyt mocujący do łóżka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zestawie komplet niezbędnych przewodów ciśnieniowych łączących urządzenie z mankietami wielorazowego użytku.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Wymiary urządzenia: wysokość – szerokość - wymiar przód-tył  17-20cm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Ciężar urządzenia: 2-2,5kg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Parametry zasilania: 230V, 50-60Hz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 xml:space="preserve">Bateria – akumulator </w:t>
            </w:r>
            <w:proofErr w:type="spellStart"/>
            <w:r w:rsidRPr="002C0DBB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2C0DBB">
              <w:rPr>
                <w:rFonts w:ascii="Arial" w:hAnsi="Arial" w:cs="Arial"/>
                <w:sz w:val="20"/>
                <w:szCs w:val="20"/>
              </w:rPr>
              <w:t>-jonowy, czas działania min. 5 godz.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Przegląd wykonywany przez autoryzowany serwis zgodnie z harmonogramem przeglądów bez konieczności ich zgłaszania przez Zamawiającego.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Harmonogram przeglądów w okresie gwarancji (podać interwały przeglądów)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papierowa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Instrukcja obsługi w języku polskim – wersja elektroniczna na nośniku danych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 – 10 pkt, Nie – 0 pkt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DBB" w:rsidRPr="002C0DBB" w:rsidTr="002630FA">
        <w:tc>
          <w:tcPr>
            <w:tcW w:w="440" w:type="dxa"/>
            <w:vAlign w:val="center"/>
          </w:tcPr>
          <w:p w:rsidR="002C0DBB" w:rsidRPr="002C0DBB" w:rsidRDefault="002C0DBB" w:rsidP="002630FA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2C0DBB" w:rsidRPr="002C0DBB" w:rsidRDefault="002C0DBB" w:rsidP="002630F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B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0DBB" w:rsidRPr="002C0DBB" w:rsidRDefault="002C0DBB" w:rsidP="002630F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DBB" w:rsidRPr="002C0DBB" w:rsidRDefault="002C0DBB" w:rsidP="002C0DBB">
      <w:pPr>
        <w:rPr>
          <w:rFonts w:ascii="Arial" w:hAnsi="Arial" w:cs="Arial"/>
          <w:sz w:val="20"/>
          <w:szCs w:val="20"/>
        </w:rPr>
      </w:pPr>
    </w:p>
    <w:p w:rsidR="00B63AA2" w:rsidRPr="002C0DBB" w:rsidRDefault="00B63AA2" w:rsidP="002C0DBB">
      <w:pPr>
        <w:rPr>
          <w:rFonts w:ascii="Arial" w:hAnsi="Arial" w:cs="Arial"/>
        </w:rPr>
      </w:pPr>
    </w:p>
    <w:sectPr w:rsidR="00B63AA2" w:rsidRPr="002C0D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C4" w:rsidRDefault="00541FC4" w:rsidP="00541FC4">
      <w:pPr>
        <w:spacing w:after="0" w:line="240" w:lineRule="auto"/>
      </w:pPr>
      <w:r>
        <w:separator/>
      </w:r>
    </w:p>
  </w:endnote>
  <w:endnote w:type="continuationSeparator" w:id="0">
    <w:p w:rsidR="00541FC4" w:rsidRDefault="00541FC4" w:rsidP="0054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C4" w:rsidRDefault="00541FC4" w:rsidP="00541FC4">
    <w:pPr>
      <w:pStyle w:val="Stopka"/>
    </w:pPr>
    <w:r w:rsidRPr="0079229A">
      <w:t>Formularz składany w formie elektronicznej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C4" w:rsidRDefault="00541FC4" w:rsidP="00541FC4">
      <w:pPr>
        <w:spacing w:after="0" w:line="240" w:lineRule="auto"/>
      </w:pPr>
      <w:r>
        <w:separator/>
      </w:r>
    </w:p>
  </w:footnote>
  <w:footnote w:type="continuationSeparator" w:id="0">
    <w:p w:rsidR="00541FC4" w:rsidRDefault="00541FC4" w:rsidP="005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FF" w:rsidRDefault="006464FF" w:rsidP="006464FF">
    <w:pPr>
      <w:pStyle w:val="Nagwek"/>
      <w:jc w:val="center"/>
      <w:rPr>
        <w:rFonts w:ascii="Arial" w:hAnsi="Arial" w:cs="Arial"/>
        <w:b/>
        <w:iCs/>
        <w:lang w:val="cs-CZ"/>
      </w:rPr>
    </w:pPr>
    <w:r w:rsidRPr="00BE1D04">
      <w:rPr>
        <w:rFonts w:ascii="Arial" w:hAnsi="Arial" w:cs="Arial"/>
        <w:b/>
        <w:iCs/>
        <w:lang w:val="cs-CZ"/>
      </w:rPr>
      <w:t>FORMULARZ WYMAGAŃ TECHNICZNYCH – WARUNKÓW GRANICZNYCH</w:t>
    </w:r>
  </w:p>
  <w:p w:rsidR="006464FF" w:rsidRPr="00BE1D04" w:rsidRDefault="006464FF" w:rsidP="006464FF">
    <w:pPr>
      <w:pStyle w:val="Nagwek"/>
      <w:jc w:val="center"/>
      <w:rPr>
        <w:rFonts w:ascii="Arial" w:hAnsi="Arial" w:cs="Arial"/>
      </w:rPr>
    </w:pPr>
  </w:p>
  <w:p w:rsidR="006464FF" w:rsidRDefault="006464FF">
    <w:pPr>
      <w:pStyle w:val="Nagwek"/>
    </w:pPr>
    <w:r>
      <w:rPr>
        <w:b/>
        <w:iCs/>
        <w:sz w:val="20"/>
        <w:szCs w:val="20"/>
        <w:lang w:val="cs-CZ"/>
      </w:rPr>
      <w:t>Sprawa 25/2021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F10"/>
    <w:multiLevelType w:val="hybridMultilevel"/>
    <w:tmpl w:val="86FE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E73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B5FF3"/>
    <w:multiLevelType w:val="hybridMultilevel"/>
    <w:tmpl w:val="81FC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04C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C312F"/>
    <w:multiLevelType w:val="hybridMultilevel"/>
    <w:tmpl w:val="DB3C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9CA"/>
    <w:multiLevelType w:val="hybridMultilevel"/>
    <w:tmpl w:val="7DAC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3A6"/>
    <w:multiLevelType w:val="hybridMultilevel"/>
    <w:tmpl w:val="B30C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1694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A25CB"/>
    <w:multiLevelType w:val="hybridMultilevel"/>
    <w:tmpl w:val="521C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315A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153C6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F2B14"/>
    <w:multiLevelType w:val="hybridMultilevel"/>
    <w:tmpl w:val="EC2C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61DD"/>
    <w:multiLevelType w:val="hybridMultilevel"/>
    <w:tmpl w:val="28B64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148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21006"/>
    <w:multiLevelType w:val="hybridMultilevel"/>
    <w:tmpl w:val="B910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1416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E49D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C040F"/>
    <w:multiLevelType w:val="hybridMultilevel"/>
    <w:tmpl w:val="B728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5E0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D0C16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74786"/>
    <w:multiLevelType w:val="hybridMultilevel"/>
    <w:tmpl w:val="52A6F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5CA1"/>
    <w:multiLevelType w:val="hybridMultilevel"/>
    <w:tmpl w:val="4DC4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36869"/>
    <w:multiLevelType w:val="hybridMultilevel"/>
    <w:tmpl w:val="8DB6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A7A09"/>
    <w:multiLevelType w:val="hybridMultilevel"/>
    <w:tmpl w:val="FF14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F50B1"/>
    <w:multiLevelType w:val="hybridMultilevel"/>
    <w:tmpl w:val="B4BC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2370"/>
    <w:multiLevelType w:val="hybridMultilevel"/>
    <w:tmpl w:val="E8D0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59A5"/>
    <w:multiLevelType w:val="hybridMultilevel"/>
    <w:tmpl w:val="9FEC9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2545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4555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3735D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451A3"/>
    <w:multiLevelType w:val="hybridMultilevel"/>
    <w:tmpl w:val="5804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032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F8243A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20863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E33AF"/>
    <w:multiLevelType w:val="hybridMultilevel"/>
    <w:tmpl w:val="F490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D02B05"/>
    <w:multiLevelType w:val="hybridMultilevel"/>
    <w:tmpl w:val="EE7E1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861F2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18"/>
  </w:num>
  <w:num w:numId="5">
    <w:abstractNumId w:val="0"/>
  </w:num>
  <w:num w:numId="6">
    <w:abstractNumId w:val="13"/>
  </w:num>
  <w:num w:numId="7">
    <w:abstractNumId w:val="33"/>
  </w:num>
  <w:num w:numId="8">
    <w:abstractNumId w:val="28"/>
  </w:num>
  <w:num w:numId="9">
    <w:abstractNumId w:val="7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8"/>
  </w:num>
  <w:num w:numId="15">
    <w:abstractNumId w:val="6"/>
  </w:num>
  <w:num w:numId="16">
    <w:abstractNumId w:val="38"/>
  </w:num>
  <w:num w:numId="17">
    <w:abstractNumId w:val="12"/>
  </w:num>
  <w:num w:numId="18">
    <w:abstractNumId w:val="19"/>
  </w:num>
  <w:num w:numId="19">
    <w:abstractNumId w:val="20"/>
  </w:num>
  <w:num w:numId="20">
    <w:abstractNumId w:val="4"/>
  </w:num>
  <w:num w:numId="21">
    <w:abstractNumId w:val="10"/>
  </w:num>
  <w:num w:numId="22">
    <w:abstractNumId w:val="15"/>
  </w:num>
  <w:num w:numId="23">
    <w:abstractNumId w:val="9"/>
  </w:num>
  <w:num w:numId="24">
    <w:abstractNumId w:val="39"/>
  </w:num>
  <w:num w:numId="25">
    <w:abstractNumId w:val="1"/>
  </w:num>
  <w:num w:numId="26">
    <w:abstractNumId w:val="16"/>
  </w:num>
  <w:num w:numId="27">
    <w:abstractNumId w:val="21"/>
  </w:num>
  <w:num w:numId="28">
    <w:abstractNumId w:val="34"/>
  </w:num>
  <w:num w:numId="29">
    <w:abstractNumId w:val="36"/>
  </w:num>
  <w:num w:numId="30">
    <w:abstractNumId w:val="35"/>
  </w:num>
  <w:num w:numId="31">
    <w:abstractNumId w:val="23"/>
  </w:num>
  <w:num w:numId="32">
    <w:abstractNumId w:val="26"/>
  </w:num>
  <w:num w:numId="33">
    <w:abstractNumId w:val="14"/>
  </w:num>
  <w:num w:numId="34">
    <w:abstractNumId w:val="11"/>
  </w:num>
  <w:num w:numId="35">
    <w:abstractNumId w:val="17"/>
  </w:num>
  <w:num w:numId="36">
    <w:abstractNumId w:val="22"/>
  </w:num>
  <w:num w:numId="37">
    <w:abstractNumId w:val="2"/>
  </w:num>
  <w:num w:numId="38">
    <w:abstractNumId w:val="31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2"/>
    <w:rsid w:val="00000758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37277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08D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0696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5C28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3B65"/>
    <w:rsid w:val="001A4D54"/>
    <w:rsid w:val="001A5DFD"/>
    <w:rsid w:val="001A67E6"/>
    <w:rsid w:val="001A6C55"/>
    <w:rsid w:val="001B0585"/>
    <w:rsid w:val="001B1757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E7702"/>
    <w:rsid w:val="001F315A"/>
    <w:rsid w:val="001F4B6D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6D32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587A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DBB"/>
    <w:rsid w:val="002C0ED8"/>
    <w:rsid w:val="002C1E81"/>
    <w:rsid w:val="002C2B97"/>
    <w:rsid w:val="002C2E99"/>
    <w:rsid w:val="002C33B5"/>
    <w:rsid w:val="002C3711"/>
    <w:rsid w:val="002C3840"/>
    <w:rsid w:val="002C3B0F"/>
    <w:rsid w:val="002C4513"/>
    <w:rsid w:val="002C47EE"/>
    <w:rsid w:val="002C501A"/>
    <w:rsid w:val="002C5517"/>
    <w:rsid w:val="002C587E"/>
    <w:rsid w:val="002C5985"/>
    <w:rsid w:val="002C5F58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5B3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3D8"/>
    <w:rsid w:val="00321C8C"/>
    <w:rsid w:val="003225CF"/>
    <w:rsid w:val="00323649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6BA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325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8E2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83E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866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019B"/>
    <w:rsid w:val="00422C1F"/>
    <w:rsid w:val="00422C58"/>
    <w:rsid w:val="0042476D"/>
    <w:rsid w:val="004251F3"/>
    <w:rsid w:val="0042646F"/>
    <w:rsid w:val="0042690F"/>
    <w:rsid w:val="00430004"/>
    <w:rsid w:val="004305D1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018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69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34BF"/>
    <w:rsid w:val="004D50B8"/>
    <w:rsid w:val="004D52D5"/>
    <w:rsid w:val="004E0012"/>
    <w:rsid w:val="004E0F8D"/>
    <w:rsid w:val="004E1936"/>
    <w:rsid w:val="004E2843"/>
    <w:rsid w:val="004E38FF"/>
    <w:rsid w:val="004E56FC"/>
    <w:rsid w:val="004E5C6A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5CA8"/>
    <w:rsid w:val="00507A55"/>
    <w:rsid w:val="00507FE7"/>
    <w:rsid w:val="005110A0"/>
    <w:rsid w:val="005112BD"/>
    <w:rsid w:val="00511E15"/>
    <w:rsid w:val="00512DB9"/>
    <w:rsid w:val="00512FAF"/>
    <w:rsid w:val="00513300"/>
    <w:rsid w:val="00513E8A"/>
    <w:rsid w:val="0051564F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4784"/>
    <w:rsid w:val="005254CF"/>
    <w:rsid w:val="00525C81"/>
    <w:rsid w:val="00530F9B"/>
    <w:rsid w:val="00531702"/>
    <w:rsid w:val="00534501"/>
    <w:rsid w:val="005361A5"/>
    <w:rsid w:val="00536324"/>
    <w:rsid w:val="005363E5"/>
    <w:rsid w:val="00537517"/>
    <w:rsid w:val="00540BB3"/>
    <w:rsid w:val="00540E6C"/>
    <w:rsid w:val="00541FC4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4B2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6C8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464FF"/>
    <w:rsid w:val="00650A6E"/>
    <w:rsid w:val="00651D92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6D27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5D3"/>
    <w:rsid w:val="006C36C1"/>
    <w:rsid w:val="006C39E1"/>
    <w:rsid w:val="006C40E1"/>
    <w:rsid w:val="006C4BDD"/>
    <w:rsid w:val="006C4F13"/>
    <w:rsid w:val="006C7264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4D81"/>
    <w:rsid w:val="00705D40"/>
    <w:rsid w:val="007065CC"/>
    <w:rsid w:val="0070669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CB4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3D3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94D"/>
    <w:rsid w:val="00766BB0"/>
    <w:rsid w:val="00766EB9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3BCF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141E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630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C77D5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3A7"/>
    <w:rsid w:val="008155E4"/>
    <w:rsid w:val="00815627"/>
    <w:rsid w:val="00815CD2"/>
    <w:rsid w:val="00815D9A"/>
    <w:rsid w:val="00815E58"/>
    <w:rsid w:val="008164A0"/>
    <w:rsid w:val="008166AC"/>
    <w:rsid w:val="00817EBB"/>
    <w:rsid w:val="00817F26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377C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4E12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B7DD6"/>
    <w:rsid w:val="008C020D"/>
    <w:rsid w:val="008C0601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4AEF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01FA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5B9"/>
    <w:rsid w:val="00A1579D"/>
    <w:rsid w:val="00A171B8"/>
    <w:rsid w:val="00A17F1C"/>
    <w:rsid w:val="00A20420"/>
    <w:rsid w:val="00A21B3D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1965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55B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147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1A58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86B38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05B1"/>
    <w:rsid w:val="00AD11B5"/>
    <w:rsid w:val="00AD208E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431A"/>
    <w:rsid w:val="00B05D43"/>
    <w:rsid w:val="00B079D9"/>
    <w:rsid w:val="00B112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0FB0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AA2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57BA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2642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3F8E"/>
    <w:rsid w:val="00C154BF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46C"/>
    <w:rsid w:val="00C269FB"/>
    <w:rsid w:val="00C26AA9"/>
    <w:rsid w:val="00C276B4"/>
    <w:rsid w:val="00C316CE"/>
    <w:rsid w:val="00C32D02"/>
    <w:rsid w:val="00C33695"/>
    <w:rsid w:val="00C33BED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02E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0C6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3E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1FB9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5AA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159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27E0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DF4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5B7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E7CD9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4E05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24D"/>
    <w:rsid w:val="00F07AD6"/>
    <w:rsid w:val="00F1153C"/>
    <w:rsid w:val="00F13092"/>
    <w:rsid w:val="00F13B3E"/>
    <w:rsid w:val="00F146F1"/>
    <w:rsid w:val="00F16BF0"/>
    <w:rsid w:val="00F20F66"/>
    <w:rsid w:val="00F21ABA"/>
    <w:rsid w:val="00F21ACC"/>
    <w:rsid w:val="00F22460"/>
    <w:rsid w:val="00F2346A"/>
    <w:rsid w:val="00F244F7"/>
    <w:rsid w:val="00F24A33"/>
    <w:rsid w:val="00F25205"/>
    <w:rsid w:val="00F25A19"/>
    <w:rsid w:val="00F26576"/>
    <w:rsid w:val="00F266CF"/>
    <w:rsid w:val="00F272EC"/>
    <w:rsid w:val="00F27A94"/>
    <w:rsid w:val="00F27ABF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933"/>
    <w:rsid w:val="00F44C97"/>
    <w:rsid w:val="00F4515F"/>
    <w:rsid w:val="00F45C09"/>
    <w:rsid w:val="00F45FAE"/>
    <w:rsid w:val="00F46E0C"/>
    <w:rsid w:val="00F50CF0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34A"/>
    <w:rsid w:val="00F756A9"/>
    <w:rsid w:val="00F76719"/>
    <w:rsid w:val="00F81307"/>
    <w:rsid w:val="00F8178E"/>
    <w:rsid w:val="00F8382B"/>
    <w:rsid w:val="00F84E99"/>
    <w:rsid w:val="00F85286"/>
    <w:rsid w:val="00F86826"/>
    <w:rsid w:val="00F87A52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48E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7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5837-A2B9-4C75-9973-CDB25EA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4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804B2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804B2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804B2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804B2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58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B0"/>
    <w:rPr>
      <w:rFonts w:ascii="Segoe UI" w:eastAsia="Calibr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32364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Numerowanie,Akapit z listą BS,Kolorowa lista — akcent 11,sw tekst"/>
    <w:basedOn w:val="Normalny"/>
    <w:link w:val="AkapitzlistZnak"/>
    <w:uiPriority w:val="34"/>
    <w:qFormat/>
    <w:rsid w:val="00B112D9"/>
    <w:pPr>
      <w:suppressAutoHyphens/>
      <w:autoSpaceDN w:val="0"/>
      <w:spacing w:after="200" w:line="276" w:lineRule="auto"/>
      <w:ind w:left="720"/>
    </w:pPr>
    <w:rPr>
      <w:kern w:val="3"/>
    </w:rPr>
  </w:style>
  <w:style w:type="character" w:customStyle="1" w:styleId="AkapitzlistZnak">
    <w:name w:val="Akapit z listą Znak"/>
    <w:aliases w:val="Numerowanie Znak,Akapit z listą BS Znak,Kolorowa lista — akcent 11 Znak,sw tekst Znak"/>
    <w:link w:val="Akapitzlist"/>
    <w:uiPriority w:val="34"/>
    <w:locked/>
    <w:rsid w:val="00B112D9"/>
    <w:rPr>
      <w:rFonts w:ascii="Calibri" w:eastAsia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54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C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976DB683.dotm</Template>
  <TotalTime>14</TotalTime>
  <Pages>16</Pages>
  <Words>4472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11</cp:revision>
  <cp:lastPrinted>2020-06-24T06:35:00Z</cp:lastPrinted>
  <dcterms:created xsi:type="dcterms:W3CDTF">2021-08-18T12:30:00Z</dcterms:created>
  <dcterms:modified xsi:type="dcterms:W3CDTF">2021-08-31T09:18:00Z</dcterms:modified>
</cp:coreProperties>
</file>