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24" w:rsidRDefault="00816524" w:rsidP="00816524">
      <w:pPr>
        <w:rPr>
          <w:rFonts w:eastAsia="Times New Roman"/>
          <w:i/>
          <w:iCs/>
          <w:sz w:val="22"/>
          <w:szCs w:val="22"/>
        </w:rPr>
      </w:pPr>
    </w:p>
    <w:p w:rsidR="00816524" w:rsidRPr="00460C65" w:rsidRDefault="00816524" w:rsidP="00816524">
      <w:pPr>
        <w:jc w:val="right"/>
        <w:rPr>
          <w:rFonts w:eastAsia="Times New Roman"/>
          <w:i/>
          <w:iCs/>
          <w:sz w:val="22"/>
          <w:szCs w:val="22"/>
        </w:rPr>
      </w:pPr>
      <w:r w:rsidRPr="00460C65">
        <w:rPr>
          <w:rFonts w:eastAsia="Times New Roman"/>
          <w:i/>
          <w:iCs/>
          <w:sz w:val="22"/>
          <w:szCs w:val="22"/>
        </w:rPr>
        <w:t>Załącznik nr</w:t>
      </w:r>
      <w:r>
        <w:rPr>
          <w:rFonts w:eastAsia="Times New Roman"/>
          <w:i/>
          <w:iCs/>
          <w:sz w:val="22"/>
          <w:szCs w:val="22"/>
        </w:rPr>
        <w:t xml:space="preserve"> 6</w:t>
      </w:r>
      <w:r w:rsidRPr="00460C65">
        <w:rPr>
          <w:rFonts w:eastAsia="Times New Roman"/>
          <w:i/>
          <w:iCs/>
          <w:sz w:val="22"/>
          <w:szCs w:val="22"/>
        </w:rPr>
        <w:t xml:space="preserve"> do SWZ </w:t>
      </w:r>
    </w:p>
    <w:p w:rsidR="00816524" w:rsidRDefault="00816524" w:rsidP="00816524">
      <w:pPr>
        <w:spacing w:line="360" w:lineRule="auto"/>
        <w:rPr>
          <w:sz w:val="22"/>
          <w:szCs w:val="22"/>
        </w:rPr>
      </w:pPr>
    </w:p>
    <w:p w:rsidR="00816524" w:rsidRPr="009B5868" w:rsidRDefault="00816524" w:rsidP="00816524">
      <w:pPr>
        <w:spacing w:line="360" w:lineRule="auto"/>
        <w:rPr>
          <w:bCs/>
          <w:sz w:val="22"/>
          <w:szCs w:val="22"/>
        </w:rPr>
      </w:pPr>
      <w:r w:rsidRPr="009B5868">
        <w:rPr>
          <w:sz w:val="22"/>
          <w:szCs w:val="22"/>
        </w:rPr>
        <w:t xml:space="preserve">Nr postępowania: </w:t>
      </w:r>
      <w:r w:rsidR="004B1CE7">
        <w:rPr>
          <w:bCs/>
          <w:sz w:val="22"/>
          <w:szCs w:val="22"/>
        </w:rPr>
        <w:t>FN.272</w:t>
      </w:r>
      <w:r w:rsidRPr="009B5868">
        <w:rPr>
          <w:bCs/>
          <w:sz w:val="22"/>
          <w:szCs w:val="22"/>
        </w:rPr>
        <w:t>.1.2021.JS</w:t>
      </w:r>
    </w:p>
    <w:p w:rsidR="008165C5" w:rsidRDefault="008165C5" w:rsidP="008165C5">
      <w:pPr>
        <w:tabs>
          <w:tab w:val="left" w:pos="5580"/>
        </w:tabs>
        <w:rPr>
          <w:sz w:val="22"/>
          <w:szCs w:val="22"/>
        </w:rPr>
      </w:pPr>
    </w:p>
    <w:p w:rsidR="008165C5" w:rsidRPr="007969A4" w:rsidRDefault="00816524" w:rsidP="008165C5">
      <w:pPr>
        <w:jc w:val="center"/>
        <w:rPr>
          <w:b/>
        </w:rPr>
      </w:pPr>
      <w:r w:rsidRPr="007969A4">
        <w:rPr>
          <w:b/>
        </w:rPr>
        <w:t xml:space="preserve">Projektowane postanowienia umowy </w:t>
      </w:r>
      <w:r w:rsidR="00C92DA5" w:rsidRPr="00C92DA5">
        <w:rPr>
          <w:b/>
        </w:rPr>
        <w:t xml:space="preserve">w sprawie zamówienia </w:t>
      </w:r>
    </w:p>
    <w:p w:rsidR="00816524" w:rsidRPr="007969A4" w:rsidRDefault="00816524" w:rsidP="008165C5">
      <w:pPr>
        <w:jc w:val="center"/>
        <w:rPr>
          <w:rFonts w:ascii="Arial" w:eastAsia="Times New Roman" w:hAnsi="Arial" w:cs="Arial"/>
          <w:sz w:val="15"/>
          <w:szCs w:val="15"/>
        </w:rPr>
      </w:pPr>
    </w:p>
    <w:p w:rsidR="00816524" w:rsidRPr="007969A4" w:rsidRDefault="00816524" w:rsidP="008165C5">
      <w:pPr>
        <w:jc w:val="center"/>
        <w:rPr>
          <w:rFonts w:ascii="Arial" w:eastAsia="Times New Roman" w:hAnsi="Arial" w:cs="Arial"/>
          <w:sz w:val="15"/>
          <w:szCs w:val="15"/>
        </w:rPr>
      </w:pPr>
    </w:p>
    <w:p w:rsidR="00BA6ADD" w:rsidRPr="007969A4" w:rsidRDefault="00BA6ADD" w:rsidP="00BA6ADD">
      <w:pPr>
        <w:rPr>
          <w:rFonts w:eastAsiaTheme="minorHAnsi"/>
          <w:sz w:val="23"/>
          <w:szCs w:val="23"/>
          <w:lang w:eastAsia="en-US"/>
        </w:rPr>
      </w:pPr>
    </w:p>
    <w:p w:rsidR="00BA6ADD" w:rsidRPr="007969A4" w:rsidRDefault="00BA6ADD" w:rsidP="00BA6ADD">
      <w:pPr>
        <w:jc w:val="center"/>
        <w:rPr>
          <w:rFonts w:ascii="Arial" w:eastAsia="Times New Roman" w:hAnsi="Arial" w:cs="Arial"/>
          <w:sz w:val="15"/>
          <w:szCs w:val="15"/>
        </w:rPr>
      </w:pPr>
    </w:p>
    <w:p w:rsidR="00503791" w:rsidRPr="007969A4" w:rsidRDefault="00C92DA5" w:rsidP="00503791">
      <w:pPr>
        <w:autoSpaceDE w:val="0"/>
        <w:autoSpaceDN w:val="0"/>
        <w:adjustRightInd w:val="0"/>
        <w:spacing w:line="276" w:lineRule="auto"/>
        <w:jc w:val="center"/>
        <w:rPr>
          <w:rFonts w:eastAsiaTheme="minorHAnsi"/>
          <w:lang w:eastAsia="en-US"/>
        </w:rPr>
      </w:pPr>
      <w:r w:rsidRPr="00C92DA5">
        <w:rPr>
          <w:rFonts w:eastAsiaTheme="minorHAnsi"/>
          <w:b/>
          <w:bCs/>
          <w:lang w:eastAsia="en-US"/>
        </w:rPr>
        <w:t>WARUNKI UDZIELENIA I WYKORZYSTANIA KREDYTU</w:t>
      </w:r>
    </w:p>
    <w:p w:rsidR="00503791" w:rsidRPr="007969A4" w:rsidRDefault="00C92DA5" w:rsidP="00503791">
      <w:pPr>
        <w:autoSpaceDE w:val="0"/>
        <w:autoSpaceDN w:val="0"/>
        <w:adjustRightInd w:val="0"/>
        <w:spacing w:line="276" w:lineRule="auto"/>
        <w:jc w:val="center"/>
        <w:rPr>
          <w:rFonts w:eastAsiaTheme="minorHAnsi"/>
          <w:lang w:eastAsia="en-US"/>
        </w:rPr>
      </w:pPr>
      <w:r w:rsidRPr="00C92DA5">
        <w:rPr>
          <w:rFonts w:eastAsiaTheme="minorHAnsi"/>
          <w:b/>
          <w:bCs/>
          <w:lang w:eastAsia="en-US"/>
        </w:rPr>
        <w:t>§ 1</w:t>
      </w:r>
    </w:p>
    <w:p w:rsidR="00503791" w:rsidRPr="007969A4" w:rsidRDefault="00C92DA5" w:rsidP="00503791">
      <w:pPr>
        <w:autoSpaceDE w:val="0"/>
        <w:autoSpaceDN w:val="0"/>
        <w:adjustRightInd w:val="0"/>
        <w:spacing w:line="276" w:lineRule="auto"/>
        <w:jc w:val="both"/>
        <w:rPr>
          <w:rFonts w:eastAsiaTheme="minorHAnsi"/>
          <w:lang w:eastAsia="en-US"/>
        </w:rPr>
      </w:pPr>
      <w:r w:rsidRPr="00C92DA5">
        <w:rPr>
          <w:rFonts w:eastAsiaTheme="minorHAnsi"/>
          <w:lang w:eastAsia="en-US"/>
        </w:rPr>
        <w:t xml:space="preserve">Przedmiotem umowy jest udzielenie i obsługa długoterminowego kredytu bankowego </w:t>
      </w:r>
      <w:r w:rsidRPr="00C92DA5">
        <w:rPr>
          <w:rFonts w:eastAsiaTheme="minorHAnsi"/>
          <w:lang w:eastAsia="en-US"/>
        </w:rPr>
        <w:br/>
        <w:t xml:space="preserve">w wysokości 15.000.000,00 zł (słownie: piętnaście milionów złotych 00/100). Bank udziela Kredytobiorcy kredytu w walucie polskiej we wskazanej wysokości, zwanego dalej „kredytem”, na zasadach ustalonych w niniejszej umowie, z przeznaczeniem na dofinansowanie zadania inwestycyjnego pn.: „Budowa siedziby Starostwa Powiatowego wraz z wyposażeniem”. Kredyt udzielony jest na okres od </w:t>
      </w:r>
      <w:r w:rsidRPr="00C92DA5">
        <w:rPr>
          <w:rFonts w:eastAsiaTheme="minorHAnsi"/>
          <w:b/>
          <w:bCs/>
          <w:lang w:eastAsia="en-US"/>
        </w:rPr>
        <w:t>dnia wypłaty I transzy kredytu do 20 grudnia 2035 roku</w:t>
      </w:r>
      <w:r w:rsidRPr="00C92DA5">
        <w:rPr>
          <w:rFonts w:eastAsiaTheme="minorHAnsi"/>
          <w:lang w:eastAsia="en-US"/>
        </w:rPr>
        <w:t xml:space="preserve">. </w:t>
      </w:r>
    </w:p>
    <w:p w:rsidR="00503791" w:rsidRPr="007969A4" w:rsidRDefault="00C92DA5" w:rsidP="00503791">
      <w:pPr>
        <w:autoSpaceDE w:val="0"/>
        <w:autoSpaceDN w:val="0"/>
        <w:adjustRightInd w:val="0"/>
        <w:spacing w:line="276" w:lineRule="auto"/>
        <w:jc w:val="center"/>
        <w:rPr>
          <w:rFonts w:eastAsiaTheme="minorHAnsi"/>
          <w:lang w:eastAsia="en-US"/>
        </w:rPr>
      </w:pPr>
      <w:r w:rsidRPr="00C92DA5">
        <w:rPr>
          <w:rFonts w:eastAsiaTheme="minorHAnsi"/>
          <w:b/>
          <w:bCs/>
          <w:lang w:eastAsia="en-US"/>
        </w:rPr>
        <w:t>§ 2</w:t>
      </w:r>
    </w:p>
    <w:p w:rsidR="00503791" w:rsidRPr="007969A4" w:rsidRDefault="00C92DA5" w:rsidP="00503791">
      <w:pPr>
        <w:pStyle w:val="Akapitzlist"/>
        <w:numPr>
          <w:ilvl w:val="0"/>
          <w:numId w:val="11"/>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Bank, w dniu uruchomienia środków z kredytu, nada numer Kontraktu kredytowego, na którym będzie ewidencjonowany kredyt. </w:t>
      </w:r>
    </w:p>
    <w:p w:rsidR="00503791" w:rsidRPr="007969A4" w:rsidRDefault="00C92DA5" w:rsidP="00503791">
      <w:pPr>
        <w:pStyle w:val="Akapitzlist"/>
        <w:numPr>
          <w:ilvl w:val="0"/>
          <w:numId w:val="11"/>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Rachunkiem służącym obsłudze kredytu będzie rachunek prowadzony przez Bank </w:t>
      </w:r>
      <w:r w:rsidRPr="00C92DA5">
        <w:rPr>
          <w:rFonts w:eastAsiaTheme="minorHAnsi"/>
          <w:lang w:eastAsia="en-US"/>
        </w:rPr>
        <w:br/>
        <w:t xml:space="preserve">o numerze ......................................, w dalszej części umowy zwany Rachunkiem Obsługi Kredytu. </w:t>
      </w:r>
    </w:p>
    <w:p w:rsidR="00503791" w:rsidRPr="007969A4" w:rsidRDefault="00C92DA5" w:rsidP="00503791">
      <w:pPr>
        <w:pStyle w:val="Akapitzlist"/>
        <w:numPr>
          <w:ilvl w:val="0"/>
          <w:numId w:val="11"/>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Prowadzenie rachunku będzie się odbywało bez kosztów dla Kredytobiorcy. </w:t>
      </w:r>
    </w:p>
    <w:p w:rsidR="00503791" w:rsidRPr="007969A4" w:rsidRDefault="00503791" w:rsidP="00503791">
      <w:pPr>
        <w:autoSpaceDE w:val="0"/>
        <w:autoSpaceDN w:val="0"/>
        <w:adjustRightInd w:val="0"/>
        <w:spacing w:line="276" w:lineRule="auto"/>
        <w:jc w:val="both"/>
        <w:rPr>
          <w:rFonts w:eastAsiaTheme="minorHAnsi"/>
          <w:lang w:eastAsia="en-US"/>
        </w:rPr>
      </w:pPr>
    </w:p>
    <w:p w:rsidR="00503791" w:rsidRPr="007969A4" w:rsidRDefault="00C92DA5" w:rsidP="00503791">
      <w:pPr>
        <w:autoSpaceDE w:val="0"/>
        <w:autoSpaceDN w:val="0"/>
        <w:adjustRightInd w:val="0"/>
        <w:spacing w:line="276" w:lineRule="auto"/>
        <w:jc w:val="center"/>
        <w:rPr>
          <w:rFonts w:eastAsiaTheme="minorHAnsi"/>
          <w:lang w:eastAsia="en-US"/>
        </w:rPr>
      </w:pPr>
      <w:r w:rsidRPr="00C92DA5">
        <w:rPr>
          <w:rFonts w:eastAsiaTheme="minorHAnsi"/>
          <w:b/>
          <w:bCs/>
          <w:lang w:eastAsia="en-US"/>
        </w:rPr>
        <w:t>§ 3</w:t>
      </w:r>
    </w:p>
    <w:p w:rsidR="00503791" w:rsidRPr="007969A4" w:rsidRDefault="00C92DA5" w:rsidP="00503791">
      <w:pPr>
        <w:pStyle w:val="Akapitzlist"/>
        <w:numPr>
          <w:ilvl w:val="0"/>
          <w:numId w:val="12"/>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Postawienie kredytu do dyspozycji Kredytobiorcy nastąpi w transzach: pierwsza transza do 14 dni od zawarcia umowy, </w:t>
      </w:r>
      <w:r w:rsidRPr="00C92DA5">
        <w:rPr>
          <w:rFonts w:eastAsiaTheme="minorHAnsi"/>
          <w:b/>
          <w:bCs/>
          <w:lang w:eastAsia="en-US"/>
        </w:rPr>
        <w:t xml:space="preserve">a ostatnia transza do 31 lipca 2022 r., </w:t>
      </w:r>
      <w:r w:rsidRPr="00C92DA5">
        <w:rPr>
          <w:rFonts w:eastAsiaTheme="minorHAnsi"/>
          <w:lang w:eastAsia="en-US"/>
        </w:rPr>
        <w:t xml:space="preserve">zależnie od aktualnego zapotrzebowania Kredytobiorcy na środki z kredytu. </w:t>
      </w:r>
    </w:p>
    <w:p w:rsidR="00503791" w:rsidRPr="007969A4" w:rsidRDefault="00C92DA5" w:rsidP="00503791">
      <w:pPr>
        <w:pStyle w:val="Akapitzlist"/>
        <w:numPr>
          <w:ilvl w:val="0"/>
          <w:numId w:val="12"/>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Wypłata każdej transzy kredytu następuję na wniosek Kredytobiorcy.  </w:t>
      </w:r>
    </w:p>
    <w:p w:rsidR="000F6446" w:rsidRPr="007969A4" w:rsidRDefault="00C92DA5" w:rsidP="00503791">
      <w:pPr>
        <w:pStyle w:val="Akapitzlist"/>
        <w:numPr>
          <w:ilvl w:val="0"/>
          <w:numId w:val="12"/>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Okres uruchomienia transzy kredytu może ulec zmianie na pisemny wniosek Kredytobiorcy. </w:t>
      </w:r>
    </w:p>
    <w:p w:rsidR="00503791" w:rsidRPr="007969A4" w:rsidRDefault="00503791" w:rsidP="00503791">
      <w:pPr>
        <w:autoSpaceDE w:val="0"/>
        <w:autoSpaceDN w:val="0"/>
        <w:adjustRightInd w:val="0"/>
        <w:spacing w:line="276" w:lineRule="auto"/>
        <w:jc w:val="both"/>
        <w:rPr>
          <w:rFonts w:eastAsiaTheme="minorHAnsi"/>
          <w:lang w:eastAsia="en-US"/>
        </w:rPr>
      </w:pPr>
    </w:p>
    <w:p w:rsidR="00503791" w:rsidRPr="007969A4" w:rsidRDefault="00C92DA5" w:rsidP="00503791">
      <w:pPr>
        <w:autoSpaceDE w:val="0"/>
        <w:autoSpaceDN w:val="0"/>
        <w:adjustRightInd w:val="0"/>
        <w:spacing w:line="276" w:lineRule="auto"/>
        <w:jc w:val="center"/>
        <w:rPr>
          <w:rFonts w:eastAsiaTheme="minorHAnsi"/>
          <w:lang w:eastAsia="en-US"/>
        </w:rPr>
      </w:pPr>
      <w:r w:rsidRPr="00C92DA5">
        <w:rPr>
          <w:rFonts w:eastAsiaTheme="minorHAnsi"/>
          <w:b/>
          <w:bCs/>
          <w:lang w:eastAsia="en-US"/>
        </w:rPr>
        <w:t>§ 4</w:t>
      </w:r>
    </w:p>
    <w:p w:rsidR="00503791" w:rsidRPr="007969A4" w:rsidRDefault="00C92DA5" w:rsidP="00503791">
      <w:pPr>
        <w:pStyle w:val="Akapitzlist"/>
        <w:numPr>
          <w:ilvl w:val="0"/>
          <w:numId w:val="13"/>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Uruchomienie kredytu nastąpi bezgotówkowo, przelewem na dobro rachunku bankowego </w:t>
      </w:r>
      <w:r w:rsidRPr="00C92DA5">
        <w:rPr>
          <w:rFonts w:eastAsiaTheme="minorHAnsi"/>
          <w:b/>
          <w:bCs/>
          <w:lang w:eastAsia="en-US"/>
        </w:rPr>
        <w:t xml:space="preserve">Starostwo Powiatowe w Chełmnie w BS Brodnica 49 9484 1163 2726 0753 0764 0001 </w:t>
      </w:r>
      <w:r w:rsidRPr="00C92DA5">
        <w:rPr>
          <w:rFonts w:eastAsiaTheme="minorHAnsi"/>
          <w:lang w:eastAsia="en-US"/>
        </w:rPr>
        <w:t xml:space="preserve">na podstawie złożonego przez Kredytobiorcę pisemnego zapotrzebowania na daną transzę </w:t>
      </w:r>
      <w:r w:rsidRPr="00C92DA5">
        <w:rPr>
          <w:rFonts w:eastAsiaTheme="minorHAnsi"/>
          <w:b/>
          <w:bCs/>
          <w:lang w:eastAsia="en-US"/>
        </w:rPr>
        <w:t xml:space="preserve">w terminie nie dłuższym niż 7 </w:t>
      </w:r>
      <w:r w:rsidRPr="00C92DA5">
        <w:rPr>
          <w:rFonts w:eastAsiaTheme="minorHAnsi"/>
          <w:lang w:eastAsia="en-US"/>
        </w:rPr>
        <w:t>dni od dnia złożenia zapotrzebowania.</w:t>
      </w:r>
    </w:p>
    <w:p w:rsidR="00503791" w:rsidRPr="007969A4" w:rsidRDefault="00C92DA5" w:rsidP="00503791">
      <w:pPr>
        <w:pStyle w:val="Akapitzlist"/>
        <w:numPr>
          <w:ilvl w:val="0"/>
          <w:numId w:val="13"/>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Dopuszcza się możliwość wykorzystania kredytu w mniejszej kwocie dostosowanej do bieżących potrzeb, bez konieczności ponoszenia jakichkolwiek kosztów. </w:t>
      </w:r>
    </w:p>
    <w:p w:rsidR="00503791" w:rsidRPr="007969A4" w:rsidRDefault="00503791" w:rsidP="00503791">
      <w:pPr>
        <w:autoSpaceDE w:val="0"/>
        <w:autoSpaceDN w:val="0"/>
        <w:adjustRightInd w:val="0"/>
        <w:spacing w:line="276" w:lineRule="auto"/>
        <w:jc w:val="both"/>
        <w:rPr>
          <w:rFonts w:eastAsiaTheme="minorHAnsi"/>
          <w:lang w:eastAsia="en-US"/>
        </w:rPr>
      </w:pPr>
    </w:p>
    <w:p w:rsidR="00503791" w:rsidRPr="007969A4" w:rsidRDefault="00C92DA5" w:rsidP="00503791">
      <w:pPr>
        <w:autoSpaceDE w:val="0"/>
        <w:autoSpaceDN w:val="0"/>
        <w:adjustRightInd w:val="0"/>
        <w:spacing w:line="276" w:lineRule="auto"/>
        <w:jc w:val="center"/>
        <w:rPr>
          <w:rFonts w:eastAsiaTheme="minorHAnsi"/>
          <w:b/>
          <w:bCs/>
          <w:lang w:eastAsia="en-US"/>
        </w:rPr>
      </w:pPr>
      <w:r w:rsidRPr="00C92DA5">
        <w:rPr>
          <w:rFonts w:eastAsiaTheme="minorHAnsi"/>
          <w:b/>
          <w:bCs/>
          <w:lang w:eastAsia="en-US"/>
        </w:rPr>
        <w:t>§ 5</w:t>
      </w:r>
    </w:p>
    <w:p w:rsidR="00503791" w:rsidRPr="007969A4" w:rsidRDefault="00C92DA5" w:rsidP="00E6565F">
      <w:pPr>
        <w:pStyle w:val="Akapitzlist"/>
        <w:numPr>
          <w:ilvl w:val="0"/>
          <w:numId w:val="14"/>
        </w:numPr>
        <w:autoSpaceDE w:val="0"/>
        <w:autoSpaceDN w:val="0"/>
        <w:adjustRightInd w:val="0"/>
        <w:spacing w:line="276" w:lineRule="auto"/>
        <w:jc w:val="both"/>
        <w:rPr>
          <w:rStyle w:val="size"/>
          <w:rFonts w:eastAsia="Times New Roman"/>
        </w:rPr>
      </w:pPr>
      <w:r>
        <w:rPr>
          <w:rFonts w:eastAsiaTheme="minorHAnsi"/>
          <w:lang w:eastAsia="en-US"/>
        </w:rPr>
        <w:t xml:space="preserve">Kredytobiorca </w:t>
      </w:r>
      <w:r>
        <w:rPr>
          <w:rFonts w:eastAsia="Times New Roman"/>
        </w:rPr>
        <w:t xml:space="preserve">wymaga zatrudnienia przez </w:t>
      </w:r>
      <w:r w:rsidRPr="00C92DA5">
        <w:rPr>
          <w:rFonts w:eastAsia="Times New Roman"/>
        </w:rPr>
        <w:t xml:space="preserve">Bank lub podwykonawcę na podstawie stosunku pracy osób wykonujących </w:t>
      </w:r>
      <w:r>
        <w:rPr>
          <w:rStyle w:val="size"/>
        </w:rPr>
        <w:t xml:space="preserve">wskazane przez </w:t>
      </w:r>
      <w:r w:rsidRPr="00C92DA5">
        <w:rPr>
          <w:rStyle w:val="size"/>
        </w:rPr>
        <w:t xml:space="preserve">Kredytobiorcę </w:t>
      </w:r>
      <w:r>
        <w:rPr>
          <w:rStyle w:val="size"/>
        </w:rPr>
        <w:t>czynności</w:t>
      </w:r>
      <w:r>
        <w:rPr>
          <w:rFonts w:eastAsia="Times New Roman"/>
        </w:rPr>
        <w:t xml:space="preserve"> w zakresie </w:t>
      </w:r>
      <w:r>
        <w:rPr>
          <w:rFonts w:eastAsia="Times New Roman"/>
        </w:rPr>
        <w:lastRenderedPageBreak/>
        <w:t>realizacji zamówienia, jeżeli wykonanie tych czynności polega na wykonywaniu pracy w sposób określony w</w:t>
      </w:r>
      <w:r>
        <w:t xml:space="preserve"> art. 22 § 1 ustawy z dnia 26 czerwca 1974 </w:t>
      </w:r>
      <w:r>
        <w:rPr>
          <w:rFonts w:eastAsia="Times New Roman"/>
        </w:rPr>
        <w:t xml:space="preserve">r. - Kodeks pracy (Dz. U. z 2020 r. poz. 1320). </w:t>
      </w:r>
      <w:r>
        <w:rPr>
          <w:rStyle w:val="size"/>
        </w:rPr>
        <w:t>Obowiązek zatrudnienia na podstawie umowy o pracę dotyczy osób wykonujących wskazane czynności związane z udzieleniem i obsługą kredytu w trakcie trwania umowy kredytowej, tj.:</w:t>
      </w:r>
    </w:p>
    <w:p w:rsidR="00503791" w:rsidRPr="007969A4" w:rsidRDefault="00C92DA5" w:rsidP="00E6565F">
      <w:pPr>
        <w:pStyle w:val="Akapitzlist"/>
        <w:numPr>
          <w:ilvl w:val="0"/>
          <w:numId w:val="7"/>
        </w:numPr>
        <w:spacing w:line="276" w:lineRule="auto"/>
        <w:ind w:left="851" w:hanging="425"/>
        <w:jc w:val="both"/>
        <w:rPr>
          <w:rStyle w:val="size"/>
        </w:rPr>
      </w:pPr>
      <w:r>
        <w:rPr>
          <w:rStyle w:val="size"/>
        </w:rPr>
        <w:t>przyjmowania dyspozycji Kredytobiorcy odnośnie transz kredytu;</w:t>
      </w:r>
    </w:p>
    <w:p w:rsidR="00503791" w:rsidRPr="007969A4" w:rsidRDefault="00C92DA5" w:rsidP="00E6565F">
      <w:pPr>
        <w:pStyle w:val="Akapitzlist"/>
        <w:numPr>
          <w:ilvl w:val="0"/>
          <w:numId w:val="7"/>
        </w:numPr>
        <w:spacing w:line="276" w:lineRule="auto"/>
        <w:ind w:left="851" w:hanging="425"/>
        <w:jc w:val="both"/>
        <w:rPr>
          <w:rStyle w:val="size"/>
        </w:rPr>
      </w:pPr>
      <w:r>
        <w:rPr>
          <w:rStyle w:val="size"/>
        </w:rPr>
        <w:t>wyliczanie należnych odsetek od kredytu;</w:t>
      </w:r>
    </w:p>
    <w:p w:rsidR="00503791" w:rsidRPr="007969A4" w:rsidRDefault="00C92DA5" w:rsidP="00E6565F">
      <w:pPr>
        <w:pStyle w:val="Akapitzlist"/>
        <w:numPr>
          <w:ilvl w:val="0"/>
          <w:numId w:val="7"/>
        </w:numPr>
        <w:spacing w:line="276" w:lineRule="auto"/>
        <w:ind w:left="851" w:hanging="425"/>
        <w:jc w:val="both"/>
        <w:rPr>
          <w:rStyle w:val="size"/>
        </w:rPr>
      </w:pPr>
      <w:r>
        <w:rPr>
          <w:rStyle w:val="size"/>
        </w:rPr>
        <w:t>informowanie o bieżącym stanie kredytu;</w:t>
      </w:r>
    </w:p>
    <w:p w:rsidR="00503791" w:rsidRPr="007969A4" w:rsidRDefault="00C92DA5" w:rsidP="00E6565F">
      <w:pPr>
        <w:pStyle w:val="Akapitzlist"/>
        <w:spacing w:line="276" w:lineRule="auto"/>
        <w:ind w:left="284"/>
        <w:jc w:val="both"/>
        <w:rPr>
          <w:rFonts w:eastAsia="Times New Roman"/>
        </w:rPr>
      </w:pPr>
      <w:r>
        <w:t>- o ile czynności te nie będą wykonywane przez osobę w ramach prowadzonej przez nią działalności gospodarczej.</w:t>
      </w:r>
      <w:r>
        <w:rPr>
          <w:rFonts w:eastAsia="Times New Roman"/>
        </w:rPr>
        <w:t xml:space="preserve"> </w:t>
      </w:r>
      <w:r w:rsidRPr="00C92DA5">
        <w:rPr>
          <w:rFonts w:eastAsia="Times New Roman"/>
        </w:rPr>
        <w:t xml:space="preserve">Kredytobiorca </w:t>
      </w:r>
      <w:r>
        <w:rPr>
          <w:rFonts w:eastAsia="Times New Roman"/>
        </w:rPr>
        <w:t xml:space="preserve">nie określa wymiaru etatu zatrudnienia osób realizujących wskazane powyżej czynności, z tym, że wskazane przez Kredytobiorcę czynności muszą być wykonywane przez osoby zatrudnione przez </w:t>
      </w:r>
      <w:r w:rsidRPr="00C92DA5">
        <w:rPr>
          <w:rFonts w:eastAsia="Times New Roman"/>
        </w:rPr>
        <w:t>Bank l</w:t>
      </w:r>
      <w:r>
        <w:rPr>
          <w:rFonts w:eastAsia="Times New Roman"/>
        </w:rPr>
        <w:t>ub podwykonawcę na podstawie stosunku pracy.</w:t>
      </w:r>
    </w:p>
    <w:p w:rsidR="00503791" w:rsidRPr="007969A4" w:rsidRDefault="00C92DA5" w:rsidP="00E6565F">
      <w:pPr>
        <w:tabs>
          <w:tab w:val="left" w:pos="284"/>
        </w:tabs>
        <w:spacing w:line="276" w:lineRule="auto"/>
        <w:ind w:left="284" w:hanging="284"/>
        <w:jc w:val="both"/>
        <w:rPr>
          <w:rStyle w:val="size"/>
        </w:rPr>
      </w:pPr>
      <w:r>
        <w:rPr>
          <w:rFonts w:eastAsia="Times New Roman"/>
        </w:rPr>
        <w:t>2.</w:t>
      </w:r>
      <w:r>
        <w:rPr>
          <w:rFonts w:eastAsia="Times New Roman"/>
        </w:rPr>
        <w:tab/>
      </w:r>
      <w:r w:rsidRPr="00C92DA5">
        <w:rPr>
          <w:rStyle w:val="size"/>
        </w:rPr>
        <w:t xml:space="preserve">Kredytobiorca </w:t>
      </w:r>
      <w:r>
        <w:rPr>
          <w:rStyle w:val="size"/>
        </w:rPr>
        <w:t xml:space="preserve">zastrzega sobie możliwość kontroli zatrudnienia oraz żądania przedstawienia przez </w:t>
      </w:r>
      <w:r w:rsidRPr="00C92DA5">
        <w:rPr>
          <w:rStyle w:val="size"/>
        </w:rPr>
        <w:t xml:space="preserve"> Bank </w:t>
      </w:r>
      <w:r>
        <w:rPr>
          <w:rStyle w:val="size"/>
        </w:rPr>
        <w:t>dowodów na zatrudnienie osób na podstawie umów o pracę przez cały okres realizacji zamówienia.</w:t>
      </w:r>
    </w:p>
    <w:p w:rsidR="00503791" w:rsidRPr="007969A4" w:rsidRDefault="00C92DA5" w:rsidP="00E6565F">
      <w:pPr>
        <w:tabs>
          <w:tab w:val="left" w:pos="284"/>
        </w:tabs>
        <w:spacing w:line="276" w:lineRule="auto"/>
        <w:ind w:left="284" w:hanging="284"/>
        <w:jc w:val="both"/>
      </w:pPr>
      <w:r>
        <w:rPr>
          <w:rStyle w:val="size"/>
        </w:rPr>
        <w:t>3.</w:t>
      </w:r>
      <w:r>
        <w:rPr>
          <w:rStyle w:val="size"/>
        </w:rPr>
        <w:tab/>
        <w:t>W zakresie dokumentowania zatrudnienia osób,</w:t>
      </w:r>
      <w:r w:rsidRPr="00C92DA5">
        <w:rPr>
          <w:rStyle w:val="size"/>
        </w:rPr>
        <w:t xml:space="preserve"> Bank zobowiązany jest do dostarczenia  Kredytobiorcy </w:t>
      </w:r>
      <w:r>
        <w:rPr>
          <w:rStyle w:val="size"/>
        </w:rPr>
        <w:t xml:space="preserve">w terminie 3 dni od daty zawarcia umowy, wykazu osób zatrudnionych przy realizacji zamówienia, ze wskazaniem stanowisk, czynności jakie będą wykonywać wraz z oświadczeniem, że wymienione w wykazie osoby są zatrudnione przez </w:t>
      </w:r>
      <w:r w:rsidRPr="00C92DA5">
        <w:rPr>
          <w:rStyle w:val="size"/>
        </w:rPr>
        <w:t xml:space="preserve">Bank </w:t>
      </w:r>
      <w:r>
        <w:rPr>
          <w:rStyle w:val="size"/>
        </w:rPr>
        <w:t xml:space="preserve">lub podwykonawcę na podstawie umowy o pracę co najmniej na okres realizacji umowy. W przypadku konieczności wprowadzenia zmian w wykazie osób </w:t>
      </w:r>
      <w:r w:rsidRPr="00C92DA5">
        <w:rPr>
          <w:rStyle w:val="size"/>
        </w:rPr>
        <w:t xml:space="preserve">Bank </w:t>
      </w:r>
      <w:r>
        <w:rPr>
          <w:rStyle w:val="size"/>
        </w:rPr>
        <w:t xml:space="preserve">powiadomi </w:t>
      </w:r>
      <w:r w:rsidRPr="00C92DA5">
        <w:rPr>
          <w:rStyle w:val="size"/>
        </w:rPr>
        <w:t xml:space="preserve"> Kredytobiorcę </w:t>
      </w:r>
      <w:r>
        <w:t xml:space="preserve">o zmianie i dostarczy poprawiony wykaz wraz z oświadczeniem najpóźniej w dniu rozpoczęcia pracy przez nowego pracownika. </w:t>
      </w:r>
    </w:p>
    <w:p w:rsidR="00503791" w:rsidRPr="007969A4" w:rsidRDefault="00C92DA5" w:rsidP="00E6565F">
      <w:pPr>
        <w:tabs>
          <w:tab w:val="left" w:pos="284"/>
        </w:tabs>
        <w:spacing w:line="276" w:lineRule="auto"/>
        <w:ind w:left="284" w:hanging="284"/>
        <w:jc w:val="both"/>
        <w:rPr>
          <w:rStyle w:val="size"/>
        </w:rPr>
      </w:pPr>
      <w:r>
        <w:t>4.</w:t>
      </w:r>
      <w:r>
        <w:tab/>
      </w:r>
      <w:r>
        <w:rPr>
          <w:rStyle w:val="size"/>
        </w:rPr>
        <w:t>W przypadku rozwiązania stosunku pracy przed zakończeniem wykonywania danych czynności,</w:t>
      </w:r>
      <w:r w:rsidRPr="00C92DA5">
        <w:rPr>
          <w:rStyle w:val="size"/>
        </w:rPr>
        <w:t xml:space="preserve"> Bank </w:t>
      </w:r>
      <w:r>
        <w:rPr>
          <w:rStyle w:val="size"/>
        </w:rPr>
        <w:t>lub podwykonawca jest zobowiązany do niezwłocznego zatrudnienia w to miejsce innej osoby na umowę o pracę – o ile jest to niezbędne do ich zakończenia.</w:t>
      </w:r>
    </w:p>
    <w:p w:rsidR="00503791" w:rsidRPr="007969A4" w:rsidRDefault="00C92DA5" w:rsidP="00E6565F">
      <w:pPr>
        <w:tabs>
          <w:tab w:val="left" w:pos="284"/>
        </w:tabs>
        <w:spacing w:line="276" w:lineRule="auto"/>
        <w:ind w:left="284" w:hanging="284"/>
        <w:jc w:val="both"/>
        <w:rPr>
          <w:rFonts w:eastAsia="Times New Roman"/>
        </w:rPr>
      </w:pPr>
      <w:r>
        <w:rPr>
          <w:rStyle w:val="size"/>
        </w:rPr>
        <w:t>5.</w:t>
      </w:r>
      <w:r>
        <w:rPr>
          <w:rStyle w:val="size"/>
        </w:rPr>
        <w:tab/>
      </w:r>
      <w:r>
        <w:t>W celu kontroli spełnienia przez</w:t>
      </w:r>
      <w:r w:rsidRPr="00C92DA5">
        <w:t xml:space="preserve"> Bank </w:t>
      </w:r>
      <w:r>
        <w:t xml:space="preserve">wymagań, o których mowa w art. 95 ust. 1 ustawy Prawo zamówień publicznych, (dalej jako ustawa </w:t>
      </w:r>
      <w:proofErr w:type="spellStart"/>
      <w:r w:rsidRPr="00C92DA5">
        <w:t>Pzp</w:t>
      </w:r>
      <w:proofErr w:type="spellEnd"/>
      <w:r w:rsidRPr="00C92DA5">
        <w:t xml:space="preserve">) Bank na żądanie Kredytobiorcy </w:t>
      </w:r>
      <w:r>
        <w:t xml:space="preserve">i w wyznaczonym przez niego terminie przedłoży dokumenty w celu potwierdzenia spełniania wymogu zatrudnienia na umowę o pracę przez </w:t>
      </w:r>
      <w:r w:rsidRPr="00C92DA5">
        <w:t xml:space="preserve">Bank </w:t>
      </w:r>
      <w:r>
        <w:t>lub podwykonawcę osób wykonujących w trakcie realizacji zamówienia czynności, o których mowa w ust. 1, w szczególności mogą to być:</w:t>
      </w:r>
    </w:p>
    <w:p w:rsidR="00503791" w:rsidRPr="007969A4" w:rsidRDefault="00C92DA5" w:rsidP="00503791">
      <w:pPr>
        <w:pStyle w:val="Akapitzlist"/>
        <w:numPr>
          <w:ilvl w:val="0"/>
          <w:numId w:val="8"/>
        </w:numPr>
        <w:spacing w:line="276" w:lineRule="auto"/>
        <w:jc w:val="both"/>
      </w:pPr>
      <w:r>
        <w:t>oświadczenie zatrudnionego pracownika;</w:t>
      </w:r>
    </w:p>
    <w:p w:rsidR="00503791" w:rsidRPr="007969A4" w:rsidRDefault="00C92DA5" w:rsidP="00503791">
      <w:pPr>
        <w:pStyle w:val="Akapitzlist"/>
        <w:numPr>
          <w:ilvl w:val="0"/>
          <w:numId w:val="8"/>
        </w:numPr>
        <w:spacing w:line="276" w:lineRule="auto"/>
        <w:jc w:val="both"/>
      </w:pPr>
      <w:r>
        <w:t>oświadczenie</w:t>
      </w:r>
      <w:r w:rsidRPr="00C92DA5">
        <w:t xml:space="preserve"> Banku lub podwykonawcy o zatrudnieniu pracownika na podstawie umowy o pracę;</w:t>
      </w:r>
    </w:p>
    <w:p w:rsidR="00503791" w:rsidRPr="007969A4" w:rsidRDefault="00C92DA5" w:rsidP="00503791">
      <w:pPr>
        <w:pStyle w:val="Akapitzlist"/>
        <w:numPr>
          <w:ilvl w:val="0"/>
          <w:numId w:val="8"/>
        </w:numPr>
        <w:spacing w:line="276" w:lineRule="auto"/>
        <w:jc w:val="both"/>
      </w:pPr>
      <w:r>
        <w:t xml:space="preserve">poświadczona odpowiednio przez Wykonawcę </w:t>
      </w:r>
      <w:r w:rsidRPr="00C92DA5">
        <w:t xml:space="preserve">Bank </w:t>
      </w:r>
      <w:r>
        <w:t>lub podwykonawcę kopia umowy o pracę zatrudnionego pracownika;</w:t>
      </w:r>
    </w:p>
    <w:p w:rsidR="00503791" w:rsidRPr="007969A4" w:rsidRDefault="00C92DA5" w:rsidP="00503791">
      <w:pPr>
        <w:pStyle w:val="Akapitzlist"/>
        <w:numPr>
          <w:ilvl w:val="0"/>
          <w:numId w:val="8"/>
        </w:numPr>
        <w:spacing w:line="276" w:lineRule="auto"/>
        <w:jc w:val="both"/>
      </w:pPr>
      <w:r>
        <w:t xml:space="preserve">inne dokumenty  </w:t>
      </w:r>
    </w:p>
    <w:p w:rsidR="00503791" w:rsidRPr="007969A4" w:rsidRDefault="00C92DA5" w:rsidP="00E6565F">
      <w:pPr>
        <w:spacing w:line="276" w:lineRule="auto"/>
        <w:ind w:left="426"/>
        <w:jc w:val="both"/>
      </w:pPr>
      <w: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rsidR="00503791" w:rsidRPr="007969A4" w:rsidRDefault="00C92DA5" w:rsidP="00E6565F">
      <w:pPr>
        <w:pStyle w:val="Akapitzlist"/>
        <w:numPr>
          <w:ilvl w:val="0"/>
          <w:numId w:val="15"/>
        </w:numPr>
        <w:spacing w:line="276" w:lineRule="auto"/>
        <w:jc w:val="both"/>
      </w:pPr>
      <w:r>
        <w:lastRenderedPageBreak/>
        <w:t xml:space="preserve">W przypadku uzasadnionych wątpliwości co do przestrzegania prawa </w:t>
      </w:r>
      <w:proofErr w:type="spellStart"/>
      <w:r>
        <w:t>pracy</w:t>
      </w:r>
      <w:proofErr w:type="spellEnd"/>
      <w:r>
        <w:t xml:space="preserve"> przez </w:t>
      </w:r>
      <w:r w:rsidRPr="00C92DA5">
        <w:t xml:space="preserve">Bank </w:t>
      </w:r>
      <w:r>
        <w:t xml:space="preserve">lub podwykonawcę, Kredytobiorca może zwrócić się o przeprowadzenie kontroli do Państwowej Inspekcji Pracy. </w:t>
      </w:r>
    </w:p>
    <w:p w:rsidR="00E6565F" w:rsidRPr="007969A4" w:rsidRDefault="00E6565F" w:rsidP="00E6565F">
      <w:pPr>
        <w:pStyle w:val="Akapitzlist"/>
        <w:spacing w:line="276" w:lineRule="auto"/>
        <w:ind w:left="360"/>
        <w:jc w:val="both"/>
        <w:rPr>
          <w:rStyle w:val="size"/>
        </w:rPr>
      </w:pPr>
    </w:p>
    <w:p w:rsidR="00503791" w:rsidRPr="007969A4" w:rsidRDefault="00C92DA5" w:rsidP="00BA6ADD">
      <w:pPr>
        <w:autoSpaceDE w:val="0"/>
        <w:autoSpaceDN w:val="0"/>
        <w:adjustRightInd w:val="0"/>
        <w:jc w:val="center"/>
        <w:rPr>
          <w:rFonts w:eastAsiaTheme="minorHAnsi"/>
          <w:lang w:eastAsia="en-US"/>
        </w:rPr>
      </w:pPr>
      <w:r w:rsidRPr="00C92DA5">
        <w:rPr>
          <w:rFonts w:eastAsiaTheme="minorHAnsi"/>
          <w:b/>
          <w:bCs/>
          <w:lang w:eastAsia="en-US"/>
        </w:rPr>
        <w:t>MARŻA ORAZ OPROCENTOWANIE KREDYTU</w:t>
      </w:r>
    </w:p>
    <w:p w:rsidR="00503791" w:rsidRPr="007969A4" w:rsidRDefault="00C92DA5" w:rsidP="00BA6ADD">
      <w:pPr>
        <w:autoSpaceDE w:val="0"/>
        <w:autoSpaceDN w:val="0"/>
        <w:adjustRightInd w:val="0"/>
        <w:spacing w:line="276" w:lineRule="auto"/>
        <w:jc w:val="center"/>
        <w:rPr>
          <w:rFonts w:eastAsiaTheme="minorHAnsi"/>
          <w:lang w:eastAsia="en-US"/>
        </w:rPr>
      </w:pPr>
      <w:r w:rsidRPr="00C92DA5">
        <w:rPr>
          <w:rFonts w:eastAsiaTheme="minorHAnsi"/>
          <w:b/>
          <w:bCs/>
          <w:lang w:eastAsia="en-US"/>
        </w:rPr>
        <w:t>§ 6</w:t>
      </w:r>
    </w:p>
    <w:p w:rsidR="00E6565F" w:rsidRPr="007969A4" w:rsidRDefault="00C92DA5" w:rsidP="00E6565F">
      <w:pPr>
        <w:pStyle w:val="Akapitzlist"/>
        <w:numPr>
          <w:ilvl w:val="0"/>
          <w:numId w:val="16"/>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Od kwoty wykorzystanego kredytu Bank nalicza odsetki w stosunku rocznym według zmiennej stopy procentowej, ustalonej w oparciu o średnią arytmetyczną stawki WIBOR 3M z okresu od pierwszego do ostatniego dnia miesiąca poprzedzającego miesiąc, w którym dokonana będzie płatność  począwszy od 1-go dnia następnego miesiąca, powiększoną o stałą marżę Banku, o której mowa w ust. 3. </w:t>
      </w:r>
    </w:p>
    <w:p w:rsidR="00E6565F" w:rsidRPr="007969A4" w:rsidRDefault="00C92DA5" w:rsidP="00E6565F">
      <w:pPr>
        <w:pStyle w:val="Akapitzlist"/>
        <w:numPr>
          <w:ilvl w:val="0"/>
          <w:numId w:val="16"/>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Na dzień podpisania umowy obowiązuje stawka WIBOR 3 M z dnia ……............... roku, tj. .......%. </w:t>
      </w:r>
    </w:p>
    <w:p w:rsidR="00E6565F" w:rsidRPr="007969A4" w:rsidRDefault="00C92DA5" w:rsidP="00E6565F">
      <w:pPr>
        <w:pStyle w:val="Akapitzlist"/>
        <w:numPr>
          <w:ilvl w:val="0"/>
          <w:numId w:val="16"/>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Wysokość marży Banku wynosi ….% (słownie: …………………. punktu procentowego). Marża w okresie obowiązywania niniejszej umowy jest stała i jest każdorazowo dodawana do ustalanej, na zasadach opisanych w niniejszej umowie, co miesiąc stawki WIBOR dla depozytów 3-miesięcznych. </w:t>
      </w:r>
    </w:p>
    <w:p w:rsidR="00E6565F" w:rsidRPr="007969A4" w:rsidRDefault="00C92DA5" w:rsidP="00E6565F">
      <w:pPr>
        <w:pStyle w:val="Akapitzlist"/>
        <w:numPr>
          <w:ilvl w:val="0"/>
          <w:numId w:val="16"/>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Zmiana stawki WIBOR dla depozytów 3-miesięcznych będącej podstawą naliczenia odsetek następować będzie w miesięcznych okresach obrachunkowych, w oparciu o stawkę publikowaną na stronie “WIBOR” serwisu </w:t>
      </w:r>
      <w:proofErr w:type="spellStart"/>
      <w:r w:rsidRPr="00C92DA5">
        <w:rPr>
          <w:rFonts w:eastAsiaTheme="minorHAnsi"/>
          <w:lang w:eastAsia="en-US"/>
        </w:rPr>
        <w:t>Reuter’a</w:t>
      </w:r>
      <w:proofErr w:type="spellEnd"/>
      <w:r w:rsidRPr="00C92DA5">
        <w:rPr>
          <w:rFonts w:eastAsiaTheme="minorHAnsi"/>
          <w:lang w:eastAsia="en-US"/>
        </w:rPr>
        <w:t xml:space="preserve"> o godzinie 11:00 czasu warszawskiego, obowiązującej na każdy ostatni dzień miesiąca kalendarzowego powiększonej o marżę Banku. </w:t>
      </w:r>
    </w:p>
    <w:p w:rsidR="00E6565F" w:rsidRPr="007969A4" w:rsidRDefault="00C92DA5" w:rsidP="00E6565F">
      <w:pPr>
        <w:pStyle w:val="Akapitzlist"/>
        <w:numPr>
          <w:ilvl w:val="0"/>
          <w:numId w:val="16"/>
        </w:numPr>
        <w:autoSpaceDE w:val="0"/>
        <w:autoSpaceDN w:val="0"/>
        <w:adjustRightInd w:val="0"/>
        <w:spacing w:line="276" w:lineRule="auto"/>
        <w:jc w:val="both"/>
        <w:rPr>
          <w:rFonts w:eastAsiaTheme="minorHAnsi"/>
          <w:lang w:eastAsia="en-US"/>
        </w:rPr>
      </w:pPr>
      <w:r w:rsidRPr="00C92DA5">
        <w:rPr>
          <w:rFonts w:eastAsiaTheme="minorHAnsi"/>
          <w:b/>
          <w:bCs/>
          <w:lang w:eastAsia="en-US"/>
        </w:rPr>
        <w:t xml:space="preserve">Odsetki naliczane </w:t>
      </w:r>
      <w:r w:rsidRPr="00C92DA5">
        <w:rPr>
          <w:rFonts w:eastAsiaTheme="minorHAnsi"/>
          <w:lang w:eastAsia="en-US"/>
        </w:rPr>
        <w:t xml:space="preserve">będą za okres od pierwszego dnia miesiąca do ostatniego dnia miesiąca, a </w:t>
      </w:r>
      <w:r w:rsidRPr="00C92DA5">
        <w:rPr>
          <w:rFonts w:eastAsiaTheme="minorHAnsi"/>
          <w:b/>
          <w:bCs/>
          <w:lang w:eastAsia="en-US"/>
        </w:rPr>
        <w:t xml:space="preserve">płatne </w:t>
      </w:r>
      <w:r w:rsidRPr="00C92DA5">
        <w:rPr>
          <w:rFonts w:eastAsiaTheme="minorHAnsi"/>
          <w:lang w:eastAsia="en-US"/>
        </w:rPr>
        <w:t xml:space="preserve">będą do 20 – go dnia miesiąca za miesiąc poprzedni. </w:t>
      </w:r>
    </w:p>
    <w:p w:rsidR="00E6565F" w:rsidRPr="007969A4" w:rsidRDefault="00C92DA5" w:rsidP="00E6565F">
      <w:pPr>
        <w:pStyle w:val="Akapitzlist"/>
        <w:numPr>
          <w:ilvl w:val="0"/>
          <w:numId w:val="16"/>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Pierwsza płatność odsetek nastąpi do 20 dnia miesiąca następującego po miesiącu, w którym uruchomiono pierwszą transzę kredytu. </w:t>
      </w:r>
    </w:p>
    <w:p w:rsidR="00E6565F" w:rsidRPr="007969A4" w:rsidRDefault="00C92DA5" w:rsidP="00E6565F">
      <w:pPr>
        <w:pStyle w:val="Akapitzlist"/>
        <w:numPr>
          <w:ilvl w:val="0"/>
          <w:numId w:val="16"/>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Zmiana stopy procentowej kredytu nie wymaga aneksowania niniejszej umowy. </w:t>
      </w:r>
    </w:p>
    <w:p w:rsidR="00E6565F" w:rsidRPr="007969A4" w:rsidRDefault="00C92DA5" w:rsidP="00E6565F">
      <w:pPr>
        <w:pStyle w:val="Akapitzlist"/>
        <w:numPr>
          <w:ilvl w:val="0"/>
          <w:numId w:val="16"/>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Dla potrzeb niniejszej umowy, przy obliczaniu odsetek przyjmuje się, iż rok liczy 365 lub366 dni w zależności od danej wartości kalendarzowej. </w:t>
      </w:r>
    </w:p>
    <w:p w:rsidR="00503791" w:rsidRPr="007969A4" w:rsidRDefault="00C92DA5" w:rsidP="00E6565F">
      <w:pPr>
        <w:pStyle w:val="Akapitzlist"/>
        <w:numPr>
          <w:ilvl w:val="0"/>
          <w:numId w:val="16"/>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Bank nalicza odsetki za okres od dnia powstania zadłużenia z tytułu udzielonego kredytu do dnia poprzedzającego jego spłatę włącznie. </w:t>
      </w:r>
    </w:p>
    <w:p w:rsidR="00503791" w:rsidRPr="007969A4" w:rsidRDefault="00503791" w:rsidP="00E6565F">
      <w:pPr>
        <w:autoSpaceDE w:val="0"/>
        <w:autoSpaceDN w:val="0"/>
        <w:adjustRightInd w:val="0"/>
        <w:spacing w:line="276" w:lineRule="auto"/>
        <w:jc w:val="center"/>
        <w:rPr>
          <w:rFonts w:eastAsiaTheme="minorHAnsi"/>
          <w:lang w:eastAsia="en-US"/>
        </w:rPr>
      </w:pPr>
    </w:p>
    <w:p w:rsidR="00503791" w:rsidRPr="007969A4" w:rsidRDefault="00C92DA5" w:rsidP="00E6565F">
      <w:pPr>
        <w:autoSpaceDE w:val="0"/>
        <w:autoSpaceDN w:val="0"/>
        <w:adjustRightInd w:val="0"/>
        <w:spacing w:line="276" w:lineRule="auto"/>
        <w:jc w:val="center"/>
        <w:rPr>
          <w:rFonts w:eastAsiaTheme="minorHAnsi"/>
          <w:lang w:eastAsia="en-US"/>
        </w:rPr>
      </w:pPr>
      <w:r w:rsidRPr="00C92DA5">
        <w:rPr>
          <w:rFonts w:eastAsiaTheme="minorHAnsi"/>
          <w:b/>
          <w:bCs/>
          <w:lang w:eastAsia="en-US"/>
        </w:rPr>
        <w:t>WARUNKI SPŁATY KREDYTU</w:t>
      </w:r>
    </w:p>
    <w:p w:rsidR="00503791" w:rsidRPr="007969A4" w:rsidRDefault="00C92DA5" w:rsidP="00E6565F">
      <w:pPr>
        <w:autoSpaceDE w:val="0"/>
        <w:autoSpaceDN w:val="0"/>
        <w:adjustRightInd w:val="0"/>
        <w:spacing w:line="276" w:lineRule="auto"/>
        <w:jc w:val="center"/>
        <w:rPr>
          <w:rFonts w:eastAsiaTheme="minorHAnsi"/>
          <w:lang w:eastAsia="en-US"/>
        </w:rPr>
      </w:pPr>
      <w:r w:rsidRPr="00C92DA5">
        <w:rPr>
          <w:rFonts w:eastAsiaTheme="minorHAnsi"/>
          <w:b/>
          <w:bCs/>
          <w:lang w:eastAsia="en-US"/>
        </w:rPr>
        <w:t>§ 7</w:t>
      </w:r>
    </w:p>
    <w:p w:rsidR="00E6565F" w:rsidRPr="007969A4" w:rsidRDefault="00C92DA5" w:rsidP="00711968">
      <w:pPr>
        <w:pStyle w:val="Akapitzlist"/>
        <w:numPr>
          <w:ilvl w:val="0"/>
          <w:numId w:val="31"/>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Kredytobiorca zobowiązuje się dokonać spłaty rat kredytu w następujących terminach i kwotach: </w:t>
      </w:r>
      <w:r w:rsidRPr="00C92DA5">
        <w:t>Spłata kredytu w 54 ratach kwartalnych płatnych do 20-tego ostatniego miesiąca każdego kwartału, pierwsza rata kapitałowa w kwocie 160.000 zł do 20-tego września 2022 r,, kolejne raty w kwocie 280.000 zł do  20-ego ostatniego dnia miesiąca każdego kwartału, ostatnia rata również w kwocie 280.000 zł do 20-ego grudnia 2035 r.</w:t>
      </w:r>
    </w:p>
    <w:p w:rsidR="00E6565F" w:rsidRPr="007969A4" w:rsidRDefault="00C92DA5" w:rsidP="00711968">
      <w:pPr>
        <w:pStyle w:val="Akapitzlist"/>
        <w:numPr>
          <w:ilvl w:val="0"/>
          <w:numId w:val="31"/>
        </w:numPr>
        <w:autoSpaceDE w:val="0"/>
        <w:autoSpaceDN w:val="0"/>
        <w:adjustRightInd w:val="0"/>
        <w:spacing w:line="276" w:lineRule="auto"/>
        <w:jc w:val="both"/>
        <w:rPr>
          <w:rFonts w:eastAsiaTheme="minorHAnsi"/>
          <w:lang w:eastAsia="en-US"/>
        </w:rPr>
      </w:pPr>
      <w:r w:rsidRPr="00C92DA5">
        <w:t>Jeżeli termin spłaty kredytu przypada na dzień ustawowo wolny od pracy lub sobotę, to termin spłaty ulega przesunięciu na pierwszy dzień roboczy po terminie spłaty.</w:t>
      </w:r>
    </w:p>
    <w:p w:rsidR="00E6565F" w:rsidRPr="007969A4" w:rsidRDefault="00C92DA5" w:rsidP="00711968">
      <w:pPr>
        <w:pStyle w:val="Akapitzlist"/>
        <w:numPr>
          <w:ilvl w:val="0"/>
          <w:numId w:val="31"/>
        </w:numPr>
        <w:autoSpaceDE w:val="0"/>
        <w:autoSpaceDN w:val="0"/>
        <w:adjustRightInd w:val="0"/>
        <w:spacing w:line="276" w:lineRule="auto"/>
        <w:jc w:val="both"/>
        <w:rPr>
          <w:rFonts w:eastAsiaTheme="minorHAnsi"/>
          <w:lang w:eastAsia="en-US"/>
        </w:rPr>
      </w:pPr>
      <w:r w:rsidRPr="00C92DA5">
        <w:t>Spłaty kapitału kredytu następować będą w dniu wpływu środków na konto w Banku z Rachunku Obsługi Kredytu o nr: ........................................... prowadzonego przez Bank, na który to Kredytobiorca będzie przelewać odpowiednie wymagalne kwoty.</w:t>
      </w:r>
    </w:p>
    <w:p w:rsidR="00E6565F" w:rsidRPr="007969A4" w:rsidRDefault="00E6565F" w:rsidP="00E6565F">
      <w:pPr>
        <w:spacing w:line="276" w:lineRule="auto"/>
        <w:jc w:val="both"/>
      </w:pPr>
    </w:p>
    <w:p w:rsidR="00E6565F" w:rsidRPr="007969A4" w:rsidRDefault="00C92DA5" w:rsidP="00E6565F">
      <w:pPr>
        <w:spacing w:line="276" w:lineRule="auto"/>
        <w:jc w:val="center"/>
        <w:rPr>
          <w:b/>
          <w:bCs/>
        </w:rPr>
      </w:pPr>
      <w:r w:rsidRPr="00C92DA5">
        <w:rPr>
          <w:b/>
          <w:bCs/>
        </w:rPr>
        <w:t>§ 8</w:t>
      </w:r>
    </w:p>
    <w:p w:rsidR="00E6565F" w:rsidRPr="007969A4" w:rsidRDefault="00C92DA5" w:rsidP="00E6565F">
      <w:pPr>
        <w:pStyle w:val="Akapitzlist"/>
        <w:numPr>
          <w:ilvl w:val="0"/>
          <w:numId w:val="19"/>
        </w:numPr>
        <w:spacing w:line="276" w:lineRule="auto"/>
        <w:jc w:val="both"/>
      </w:pPr>
      <w:r w:rsidRPr="00C92DA5">
        <w:t>Kredytobiorca zobowiązuje się spłacić należne Bankowi odsetki, naliczone od wykorzystanego kredytu, w miesięcznych spłatach.</w:t>
      </w:r>
    </w:p>
    <w:p w:rsidR="00E6565F" w:rsidRPr="007969A4" w:rsidRDefault="00C92DA5" w:rsidP="00E6565F">
      <w:pPr>
        <w:pStyle w:val="Akapitzlist"/>
        <w:numPr>
          <w:ilvl w:val="0"/>
          <w:numId w:val="19"/>
        </w:numPr>
        <w:spacing w:line="276" w:lineRule="auto"/>
        <w:jc w:val="both"/>
      </w:pPr>
      <w:r w:rsidRPr="00C92DA5">
        <w:t>Kredytobiorca zobowiązuje się spłacać odsetki od kredytu do 20 dnia każdego miesiąca za miesiąc poprzedni.</w:t>
      </w:r>
    </w:p>
    <w:p w:rsidR="00E6565F" w:rsidRPr="007969A4" w:rsidRDefault="00C92DA5" w:rsidP="00E6565F">
      <w:pPr>
        <w:pStyle w:val="Akapitzlist"/>
        <w:numPr>
          <w:ilvl w:val="0"/>
          <w:numId w:val="19"/>
        </w:numPr>
        <w:spacing w:line="276" w:lineRule="auto"/>
        <w:jc w:val="both"/>
      </w:pPr>
      <w:r w:rsidRPr="00C92DA5">
        <w:t>Odsetki od udzielonego kredytu będą naliczane za okres i od kwot faktycznie wykorzystanego kredytu.</w:t>
      </w:r>
    </w:p>
    <w:p w:rsidR="00E6565F" w:rsidRPr="007969A4" w:rsidRDefault="00C92DA5" w:rsidP="00E6565F">
      <w:pPr>
        <w:pStyle w:val="Akapitzlist"/>
        <w:numPr>
          <w:ilvl w:val="0"/>
          <w:numId w:val="19"/>
        </w:numPr>
        <w:spacing w:line="276" w:lineRule="auto"/>
        <w:jc w:val="both"/>
      </w:pPr>
      <w:r w:rsidRPr="00C92DA5">
        <w:t>Spłata rat kredytu i odsetek następować będzie poprzez przekazywanie środków bezgotówkowo na rachunek banku, zwany Rachunkiem Obsługi Kredytu.</w:t>
      </w:r>
    </w:p>
    <w:p w:rsidR="00E6565F" w:rsidRPr="007969A4" w:rsidRDefault="00C92DA5" w:rsidP="00E6565F">
      <w:pPr>
        <w:pStyle w:val="Akapitzlist"/>
        <w:numPr>
          <w:ilvl w:val="0"/>
          <w:numId w:val="19"/>
        </w:numPr>
        <w:spacing w:line="276" w:lineRule="auto"/>
        <w:jc w:val="both"/>
      </w:pPr>
      <w:r w:rsidRPr="00C92DA5">
        <w:t xml:space="preserve"> O wysokości odsetek do zapłaty, Bank będzie informował każdorazowo Kredytobiorcę pisemnie (np. e-mail), na co najmniej 3 dni przed terminem ich zapłaty.</w:t>
      </w:r>
    </w:p>
    <w:p w:rsidR="00E6565F" w:rsidRPr="007969A4" w:rsidRDefault="00C92DA5" w:rsidP="00E6565F">
      <w:pPr>
        <w:pStyle w:val="Akapitzlist"/>
        <w:numPr>
          <w:ilvl w:val="0"/>
          <w:numId w:val="19"/>
        </w:numPr>
        <w:spacing w:line="276" w:lineRule="auto"/>
        <w:jc w:val="both"/>
      </w:pPr>
      <w:r w:rsidRPr="00C92DA5">
        <w:t>Za datę faktycznej spłaty kredytu i odsetek przyjmuje się datę wpływu środków na rachunek bankowy Banku, zwany rachunkiem obsługi kredytu.</w:t>
      </w:r>
    </w:p>
    <w:p w:rsidR="00E6565F" w:rsidRPr="007969A4" w:rsidRDefault="00E6565F" w:rsidP="00E6565F">
      <w:pPr>
        <w:spacing w:line="276" w:lineRule="auto"/>
        <w:jc w:val="center"/>
        <w:rPr>
          <w:b/>
          <w:bCs/>
        </w:rPr>
      </w:pPr>
    </w:p>
    <w:p w:rsidR="00E6565F" w:rsidRPr="007969A4" w:rsidRDefault="00C92DA5" w:rsidP="00E6565F">
      <w:pPr>
        <w:spacing w:line="276" w:lineRule="auto"/>
        <w:jc w:val="center"/>
        <w:rPr>
          <w:b/>
          <w:bCs/>
        </w:rPr>
      </w:pPr>
      <w:r>
        <w:rPr>
          <w:b/>
          <w:bCs/>
        </w:rPr>
        <w:t>§ 9</w:t>
      </w:r>
    </w:p>
    <w:p w:rsidR="00E6565F" w:rsidRPr="007969A4" w:rsidRDefault="00C92DA5" w:rsidP="00E6565F">
      <w:pPr>
        <w:pStyle w:val="Akapitzlist"/>
        <w:numPr>
          <w:ilvl w:val="0"/>
          <w:numId w:val="20"/>
        </w:numPr>
        <w:spacing w:line="276" w:lineRule="auto"/>
        <w:jc w:val="both"/>
      </w:pPr>
      <w:r>
        <w:t>Kredytobiorca zobowiązuje się do zapewnienia, z tytułu spłaty kapitału i odsetek należnych Bankowi na podstawie treści niniejszej umowy, na Rachunku Obsługi Kredytu o nr: ........................................ środków pieniężnych w kwocie umożliwiającej Bankowi całkowitą realizację należności. W dniu wpływu na konto w Banku kolejnej raty spłaty, na koniec dnia księgowego, Bank pobierze z Rachunku Obsługi Kredytu wyłącznie kwotę, która w całości pokryje kwotę spłaty, tj. kwotę odsetek lub wymagalnego kapitału kredytu należnych Bankowi na dany dzień spłaty.</w:t>
      </w:r>
    </w:p>
    <w:p w:rsidR="00E6565F" w:rsidRPr="007969A4" w:rsidRDefault="00C92DA5" w:rsidP="00E6565F">
      <w:pPr>
        <w:pStyle w:val="Akapitzlist"/>
        <w:numPr>
          <w:ilvl w:val="0"/>
          <w:numId w:val="20"/>
        </w:numPr>
        <w:spacing w:line="276" w:lineRule="auto"/>
        <w:jc w:val="both"/>
      </w:pPr>
      <w:r>
        <w:t>Jeżeli na Rachunku Obsługi Kredytu znajdują się środki na pokrycie częściowe wymagalnej spłaty, Bank zaliczy tę kwotę na poczet spłaty w dniu wpływu środków na konto w Banku.</w:t>
      </w:r>
    </w:p>
    <w:p w:rsidR="00E6565F" w:rsidRPr="007969A4" w:rsidRDefault="00C92DA5" w:rsidP="00E6565F">
      <w:pPr>
        <w:pStyle w:val="Akapitzlist"/>
        <w:numPr>
          <w:ilvl w:val="0"/>
          <w:numId w:val="20"/>
        </w:numPr>
        <w:spacing w:line="276" w:lineRule="auto"/>
        <w:jc w:val="both"/>
      </w:pPr>
      <w:r>
        <w:t>Spłata rat kredytu, zapłata odsetek określonych niniejszą umową będzie dokonywana w złotych polskich (PLN).</w:t>
      </w:r>
    </w:p>
    <w:p w:rsidR="00E6565F" w:rsidRPr="007969A4" w:rsidRDefault="00E6565F" w:rsidP="00E6565F">
      <w:pPr>
        <w:spacing w:line="276" w:lineRule="auto"/>
        <w:jc w:val="center"/>
        <w:rPr>
          <w:b/>
          <w:bCs/>
        </w:rPr>
      </w:pPr>
    </w:p>
    <w:p w:rsidR="00E6565F" w:rsidRPr="007969A4" w:rsidRDefault="00C92DA5" w:rsidP="00E6565F">
      <w:pPr>
        <w:spacing w:line="276" w:lineRule="auto"/>
        <w:jc w:val="center"/>
        <w:rPr>
          <w:b/>
          <w:bCs/>
        </w:rPr>
      </w:pPr>
      <w:r>
        <w:rPr>
          <w:b/>
          <w:bCs/>
        </w:rPr>
        <w:t>§ 10</w:t>
      </w:r>
    </w:p>
    <w:p w:rsidR="00E6565F" w:rsidRPr="007969A4" w:rsidRDefault="00C92DA5" w:rsidP="00E6565F">
      <w:pPr>
        <w:pStyle w:val="Akapitzlist"/>
        <w:numPr>
          <w:ilvl w:val="0"/>
          <w:numId w:val="21"/>
        </w:numPr>
        <w:spacing w:line="276" w:lineRule="auto"/>
        <w:ind w:left="284" w:hanging="284"/>
        <w:jc w:val="both"/>
      </w:pPr>
      <w:r w:rsidRPr="00C92DA5">
        <w:t xml:space="preserve">Kredytobiorca </w:t>
      </w:r>
      <w:r>
        <w:t xml:space="preserve">ma prawo dokonać wcześniejszej spłaty kredytu lub jego części bez ponoszenia jakichkolwiek obciążeń  z tego tytułu, w przypadku wcześniejszej spłaty części kredytu okres kredytowania pozostaje bez zmian chyba, że </w:t>
      </w:r>
      <w:r w:rsidRPr="00C92DA5">
        <w:t xml:space="preserve">Kredytobiorca </w:t>
      </w:r>
      <w:r>
        <w:t>złoży odmienną dyspozycję na piśmie.</w:t>
      </w:r>
    </w:p>
    <w:p w:rsidR="00E6565F" w:rsidRPr="007969A4" w:rsidRDefault="00C92DA5" w:rsidP="00E6565F">
      <w:pPr>
        <w:pStyle w:val="Akapitzlist"/>
        <w:numPr>
          <w:ilvl w:val="0"/>
          <w:numId w:val="21"/>
        </w:numPr>
        <w:spacing w:line="276" w:lineRule="auto"/>
        <w:ind w:left="284" w:hanging="284"/>
        <w:jc w:val="both"/>
      </w:pPr>
      <w:r>
        <w:t xml:space="preserve">W przypadku wcześniejszej spłaty kredytu przez Kredytobiorcę, Bank naliczy i pobierze odsetki za okres do dnia faktycznej spłaty. </w:t>
      </w:r>
    </w:p>
    <w:p w:rsidR="00E6565F" w:rsidRPr="007969A4" w:rsidRDefault="00C92DA5" w:rsidP="00E6565F">
      <w:pPr>
        <w:pStyle w:val="Akapitzlist"/>
        <w:numPr>
          <w:ilvl w:val="0"/>
          <w:numId w:val="21"/>
        </w:numPr>
        <w:spacing w:line="276" w:lineRule="auto"/>
        <w:ind w:left="284" w:hanging="284"/>
        <w:jc w:val="both"/>
      </w:pPr>
      <w:r>
        <w:t>Kredytobiorca nie poniesie żadnych dodatkowych kosztów (tj. prowizji lub dodatkowych opłat) od wcześniejszej spłaty kredytu.</w:t>
      </w:r>
    </w:p>
    <w:p w:rsidR="00E6565F" w:rsidRPr="007969A4" w:rsidRDefault="00C92DA5" w:rsidP="00E6565F">
      <w:pPr>
        <w:pStyle w:val="Akapitzlist"/>
        <w:numPr>
          <w:ilvl w:val="0"/>
          <w:numId w:val="21"/>
        </w:numPr>
        <w:spacing w:line="276" w:lineRule="auto"/>
        <w:ind w:left="284" w:hanging="284"/>
        <w:jc w:val="both"/>
      </w:pPr>
      <w:r>
        <w:t xml:space="preserve">W uzasadnionych przypadkach dopuszcza się możliwość wydłużenia terminu spłaty kredytu, zmiany kwot poszczególnych rat spłaty na wniosek Kredytobiorcy złożony w Banku w terminie co najmniej 14 dni przed terminem spłaty, bez obciążania Kredytobiorcy dodatkowymi kosztami, na okres nie dłuższy niż do ostatniego dnia następnego roku budżetowego kończącego okres spłaty kredytu, pod warunkiem, że wydłużenie terminu spłaty kredytu oraz zmiany kwot poszczególnych rat nie wywołują przekroczenia </w:t>
      </w:r>
      <w:r>
        <w:lastRenderedPageBreak/>
        <w:t>ustawowego poziomu wskaźnika obsługi zadłużenia kredytobiorcy, przy czym zmiana kwot poszczególnych rat spłat wymaga aneksu do umowy.</w:t>
      </w:r>
    </w:p>
    <w:p w:rsidR="00E6565F" w:rsidRPr="007969A4" w:rsidRDefault="00C92DA5" w:rsidP="00E6565F">
      <w:pPr>
        <w:pStyle w:val="Akapitzlist"/>
        <w:numPr>
          <w:ilvl w:val="0"/>
          <w:numId w:val="21"/>
        </w:numPr>
        <w:spacing w:line="276" w:lineRule="auto"/>
        <w:ind w:left="284" w:hanging="284"/>
        <w:jc w:val="both"/>
      </w:pPr>
      <w:r>
        <w:t>W przypadku prolongaty spłaty kredytu na zasadach określonych w ust. 4 powyżej Bank nie będzie pobierał dodatkowej prowizji.</w:t>
      </w:r>
    </w:p>
    <w:p w:rsidR="00E6565F" w:rsidRPr="007969A4" w:rsidRDefault="00C92DA5" w:rsidP="00E6565F">
      <w:pPr>
        <w:pStyle w:val="Akapitzlist"/>
        <w:numPr>
          <w:ilvl w:val="0"/>
          <w:numId w:val="21"/>
        </w:numPr>
        <w:spacing w:line="276" w:lineRule="auto"/>
        <w:ind w:left="284" w:hanging="284"/>
        <w:jc w:val="both"/>
      </w:pPr>
      <w:r>
        <w:t>Bank dokona zmiany harmonogramu spłat pod warunkiem posiadania przez Kredytobiorcę bieżącej i perspektywicznej zdolności kredytowej określonej na podstawie przeprowadzonej przez Bank analizy sytuacji ekonomiczno-finansowej Kredytobiorcy.</w:t>
      </w:r>
    </w:p>
    <w:p w:rsidR="00E6565F" w:rsidRPr="007969A4" w:rsidRDefault="00C92DA5" w:rsidP="00E6565F">
      <w:pPr>
        <w:pStyle w:val="Akapitzlist"/>
        <w:numPr>
          <w:ilvl w:val="0"/>
          <w:numId w:val="21"/>
        </w:numPr>
        <w:spacing w:line="276" w:lineRule="auto"/>
        <w:ind w:left="284" w:hanging="284"/>
        <w:jc w:val="both"/>
      </w:pPr>
      <w:r>
        <w:t>Kredytobiorca zastrzega sobie możliwość zmiany terminu spłaty kredytu w przypadku:</w:t>
      </w:r>
    </w:p>
    <w:p w:rsidR="00E6565F" w:rsidRPr="007969A4" w:rsidRDefault="00C92DA5" w:rsidP="00E6565F">
      <w:pPr>
        <w:pStyle w:val="Akapitzlist"/>
        <w:numPr>
          <w:ilvl w:val="0"/>
          <w:numId w:val="22"/>
        </w:numPr>
        <w:spacing w:line="276" w:lineRule="auto"/>
        <w:jc w:val="both"/>
      </w:pPr>
      <w:r>
        <w:t>zmiany powszechnie obowiązujących przepisów prawa mającej wpływ na realizację zamówienia;</w:t>
      </w:r>
    </w:p>
    <w:p w:rsidR="00E6565F" w:rsidRPr="007969A4" w:rsidRDefault="00C92DA5" w:rsidP="00E6565F">
      <w:pPr>
        <w:pStyle w:val="Akapitzlist"/>
        <w:numPr>
          <w:ilvl w:val="0"/>
          <w:numId w:val="22"/>
        </w:numPr>
        <w:spacing w:line="276" w:lineRule="auto"/>
        <w:jc w:val="both"/>
      </w:pPr>
      <w:r>
        <w:t>pogorszenia sytuacji ekonomiczno-finansowej Kredytobiorcy, w tym w przypadku zagrożenia niespełnienia przez Kredytobiorcę warunków określonych ustawą o finansach publicznych;</w:t>
      </w:r>
    </w:p>
    <w:p w:rsidR="00E6565F" w:rsidRPr="007969A4" w:rsidRDefault="00C92DA5" w:rsidP="00E6565F">
      <w:pPr>
        <w:pStyle w:val="Akapitzlist"/>
        <w:numPr>
          <w:ilvl w:val="0"/>
          <w:numId w:val="22"/>
        </w:numPr>
        <w:spacing w:line="276" w:lineRule="auto"/>
        <w:jc w:val="both"/>
      </w:pPr>
      <w:r>
        <w:t>drastycznym pogorszeniem sytuacji epidemiologicznej związanej z COVID-19 w porównaniu do sytuacji w momencie zawierania umowy.</w:t>
      </w:r>
    </w:p>
    <w:p w:rsidR="00E6565F" w:rsidRPr="007969A4" w:rsidRDefault="00E6565F" w:rsidP="00E6565F">
      <w:pPr>
        <w:pStyle w:val="Akapitzlist"/>
        <w:spacing w:line="276" w:lineRule="auto"/>
        <w:ind w:left="1004"/>
        <w:jc w:val="both"/>
      </w:pPr>
    </w:p>
    <w:p w:rsidR="00E6565F" w:rsidRPr="007969A4" w:rsidRDefault="00C92DA5" w:rsidP="00E6565F">
      <w:pPr>
        <w:spacing w:line="276" w:lineRule="auto"/>
        <w:jc w:val="center"/>
      </w:pPr>
      <w:r w:rsidRPr="00C92DA5">
        <w:t>ZABEZPIECZENIE SPŁATY KREDYTU</w:t>
      </w:r>
    </w:p>
    <w:p w:rsidR="00E6565F" w:rsidRPr="007969A4" w:rsidRDefault="00C92DA5" w:rsidP="00E6565F">
      <w:pPr>
        <w:spacing w:line="276" w:lineRule="auto"/>
        <w:jc w:val="center"/>
      </w:pPr>
      <w:r w:rsidRPr="00C92DA5">
        <w:t>§ 11</w:t>
      </w:r>
    </w:p>
    <w:p w:rsidR="00E6565F" w:rsidRPr="007969A4" w:rsidRDefault="00C92DA5" w:rsidP="00E6565F">
      <w:pPr>
        <w:pStyle w:val="Akapitzlist"/>
        <w:numPr>
          <w:ilvl w:val="0"/>
          <w:numId w:val="23"/>
        </w:numPr>
        <w:spacing w:line="276" w:lineRule="auto"/>
        <w:jc w:val="both"/>
      </w:pPr>
      <w:r w:rsidRPr="00C92DA5">
        <w:t>Zabezpieczenie kredytu wynikającego z niniejszej umowy stanowi weksel in blanco z deklaracją wekslową z kontrasygnata Skarbnika równych wielkości zadłużenia wynikającego z niniejszej umowy.</w:t>
      </w:r>
    </w:p>
    <w:p w:rsidR="00E6565F" w:rsidRPr="007969A4" w:rsidRDefault="00C92DA5" w:rsidP="00E6565F">
      <w:pPr>
        <w:pStyle w:val="Akapitzlist"/>
        <w:numPr>
          <w:ilvl w:val="0"/>
          <w:numId w:val="23"/>
        </w:numPr>
        <w:spacing w:line="276" w:lineRule="auto"/>
        <w:jc w:val="both"/>
      </w:pPr>
      <w:r w:rsidRPr="00C92DA5">
        <w:t>Wszelkie dokumenty związane z zabezpieczeniem spłaty kredytu stanowią integralną część umowy.</w:t>
      </w:r>
    </w:p>
    <w:p w:rsidR="00E6565F" w:rsidRPr="007969A4" w:rsidRDefault="00E6565F" w:rsidP="00BA6ADD">
      <w:pPr>
        <w:spacing w:line="276" w:lineRule="auto"/>
        <w:jc w:val="both"/>
      </w:pPr>
    </w:p>
    <w:p w:rsidR="00E6565F" w:rsidRPr="007969A4" w:rsidRDefault="00C92DA5" w:rsidP="00BA6ADD">
      <w:pPr>
        <w:spacing w:line="276" w:lineRule="auto"/>
        <w:jc w:val="center"/>
      </w:pPr>
      <w:r w:rsidRPr="00C92DA5">
        <w:t>KARY UMOWNE</w:t>
      </w:r>
    </w:p>
    <w:p w:rsidR="00E6565F" w:rsidRPr="007969A4" w:rsidRDefault="00C92DA5" w:rsidP="00BA6ADD">
      <w:pPr>
        <w:spacing w:line="276" w:lineRule="auto"/>
        <w:jc w:val="center"/>
      </w:pPr>
      <w:r w:rsidRPr="00C92DA5">
        <w:t>§ 12</w:t>
      </w:r>
    </w:p>
    <w:p w:rsidR="00E6565F" w:rsidRPr="007969A4" w:rsidRDefault="00C92DA5" w:rsidP="00BA6ADD">
      <w:pPr>
        <w:pStyle w:val="Akapitzlist"/>
        <w:numPr>
          <w:ilvl w:val="0"/>
          <w:numId w:val="24"/>
        </w:numPr>
        <w:spacing w:line="276" w:lineRule="auto"/>
        <w:jc w:val="both"/>
      </w:pPr>
      <w:r w:rsidRPr="00C92DA5">
        <w:t>Za nieterminowe przekazanie środków Bank zapłaci Kredytobiorcy odsetki umowne w wysokości 0,05% wartości transzy kredytu za każdy dzień opóźnienia.</w:t>
      </w:r>
    </w:p>
    <w:p w:rsidR="00E6565F" w:rsidRPr="007969A4" w:rsidRDefault="00C92DA5" w:rsidP="00BA6ADD">
      <w:pPr>
        <w:pStyle w:val="Akapitzlist"/>
        <w:numPr>
          <w:ilvl w:val="0"/>
          <w:numId w:val="24"/>
        </w:numPr>
        <w:spacing w:line="276" w:lineRule="auto"/>
        <w:jc w:val="both"/>
      </w:pPr>
      <w:r w:rsidRPr="00C92DA5">
        <w:t>Za nieterminowe spłaty rat kapitałowych lub odsetek Kredytobiorca zapłaci Bankowi kapitałowe odsetki ustawowe, liczone od kwoty niespłaconej w terminie raty kapitałowej lub kwoty odsetek.</w:t>
      </w:r>
    </w:p>
    <w:p w:rsidR="00E6565F" w:rsidRPr="007969A4" w:rsidRDefault="00C92DA5" w:rsidP="00BA6ADD">
      <w:pPr>
        <w:pStyle w:val="Akapitzlist"/>
        <w:numPr>
          <w:ilvl w:val="0"/>
          <w:numId w:val="24"/>
        </w:numPr>
        <w:spacing w:line="276" w:lineRule="auto"/>
        <w:jc w:val="both"/>
      </w:pPr>
      <w:r w:rsidRPr="00C92DA5">
        <w:t>Bank zapłaci Kredytobiorcy karę umowną w wysokości 3% wartości udzielonego kredytu za odstąpienie od umowy z przyczyn zależnych od Banku.</w:t>
      </w:r>
    </w:p>
    <w:p w:rsidR="00E6565F" w:rsidRPr="007969A4" w:rsidRDefault="00C92DA5" w:rsidP="00BA6ADD">
      <w:pPr>
        <w:pStyle w:val="Akapitzlist"/>
        <w:numPr>
          <w:ilvl w:val="0"/>
          <w:numId w:val="24"/>
        </w:numPr>
        <w:spacing w:line="276" w:lineRule="auto"/>
        <w:jc w:val="both"/>
      </w:pPr>
      <w:r w:rsidRPr="00C92DA5">
        <w:t xml:space="preserve">Kredytobiorca zapłaci </w:t>
      </w:r>
      <w:bookmarkStart w:id="0" w:name="_GoBack"/>
      <w:bookmarkEnd w:id="0"/>
      <w:r w:rsidRPr="00C92DA5">
        <w:t xml:space="preserve"> Bankowi karę umowną w wysokości 3% wartości udzielonego kredytu za odstąpienie od umowy z przyczyn zależnych od Kredytobiorcy.</w:t>
      </w:r>
    </w:p>
    <w:p w:rsidR="00E6565F" w:rsidRPr="007969A4" w:rsidRDefault="00C92DA5" w:rsidP="00BA6ADD">
      <w:pPr>
        <w:pStyle w:val="Akapitzlist"/>
        <w:numPr>
          <w:ilvl w:val="0"/>
          <w:numId w:val="24"/>
        </w:numPr>
        <w:spacing w:line="276" w:lineRule="auto"/>
        <w:jc w:val="both"/>
      </w:pPr>
      <w:r w:rsidRPr="00C92DA5">
        <w:t xml:space="preserve">Za niewypełnienie obowiązku zatrudnienia pracowników na umowę o pracę, </w:t>
      </w:r>
      <w:r w:rsidRPr="00C92DA5">
        <w:rPr>
          <w:rFonts w:eastAsia="Times New Roman"/>
        </w:rPr>
        <w:t xml:space="preserve">wykonujących czynności, </w:t>
      </w:r>
      <w:r w:rsidRPr="00C92DA5">
        <w:t>o których mowa w § 5 ust. 1 pkt 1-3  Bank zapłaci Kredytobiorcy  karę w wysokości 3.000 zł (słownie: trzy tysiące złotych) za każdy stwierdzony przypadek.</w:t>
      </w:r>
    </w:p>
    <w:p w:rsidR="00BA6ADD" w:rsidRPr="007969A4" w:rsidRDefault="00C92DA5" w:rsidP="00BA6ADD">
      <w:pPr>
        <w:pStyle w:val="Akapitzlist"/>
        <w:numPr>
          <w:ilvl w:val="0"/>
          <w:numId w:val="24"/>
        </w:numPr>
        <w:spacing w:line="276" w:lineRule="auto"/>
        <w:jc w:val="both"/>
      </w:pPr>
      <w:r w:rsidRPr="00C92DA5">
        <w:t xml:space="preserve">Za niedopełnienie wymogu, o którym mowa w § 5 ust 3 Bank zapłaci  Kredytobiorcy kary umowne w wysokości pięciokrotności kwoty minimalnego wynagrodzenia za pracę zgodnie z ustawą z dnia 10 października 2002 r. o minimalnym wynagrodzeniu (t. j. Dz. U. z 2020 r. poz. 2207) oraz zgodnie z rozporządzeniem Rady Ministrów w sprawie </w:t>
      </w:r>
      <w:r w:rsidRPr="00C92DA5">
        <w:lastRenderedPageBreak/>
        <w:t>wysokości minimalnego wynagrodzenia za pracę oraz wysokości minimalnej stawki godzinowej w 2021 r. z dnia 15 września 2020 r. (Dz.U. z 2020 r. poz. 1596).</w:t>
      </w:r>
    </w:p>
    <w:p w:rsidR="00BA6ADD" w:rsidRPr="007969A4" w:rsidRDefault="00C92DA5" w:rsidP="00BA6ADD">
      <w:pPr>
        <w:pStyle w:val="Akapitzlist"/>
        <w:numPr>
          <w:ilvl w:val="0"/>
          <w:numId w:val="24"/>
        </w:numPr>
        <w:spacing w:line="276" w:lineRule="auto"/>
        <w:jc w:val="both"/>
      </w:pPr>
      <w:r w:rsidRPr="00C92DA5">
        <w:t>Wysokość kar umownych nie może przekroczy 20% wynagrodzenia umownego brutto.</w:t>
      </w:r>
    </w:p>
    <w:p w:rsidR="00BA6ADD" w:rsidRPr="007969A4" w:rsidRDefault="00C92DA5" w:rsidP="00BA6ADD">
      <w:pPr>
        <w:pStyle w:val="Akapitzlist"/>
        <w:numPr>
          <w:ilvl w:val="0"/>
          <w:numId w:val="24"/>
        </w:numPr>
        <w:spacing w:line="276" w:lineRule="auto"/>
        <w:jc w:val="both"/>
      </w:pPr>
      <w:r w:rsidRPr="00C92DA5">
        <w:t>Strony zastrzegają możliwość dochodzenia odszkodowania uzupełniającego w przypadku, gdy szkoda przewyższy wysokość zastrzeżonej kary umownej.</w:t>
      </w:r>
    </w:p>
    <w:p w:rsidR="00BA6ADD" w:rsidRPr="007969A4" w:rsidRDefault="00BA6ADD" w:rsidP="00BA6ADD">
      <w:pPr>
        <w:spacing w:line="276" w:lineRule="auto"/>
        <w:jc w:val="both"/>
      </w:pPr>
    </w:p>
    <w:p w:rsidR="00BA6ADD" w:rsidRPr="007969A4" w:rsidRDefault="00C92DA5" w:rsidP="00BA6ADD">
      <w:pPr>
        <w:spacing w:line="276" w:lineRule="auto"/>
        <w:jc w:val="center"/>
      </w:pPr>
      <w:r w:rsidRPr="00C92DA5">
        <w:t>WARUNKI WYPOWIEDZENIA KREDYTU</w:t>
      </w:r>
    </w:p>
    <w:p w:rsidR="00BA6ADD" w:rsidRPr="007969A4" w:rsidRDefault="00C92DA5" w:rsidP="00BA6ADD">
      <w:pPr>
        <w:spacing w:line="276" w:lineRule="auto"/>
        <w:jc w:val="center"/>
      </w:pPr>
      <w:r w:rsidRPr="00C92DA5">
        <w:t>§ 13</w:t>
      </w:r>
    </w:p>
    <w:p w:rsidR="00BA6ADD" w:rsidRPr="007969A4" w:rsidRDefault="00C92DA5" w:rsidP="00BA6ADD">
      <w:pPr>
        <w:pStyle w:val="Akapitzlist"/>
        <w:numPr>
          <w:ilvl w:val="0"/>
          <w:numId w:val="25"/>
        </w:numPr>
        <w:spacing w:line="276" w:lineRule="auto"/>
        <w:ind w:left="284" w:hanging="284"/>
        <w:jc w:val="both"/>
      </w:pPr>
      <w:r w:rsidRPr="00C92DA5">
        <w:t>W przypadku niedotrzymania przez Kredytobiorcę warunków udzielenia kredytu albo w razie utraty przez Kredytobiorcę zdolności kredytowej Bank może obniżyć kwotę przyznanego kredytu albo wypowiedzieć umowę kredytu.</w:t>
      </w:r>
    </w:p>
    <w:p w:rsidR="00BA6ADD" w:rsidRPr="007969A4" w:rsidRDefault="00C92DA5" w:rsidP="00BA6ADD">
      <w:pPr>
        <w:pStyle w:val="Akapitzlist"/>
        <w:numPr>
          <w:ilvl w:val="0"/>
          <w:numId w:val="25"/>
        </w:numPr>
        <w:spacing w:line="276" w:lineRule="auto"/>
        <w:ind w:left="284" w:hanging="284"/>
        <w:jc w:val="both"/>
      </w:pPr>
      <w:r w:rsidRPr="00C92DA5">
        <w:t>Termin wypowiedzenia, o którym mowa w ust. 1 wynosi 30 dni.</w:t>
      </w:r>
    </w:p>
    <w:p w:rsidR="00BA6ADD" w:rsidRPr="007969A4" w:rsidRDefault="00C92DA5" w:rsidP="00BA6ADD">
      <w:pPr>
        <w:pStyle w:val="Akapitzlist"/>
        <w:numPr>
          <w:ilvl w:val="0"/>
          <w:numId w:val="25"/>
        </w:numPr>
        <w:spacing w:line="276" w:lineRule="auto"/>
        <w:ind w:left="284" w:hanging="284"/>
        <w:jc w:val="both"/>
      </w:pPr>
      <w:r w:rsidRPr="00C92DA5">
        <w:t>Wypowiedzenie umowy kredytu z powodu utraty przez Kredytobiorcę zdolności kredytowej lub zagrożenia jego upadłością nie może nastąpić, jeżeli Bank zgodził się na realizację przez Kredytobiorcę programu naprawczego.</w:t>
      </w:r>
    </w:p>
    <w:p w:rsidR="00BA6ADD" w:rsidRPr="007969A4" w:rsidRDefault="00C92DA5" w:rsidP="00BA6ADD">
      <w:pPr>
        <w:spacing w:line="276" w:lineRule="auto"/>
        <w:jc w:val="both"/>
      </w:pPr>
      <w:r w:rsidRPr="00C92DA5">
        <w:t>4. Przepis ust. 3 stosuje się przez cały okres realizacji programu naprawczego, chyba że Bank stwierdzi, iż program naprawczy nie jest w sposób należyty realizowany.</w:t>
      </w:r>
    </w:p>
    <w:p w:rsidR="00BA6ADD" w:rsidRPr="007969A4" w:rsidRDefault="00BA6ADD" w:rsidP="00BA6ADD">
      <w:pPr>
        <w:spacing w:line="276" w:lineRule="auto"/>
        <w:jc w:val="both"/>
      </w:pPr>
    </w:p>
    <w:p w:rsidR="00BA6ADD" w:rsidRPr="007969A4" w:rsidRDefault="00C92DA5" w:rsidP="00BA6ADD">
      <w:pPr>
        <w:spacing w:line="276" w:lineRule="auto"/>
        <w:jc w:val="center"/>
      </w:pPr>
      <w:r w:rsidRPr="00C92DA5">
        <w:t>§ 14</w:t>
      </w:r>
    </w:p>
    <w:p w:rsidR="00BA6ADD" w:rsidRPr="007969A4" w:rsidRDefault="00BA6ADD" w:rsidP="00BA6ADD">
      <w:pPr>
        <w:spacing w:line="276" w:lineRule="auto"/>
        <w:jc w:val="center"/>
      </w:pPr>
    </w:p>
    <w:p w:rsidR="00BA6ADD" w:rsidRPr="007969A4" w:rsidRDefault="00C92DA5" w:rsidP="00BA6ADD">
      <w:pPr>
        <w:autoSpaceDE w:val="0"/>
        <w:autoSpaceDN w:val="0"/>
        <w:adjustRightInd w:val="0"/>
        <w:spacing w:line="276" w:lineRule="auto"/>
        <w:jc w:val="both"/>
        <w:rPr>
          <w:rFonts w:eastAsiaTheme="minorHAnsi"/>
          <w:lang w:eastAsia="en-US"/>
        </w:rPr>
      </w:pPr>
      <w:r w:rsidRPr="00C92DA5">
        <w:rPr>
          <w:rFonts w:eastAsiaTheme="minorHAnsi"/>
          <w:lang w:eastAsia="en-US"/>
        </w:rPr>
        <w:t xml:space="preserve">Bank odstępuje od umowy i odmawia uruchomienia kredytu, jeżeli przed uruchomieniem kredytu ujawniono okoliczności nieznane Bankowi w dniu podpisania umowy, które stwarzają istotne zagrożenie dla spłaty kredytu. </w:t>
      </w:r>
    </w:p>
    <w:p w:rsidR="00BA6ADD" w:rsidRPr="007969A4" w:rsidRDefault="00BA6ADD" w:rsidP="00BA6ADD">
      <w:pPr>
        <w:autoSpaceDE w:val="0"/>
        <w:autoSpaceDN w:val="0"/>
        <w:adjustRightInd w:val="0"/>
        <w:spacing w:line="276" w:lineRule="auto"/>
        <w:jc w:val="both"/>
        <w:rPr>
          <w:rFonts w:eastAsiaTheme="minorHAnsi"/>
          <w:b/>
          <w:bCs/>
          <w:lang w:eastAsia="en-US"/>
        </w:rPr>
      </w:pPr>
    </w:p>
    <w:p w:rsidR="00BA6ADD" w:rsidRPr="007969A4" w:rsidRDefault="00C92DA5" w:rsidP="00BA6ADD">
      <w:pPr>
        <w:autoSpaceDE w:val="0"/>
        <w:autoSpaceDN w:val="0"/>
        <w:adjustRightInd w:val="0"/>
        <w:spacing w:line="276" w:lineRule="auto"/>
        <w:jc w:val="center"/>
        <w:rPr>
          <w:rFonts w:eastAsiaTheme="minorHAnsi"/>
          <w:lang w:eastAsia="en-US"/>
        </w:rPr>
      </w:pPr>
      <w:r w:rsidRPr="00C92DA5">
        <w:rPr>
          <w:rFonts w:eastAsiaTheme="minorHAnsi"/>
          <w:b/>
          <w:bCs/>
          <w:lang w:eastAsia="en-US"/>
        </w:rPr>
        <w:t>§ 15</w:t>
      </w:r>
    </w:p>
    <w:p w:rsidR="00877089" w:rsidRPr="007969A4" w:rsidRDefault="00C92DA5" w:rsidP="00BA6ADD">
      <w:pPr>
        <w:pStyle w:val="Akapitzlist"/>
        <w:numPr>
          <w:ilvl w:val="0"/>
          <w:numId w:val="32"/>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W przypadku obniżenia przez Bank kwoty przyznanego kredytu albo wypowiedzenia umowy kredytu Kredytobiorca nie może żądać od Banku postawienia do jego dyspozycji niewykorzystanej części kredytu. </w:t>
      </w:r>
    </w:p>
    <w:p w:rsidR="00BA6ADD" w:rsidRPr="007969A4" w:rsidRDefault="00C92DA5" w:rsidP="00BA6ADD">
      <w:pPr>
        <w:pStyle w:val="Akapitzlist"/>
        <w:numPr>
          <w:ilvl w:val="0"/>
          <w:numId w:val="32"/>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W okresie wypowiedzenia kredytu Bank nie udziela nowych kredytów Kredytobiorcy i nie zwiększa zadłużenia z tytułu już udzielonych kredytów w stosunku do salda zadłużenia występującego w dniu wypowiedzenia umowy. </w:t>
      </w:r>
    </w:p>
    <w:p w:rsidR="00BA6ADD" w:rsidRPr="007969A4" w:rsidRDefault="00BA6ADD" w:rsidP="00BA6ADD">
      <w:pPr>
        <w:autoSpaceDE w:val="0"/>
        <w:autoSpaceDN w:val="0"/>
        <w:adjustRightInd w:val="0"/>
        <w:spacing w:line="276" w:lineRule="auto"/>
        <w:jc w:val="both"/>
        <w:rPr>
          <w:rFonts w:eastAsiaTheme="minorHAnsi"/>
          <w:lang w:eastAsia="en-US"/>
        </w:rPr>
      </w:pPr>
    </w:p>
    <w:p w:rsidR="00BA6ADD" w:rsidRPr="007969A4" w:rsidRDefault="00C92DA5" w:rsidP="00BA6ADD">
      <w:pPr>
        <w:autoSpaceDE w:val="0"/>
        <w:autoSpaceDN w:val="0"/>
        <w:adjustRightInd w:val="0"/>
        <w:spacing w:line="276" w:lineRule="auto"/>
        <w:jc w:val="center"/>
        <w:rPr>
          <w:rFonts w:eastAsiaTheme="minorHAnsi"/>
          <w:lang w:eastAsia="en-US"/>
        </w:rPr>
      </w:pPr>
      <w:r w:rsidRPr="00C92DA5">
        <w:rPr>
          <w:rFonts w:eastAsiaTheme="minorHAnsi"/>
          <w:b/>
          <w:bCs/>
          <w:lang w:eastAsia="en-US"/>
        </w:rPr>
        <w:t>ZASPOKOJENIE ROSZCZEŃ BANKU</w:t>
      </w:r>
    </w:p>
    <w:p w:rsidR="00BA6ADD" w:rsidRPr="007969A4" w:rsidRDefault="00C92DA5" w:rsidP="00BA6ADD">
      <w:pPr>
        <w:autoSpaceDE w:val="0"/>
        <w:autoSpaceDN w:val="0"/>
        <w:adjustRightInd w:val="0"/>
        <w:spacing w:line="276" w:lineRule="auto"/>
        <w:jc w:val="center"/>
        <w:rPr>
          <w:rFonts w:eastAsiaTheme="minorHAnsi"/>
          <w:lang w:eastAsia="en-US"/>
        </w:rPr>
      </w:pPr>
      <w:r w:rsidRPr="00C92DA5">
        <w:rPr>
          <w:rFonts w:eastAsiaTheme="minorHAnsi"/>
          <w:b/>
          <w:bCs/>
          <w:lang w:eastAsia="en-US"/>
        </w:rPr>
        <w:t>§ 16</w:t>
      </w:r>
    </w:p>
    <w:p w:rsidR="00BA6ADD" w:rsidRPr="007969A4" w:rsidRDefault="00C92DA5" w:rsidP="00BA6ADD">
      <w:pPr>
        <w:spacing w:line="276" w:lineRule="auto"/>
        <w:jc w:val="both"/>
        <w:rPr>
          <w:rFonts w:eastAsiaTheme="minorHAnsi"/>
          <w:lang w:eastAsia="en-US"/>
        </w:rPr>
      </w:pPr>
      <w:r w:rsidRPr="00C92DA5">
        <w:rPr>
          <w:rFonts w:eastAsiaTheme="minorHAnsi"/>
          <w:lang w:eastAsia="en-US"/>
        </w:rPr>
        <w:t>Ostateczne rozliczenie Kredytobiorcy z tytułu kredytu, (odsetek i rat kapitałowych) nastąpi w terminie 30 dni od daty spłaty ostatniej raty należności wg ostatniego ustalonego i zaakceptowanego przez Strony harmonogramu tj. całkowitej spłaty kredytu.</w:t>
      </w:r>
    </w:p>
    <w:p w:rsidR="00BA6ADD" w:rsidRPr="007969A4" w:rsidRDefault="00BA6ADD" w:rsidP="00BA6ADD">
      <w:pPr>
        <w:spacing w:line="276" w:lineRule="auto"/>
        <w:jc w:val="both"/>
        <w:rPr>
          <w:rFonts w:eastAsiaTheme="minorHAnsi"/>
          <w:lang w:eastAsia="en-US"/>
        </w:rPr>
      </w:pPr>
    </w:p>
    <w:p w:rsidR="00BA6ADD" w:rsidRPr="007969A4" w:rsidRDefault="00BA6ADD" w:rsidP="00BA6ADD">
      <w:pPr>
        <w:spacing w:line="276" w:lineRule="auto"/>
        <w:jc w:val="both"/>
        <w:rPr>
          <w:rFonts w:eastAsiaTheme="minorHAnsi"/>
          <w:lang w:eastAsia="en-US"/>
        </w:rPr>
      </w:pPr>
    </w:p>
    <w:p w:rsidR="00BA6ADD" w:rsidRPr="007969A4" w:rsidRDefault="00C92DA5" w:rsidP="00877089">
      <w:pPr>
        <w:autoSpaceDE w:val="0"/>
        <w:autoSpaceDN w:val="0"/>
        <w:adjustRightInd w:val="0"/>
        <w:spacing w:line="276" w:lineRule="auto"/>
        <w:jc w:val="center"/>
        <w:rPr>
          <w:rFonts w:eastAsiaTheme="minorHAnsi"/>
          <w:lang w:eastAsia="en-US"/>
        </w:rPr>
      </w:pPr>
      <w:r w:rsidRPr="00C92DA5">
        <w:rPr>
          <w:rFonts w:eastAsiaTheme="minorHAnsi"/>
          <w:b/>
          <w:bCs/>
          <w:lang w:eastAsia="en-US"/>
        </w:rPr>
        <w:t>ZOBOWIĄZANIA I OŚWIADCZENIA KREDYTOBIORCY</w:t>
      </w:r>
    </w:p>
    <w:p w:rsidR="00BA6ADD" w:rsidRPr="007969A4" w:rsidRDefault="00C92DA5" w:rsidP="00877089">
      <w:pPr>
        <w:autoSpaceDE w:val="0"/>
        <w:autoSpaceDN w:val="0"/>
        <w:adjustRightInd w:val="0"/>
        <w:spacing w:line="276" w:lineRule="auto"/>
        <w:jc w:val="center"/>
        <w:rPr>
          <w:rFonts w:eastAsiaTheme="minorHAnsi"/>
          <w:lang w:eastAsia="en-US"/>
        </w:rPr>
      </w:pPr>
      <w:r w:rsidRPr="00C92DA5">
        <w:rPr>
          <w:rFonts w:eastAsiaTheme="minorHAnsi"/>
          <w:b/>
          <w:bCs/>
          <w:lang w:eastAsia="en-US"/>
        </w:rPr>
        <w:t>§ 17</w:t>
      </w:r>
    </w:p>
    <w:p w:rsidR="00BA6ADD" w:rsidRPr="007969A4" w:rsidRDefault="00C92DA5" w:rsidP="00BA6ADD">
      <w:pPr>
        <w:autoSpaceDE w:val="0"/>
        <w:autoSpaceDN w:val="0"/>
        <w:adjustRightInd w:val="0"/>
        <w:spacing w:line="276" w:lineRule="auto"/>
        <w:jc w:val="both"/>
        <w:rPr>
          <w:rFonts w:eastAsiaTheme="minorHAnsi"/>
          <w:lang w:eastAsia="en-US"/>
        </w:rPr>
      </w:pPr>
      <w:r w:rsidRPr="00C92DA5">
        <w:rPr>
          <w:rFonts w:eastAsiaTheme="minorHAnsi"/>
          <w:lang w:eastAsia="en-US"/>
        </w:rPr>
        <w:t xml:space="preserve">W okresie korzystania z kredytu Kredytobiorca zobowiązuje się do: </w:t>
      </w:r>
    </w:p>
    <w:p w:rsidR="00BA6ADD" w:rsidRPr="007969A4" w:rsidRDefault="00C92DA5" w:rsidP="00BA6ADD">
      <w:pPr>
        <w:pStyle w:val="Akapitzlist"/>
        <w:numPr>
          <w:ilvl w:val="0"/>
          <w:numId w:val="26"/>
        </w:numPr>
        <w:autoSpaceDE w:val="0"/>
        <w:autoSpaceDN w:val="0"/>
        <w:adjustRightInd w:val="0"/>
        <w:spacing w:line="276" w:lineRule="auto"/>
        <w:jc w:val="both"/>
        <w:rPr>
          <w:rFonts w:eastAsiaTheme="minorHAnsi"/>
          <w:lang w:eastAsia="en-US"/>
        </w:rPr>
      </w:pPr>
      <w:r w:rsidRPr="00C92DA5">
        <w:rPr>
          <w:rFonts w:eastAsiaTheme="minorHAnsi"/>
          <w:lang w:eastAsia="en-US"/>
        </w:rPr>
        <w:lastRenderedPageBreak/>
        <w:t xml:space="preserve">udostępniania na stronie internetowej „bip.powiat-chelmno.pl”, ścieżka dostępu „Powiat Chełmiński” w zakładce po lewej stronie „majątek i finanse powiatu”, (link do budżetu i sprawozdań </w:t>
      </w:r>
      <w:hyperlink r:id="rId7" w:history="1">
        <w:r w:rsidRPr="00C92DA5">
          <w:rPr>
            <w:rStyle w:val="Hipercze"/>
            <w:rFonts w:eastAsiaTheme="minorHAnsi"/>
            <w:color w:val="auto"/>
            <w:lang w:eastAsia="en-US"/>
          </w:rPr>
          <w:t>https://bip.powiat-chelmno.pl/?cid=209</w:t>
        </w:r>
      </w:hyperlink>
      <w:r w:rsidRPr="00C92DA5">
        <w:rPr>
          <w:rFonts w:eastAsiaTheme="minorHAnsi"/>
          <w:lang w:eastAsia="en-US"/>
        </w:rPr>
        <w:t xml:space="preserve">). </w:t>
      </w:r>
    </w:p>
    <w:p w:rsidR="00BA6ADD" w:rsidRPr="007969A4" w:rsidRDefault="00C92DA5" w:rsidP="00BA6ADD">
      <w:pPr>
        <w:pStyle w:val="Akapitzlist"/>
        <w:numPr>
          <w:ilvl w:val="0"/>
          <w:numId w:val="26"/>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wykorzystania kredytu wyłącznie na cele określone w odnośnych dokumentach postępowania, złożonej ofercie i niniejszej umowie; </w:t>
      </w:r>
    </w:p>
    <w:p w:rsidR="00BA6ADD" w:rsidRPr="007969A4" w:rsidRDefault="00C92DA5" w:rsidP="00BA6ADD">
      <w:pPr>
        <w:pStyle w:val="Akapitzlist"/>
        <w:numPr>
          <w:ilvl w:val="0"/>
          <w:numId w:val="26"/>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informowania Banku o wszystkich istotnych zmianach w przedmiotowej działalności Kredytobiorcy; </w:t>
      </w:r>
    </w:p>
    <w:p w:rsidR="00BA6ADD" w:rsidRPr="007969A4" w:rsidRDefault="00BA6ADD" w:rsidP="00BA6ADD">
      <w:pPr>
        <w:autoSpaceDE w:val="0"/>
        <w:autoSpaceDN w:val="0"/>
        <w:adjustRightInd w:val="0"/>
        <w:spacing w:line="276" w:lineRule="auto"/>
        <w:jc w:val="both"/>
        <w:rPr>
          <w:rFonts w:eastAsiaTheme="minorHAnsi"/>
          <w:lang w:eastAsia="en-US"/>
        </w:rPr>
      </w:pPr>
    </w:p>
    <w:p w:rsidR="00BA6ADD" w:rsidRPr="007969A4" w:rsidRDefault="00C92DA5" w:rsidP="00BA6ADD">
      <w:pPr>
        <w:spacing w:line="276" w:lineRule="auto"/>
        <w:jc w:val="center"/>
        <w:rPr>
          <w:rFonts w:eastAsiaTheme="minorHAnsi"/>
          <w:b/>
          <w:bCs/>
          <w:lang w:eastAsia="en-US"/>
        </w:rPr>
      </w:pPr>
      <w:r w:rsidRPr="00C92DA5">
        <w:rPr>
          <w:rFonts w:eastAsiaTheme="minorHAnsi"/>
          <w:b/>
          <w:bCs/>
          <w:lang w:eastAsia="en-US"/>
        </w:rPr>
        <w:t>§ 18</w:t>
      </w:r>
    </w:p>
    <w:p w:rsidR="00BA6ADD" w:rsidRPr="007969A4" w:rsidRDefault="00C92DA5" w:rsidP="00BA6ADD">
      <w:pPr>
        <w:autoSpaceDE w:val="0"/>
        <w:autoSpaceDN w:val="0"/>
        <w:adjustRightInd w:val="0"/>
        <w:spacing w:line="276" w:lineRule="auto"/>
        <w:jc w:val="both"/>
        <w:rPr>
          <w:rFonts w:eastAsiaTheme="minorHAnsi"/>
          <w:lang w:eastAsia="en-US"/>
        </w:rPr>
      </w:pPr>
      <w:r w:rsidRPr="00C92DA5">
        <w:rPr>
          <w:rFonts w:eastAsiaTheme="minorHAnsi"/>
          <w:lang w:eastAsia="en-US"/>
        </w:rPr>
        <w:t xml:space="preserve">Kredytobiorca oświadcza, że: </w:t>
      </w:r>
    </w:p>
    <w:p w:rsidR="00BA6ADD" w:rsidRPr="007969A4" w:rsidRDefault="00C92DA5" w:rsidP="00BA6ADD">
      <w:pPr>
        <w:pStyle w:val="Akapitzlist"/>
        <w:numPr>
          <w:ilvl w:val="0"/>
          <w:numId w:val="27"/>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umowa jest w pełni zgodna ze wszystkimi aktami prawnymi Kredytobiorcy, a w szczególności z dokumentami ustanawiającymi jego powstanie, utworzenie i powołanie organów oraz zakresu działalności i nie pozostaje w sprzeczności z posiadanymi zezwoleniami, koncesjami, rejestracjami i innymi postanowieniami przewidzianymi prawem oraz zawartymi umowami lub innymi zobowiązaniami Kredytobiorcy; </w:t>
      </w:r>
    </w:p>
    <w:p w:rsidR="00BA6ADD" w:rsidRPr="007969A4" w:rsidRDefault="00C92DA5" w:rsidP="00BA6ADD">
      <w:pPr>
        <w:pStyle w:val="Akapitzlist"/>
        <w:numPr>
          <w:ilvl w:val="0"/>
          <w:numId w:val="27"/>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wszystkie sprawozdania przekazane do Banku w sposób rzetelny odzwierciedlają Jego rzeczywistą sytuację finansową; </w:t>
      </w:r>
    </w:p>
    <w:p w:rsidR="00BA6ADD" w:rsidRPr="007969A4" w:rsidRDefault="00BA6ADD" w:rsidP="00BA6ADD">
      <w:pPr>
        <w:autoSpaceDE w:val="0"/>
        <w:autoSpaceDN w:val="0"/>
        <w:adjustRightInd w:val="0"/>
        <w:spacing w:line="276" w:lineRule="auto"/>
        <w:jc w:val="both"/>
        <w:rPr>
          <w:rFonts w:eastAsiaTheme="minorHAnsi"/>
          <w:lang w:eastAsia="en-US"/>
        </w:rPr>
      </w:pPr>
    </w:p>
    <w:p w:rsidR="00BA6ADD" w:rsidRPr="007969A4" w:rsidRDefault="00C92DA5" w:rsidP="00BA6ADD">
      <w:pPr>
        <w:autoSpaceDE w:val="0"/>
        <w:autoSpaceDN w:val="0"/>
        <w:adjustRightInd w:val="0"/>
        <w:spacing w:line="276" w:lineRule="auto"/>
        <w:jc w:val="center"/>
        <w:rPr>
          <w:rFonts w:eastAsiaTheme="minorHAnsi"/>
          <w:lang w:eastAsia="en-US"/>
        </w:rPr>
      </w:pPr>
      <w:r w:rsidRPr="00C92DA5">
        <w:rPr>
          <w:rFonts w:eastAsiaTheme="minorHAnsi"/>
          <w:b/>
          <w:bCs/>
          <w:lang w:eastAsia="en-US"/>
        </w:rPr>
        <w:t>KLAUZULA SALWATORYJNA</w:t>
      </w:r>
    </w:p>
    <w:p w:rsidR="00BA6ADD" w:rsidRPr="007969A4" w:rsidRDefault="00C92DA5" w:rsidP="00BA6ADD">
      <w:pPr>
        <w:autoSpaceDE w:val="0"/>
        <w:autoSpaceDN w:val="0"/>
        <w:adjustRightInd w:val="0"/>
        <w:spacing w:line="276" w:lineRule="auto"/>
        <w:jc w:val="center"/>
        <w:rPr>
          <w:rFonts w:eastAsiaTheme="minorHAnsi"/>
          <w:lang w:eastAsia="en-US"/>
        </w:rPr>
      </w:pPr>
      <w:r w:rsidRPr="00C92DA5">
        <w:rPr>
          <w:rFonts w:eastAsiaTheme="minorHAnsi"/>
          <w:b/>
          <w:bCs/>
          <w:lang w:eastAsia="en-US"/>
        </w:rPr>
        <w:t>§ 19</w:t>
      </w:r>
    </w:p>
    <w:p w:rsidR="00BA6ADD" w:rsidRPr="007969A4" w:rsidRDefault="00C92DA5" w:rsidP="00BA6ADD">
      <w:pPr>
        <w:spacing w:line="276" w:lineRule="auto"/>
        <w:jc w:val="both"/>
        <w:rPr>
          <w:rFonts w:eastAsiaTheme="minorHAnsi"/>
          <w:lang w:eastAsia="en-US"/>
        </w:rPr>
      </w:pPr>
      <w:r w:rsidRPr="00C92DA5">
        <w:rPr>
          <w:rFonts w:eastAsiaTheme="minorHAnsi"/>
          <w:lang w:eastAsia="en-US"/>
        </w:rPr>
        <w:t>Jeżeli postanowienia niniejszej umowy są lub staną się nieważne, lub umowa zawierać będzie lukę, nie narusza to ważności pozostałych postanowień umowy. Zamiast nieważnych postanowień lub jako wypełnienie luki obowiązywać będzie odpowiednia regulacja, która, jeżeli tylko będzie to prawnie dopuszczalne, w sposób możliwie bliski odpowiadać będzie temu, co strony ustaliły, lub temu, co by ustaliły, gdyby zawarły takie postanowienie</w:t>
      </w:r>
    </w:p>
    <w:p w:rsidR="00BA6ADD" w:rsidRPr="007969A4" w:rsidRDefault="00BA6ADD" w:rsidP="00BA6ADD">
      <w:pPr>
        <w:spacing w:line="276" w:lineRule="auto"/>
        <w:jc w:val="both"/>
        <w:rPr>
          <w:rFonts w:eastAsiaTheme="minorHAnsi"/>
          <w:lang w:eastAsia="en-US"/>
        </w:rPr>
      </w:pPr>
    </w:p>
    <w:p w:rsidR="00BA6ADD" w:rsidRPr="007969A4" w:rsidRDefault="00C92DA5" w:rsidP="00BA6ADD">
      <w:pPr>
        <w:autoSpaceDE w:val="0"/>
        <w:autoSpaceDN w:val="0"/>
        <w:adjustRightInd w:val="0"/>
        <w:spacing w:line="276" w:lineRule="auto"/>
        <w:jc w:val="center"/>
        <w:rPr>
          <w:rFonts w:eastAsiaTheme="minorHAnsi"/>
          <w:lang w:eastAsia="en-US"/>
        </w:rPr>
      </w:pPr>
      <w:r w:rsidRPr="00C92DA5">
        <w:rPr>
          <w:rFonts w:eastAsiaTheme="minorHAnsi"/>
          <w:b/>
          <w:bCs/>
          <w:lang w:eastAsia="en-US"/>
        </w:rPr>
        <w:t>POSTANOWIENIA KOŃCOWE</w:t>
      </w:r>
    </w:p>
    <w:p w:rsidR="00BA6ADD" w:rsidRPr="007969A4" w:rsidRDefault="00C92DA5" w:rsidP="00BA6ADD">
      <w:pPr>
        <w:autoSpaceDE w:val="0"/>
        <w:autoSpaceDN w:val="0"/>
        <w:adjustRightInd w:val="0"/>
        <w:spacing w:line="276" w:lineRule="auto"/>
        <w:jc w:val="center"/>
        <w:rPr>
          <w:rFonts w:eastAsiaTheme="minorHAnsi"/>
          <w:lang w:eastAsia="en-US"/>
        </w:rPr>
      </w:pPr>
      <w:r w:rsidRPr="00C92DA5">
        <w:rPr>
          <w:rFonts w:eastAsiaTheme="minorHAnsi"/>
          <w:b/>
          <w:bCs/>
          <w:lang w:eastAsia="en-US"/>
        </w:rPr>
        <w:t>§ 20</w:t>
      </w:r>
    </w:p>
    <w:p w:rsidR="00BA6ADD" w:rsidRPr="007969A4" w:rsidRDefault="00C92DA5" w:rsidP="00877089">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Zmiana postanowień zawartej umowy oraz wprowadzenie nowych postanowień do umowy możliwe jest wyłącznie w okolicznościach, o których jest mowa w umowie i które nie są istotne w rozumieniu art. 455 ustawy z dnia 11 września 2019 r. Prawo zamówień publicznych (Dz. U. 2019 poz. 2019 z </w:t>
      </w:r>
      <w:proofErr w:type="spellStart"/>
      <w:r w:rsidRPr="00C92DA5">
        <w:rPr>
          <w:rFonts w:eastAsiaTheme="minorHAnsi"/>
          <w:lang w:eastAsia="en-US"/>
        </w:rPr>
        <w:t>późn</w:t>
      </w:r>
      <w:proofErr w:type="spellEnd"/>
      <w:r w:rsidRPr="00C92DA5">
        <w:rPr>
          <w:rFonts w:eastAsiaTheme="minorHAnsi"/>
          <w:lang w:eastAsia="en-US"/>
        </w:rPr>
        <w:t xml:space="preserve"> zm.). </w:t>
      </w:r>
    </w:p>
    <w:p w:rsidR="00BA6ADD" w:rsidRPr="007969A4" w:rsidRDefault="00C92DA5" w:rsidP="00877089">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Zmiana warunków i rozwiązanie niniejszej umowy, poza zmianą oprocentowania kredytu i zadłużenia przeterminowanego, wymaga pisemnego aneksu. </w:t>
      </w:r>
    </w:p>
    <w:p w:rsidR="00BA6ADD" w:rsidRPr="007969A4" w:rsidRDefault="00C92DA5" w:rsidP="00877089">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Strony umowy w sprawie przedmiotowego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w art. 15r. ustawy z dnia 2 marca 2020 r. o szczególnych rozwiązaniach związanych z zapobieganiem, przeciwdziałaniem i zwalczaniem COVID-19, innych chorób zakaźnych oraz wywołanych nimi sytuacji kryzysowych</w:t>
      </w:r>
      <w:r w:rsidRPr="00C92DA5">
        <w:rPr>
          <w:rFonts w:eastAsiaTheme="minorHAnsi"/>
          <w:b/>
          <w:bCs/>
          <w:lang w:eastAsia="en-US"/>
        </w:rPr>
        <w:t xml:space="preserve"> </w:t>
      </w:r>
      <w:r w:rsidRPr="00C92DA5">
        <w:rPr>
          <w:rFonts w:eastAsiaTheme="minorHAnsi"/>
          <w:lang w:eastAsia="en-US"/>
        </w:rPr>
        <w:t xml:space="preserve">(t. .j. Dz. U. z 2020 r. poz. 1842 z </w:t>
      </w:r>
      <w:proofErr w:type="spellStart"/>
      <w:r w:rsidRPr="00C92DA5">
        <w:rPr>
          <w:rFonts w:eastAsiaTheme="minorHAnsi"/>
          <w:lang w:eastAsia="en-US"/>
        </w:rPr>
        <w:t>późn</w:t>
      </w:r>
      <w:proofErr w:type="spellEnd"/>
      <w:r w:rsidRPr="00C92DA5">
        <w:rPr>
          <w:rFonts w:eastAsiaTheme="minorHAnsi"/>
          <w:lang w:eastAsia="en-US"/>
        </w:rPr>
        <w:t xml:space="preserve">. zm.) wprowadzonego ustawą o zmianie ustawy o szczególnych rozwiązaniach związanych z zapobieganiem, przeciwdziałaniem i zwalczaniem COVID-19, innych chorób zakaźnych oraz wywołanych nimi sytuacji kryzysowych oraz niektórych innych ustaw z dnia 31 </w:t>
      </w:r>
      <w:r w:rsidRPr="00C92DA5">
        <w:rPr>
          <w:rFonts w:eastAsiaTheme="minorHAnsi"/>
          <w:lang w:eastAsia="en-US"/>
        </w:rPr>
        <w:lastRenderedPageBreak/>
        <w:t>marca 2020 r.</w:t>
      </w:r>
      <w:r w:rsidRPr="00C92DA5">
        <w:rPr>
          <w:rFonts w:eastAsiaTheme="minorHAnsi"/>
          <w:b/>
          <w:bCs/>
          <w:lang w:eastAsia="en-US"/>
        </w:rPr>
        <w:t xml:space="preserve"> </w:t>
      </w:r>
      <w:r w:rsidRPr="00C92DA5">
        <w:rPr>
          <w:rFonts w:eastAsiaTheme="minorHAnsi"/>
          <w:lang w:eastAsia="en-US"/>
        </w:rPr>
        <w:t xml:space="preserve">(Dz.U. z 2020 r. poz. 568 z </w:t>
      </w:r>
      <w:proofErr w:type="spellStart"/>
      <w:r w:rsidRPr="00C92DA5">
        <w:rPr>
          <w:rFonts w:eastAsiaTheme="minorHAnsi"/>
          <w:lang w:eastAsia="en-US"/>
        </w:rPr>
        <w:t>późn</w:t>
      </w:r>
      <w:proofErr w:type="spellEnd"/>
      <w:r w:rsidRPr="00C92DA5">
        <w:rPr>
          <w:rFonts w:eastAsiaTheme="minorHAnsi"/>
          <w:lang w:eastAsia="en-US"/>
        </w:rPr>
        <w:t xml:space="preserve">. zm.) stosowne oświadczenia lub dokumenty wymienione w przywołanym przepisie. </w:t>
      </w:r>
    </w:p>
    <w:p w:rsidR="00BA6ADD" w:rsidRPr="007969A4" w:rsidRDefault="00C92DA5" w:rsidP="00BA6ADD">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Integralną część niniejszej umowy stanowią dokumentacja przetargowa, a także oferta </w:t>
      </w:r>
      <w:r w:rsidRPr="00C92DA5">
        <w:rPr>
          <w:rFonts w:eastAsiaTheme="minorHAnsi"/>
          <w:strike/>
          <w:lang w:eastAsia="en-US"/>
        </w:rPr>
        <w:t>Wykonawcy</w:t>
      </w:r>
      <w:r w:rsidRPr="00C92DA5">
        <w:rPr>
          <w:rFonts w:eastAsiaTheme="minorHAnsi"/>
          <w:lang w:eastAsia="en-US"/>
        </w:rPr>
        <w:t xml:space="preserve"> Banku i harmonogram spłat. </w:t>
      </w:r>
    </w:p>
    <w:p w:rsidR="00BA6ADD" w:rsidRPr="007969A4" w:rsidRDefault="00C92DA5" w:rsidP="00BA6ADD">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Umowa niniejsza podlega prawu polskiemu. </w:t>
      </w:r>
    </w:p>
    <w:p w:rsidR="00BA6ADD" w:rsidRPr="007969A4" w:rsidRDefault="00C92DA5" w:rsidP="00BA6ADD">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 Spory wynikłe z niniejszej umowy strony poddają pod rozstrzygnięcie sądu właściwego miejscowo dla Kredytobiorcy. </w:t>
      </w:r>
    </w:p>
    <w:p w:rsidR="00BA6ADD" w:rsidRPr="007969A4" w:rsidRDefault="00C92DA5" w:rsidP="00BA6ADD">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Ewentualne spory wynikłe w związku z realizacją przedmiotu umowy strony zobowiązują się rozwiązywać w drodze wspólnych negocjacji, a w przypadku niemożności ustalenia kompromisu w oparciu o </w:t>
      </w:r>
      <w:r w:rsidRPr="00C92DA5">
        <w:rPr>
          <w:rFonts w:eastAsiaTheme="minorHAnsi"/>
          <w:b/>
          <w:bCs/>
          <w:lang w:eastAsia="en-US"/>
        </w:rPr>
        <w:t xml:space="preserve">art. 591 </w:t>
      </w:r>
      <w:proofErr w:type="spellStart"/>
      <w:r w:rsidRPr="00C92DA5">
        <w:rPr>
          <w:rFonts w:eastAsiaTheme="minorHAnsi"/>
          <w:b/>
          <w:bCs/>
          <w:lang w:eastAsia="en-US"/>
        </w:rPr>
        <w:t>Pzp</w:t>
      </w:r>
      <w:proofErr w:type="spellEnd"/>
      <w:r w:rsidRPr="00C92DA5">
        <w:rPr>
          <w:rFonts w:eastAsiaTheme="minorHAnsi"/>
          <w:lang w:eastAsia="en-US"/>
        </w:rPr>
        <w:t xml:space="preserve">, każda ze stron, może złożyć wniosek o </w:t>
      </w:r>
      <w:r w:rsidRPr="00C92DA5">
        <w:rPr>
          <w:rFonts w:eastAsiaTheme="minorHAnsi"/>
          <w:b/>
          <w:bCs/>
          <w:lang w:eastAsia="en-US"/>
        </w:rPr>
        <w:t xml:space="preserve">przeprowadzenie mediacji </w:t>
      </w:r>
      <w:r w:rsidRPr="00C92DA5">
        <w:rPr>
          <w:rFonts w:eastAsiaTheme="minorHAnsi"/>
          <w:lang w:eastAsia="en-US"/>
        </w:rPr>
        <w:t xml:space="preserve">lub inne polubowne rozwiązanie sporu do Sądu Polubownego przy Prokuratorii Generalnej Rzeczypospolitej Polskiej, wybranego mediatora albo osoby prowadzącej inne polubowne rozwiązanie sporu. </w:t>
      </w:r>
    </w:p>
    <w:p w:rsidR="00BA6ADD" w:rsidRPr="007969A4" w:rsidRDefault="00C92DA5" w:rsidP="00BA6ADD">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Sąd Polubowny przy Prokuratorii Generalnej Rzeczypospolitej Polskiej prowadzi mediację lub inne polubowne rozwiązanie sporu na podstawie przepisów ustawy z dnia 15 grudnia 2016 r. o Prokuratorii Generalnej Rzeczypospolitej Polskiej (Dz.U. z 2020 r. poz. 762 z </w:t>
      </w:r>
      <w:proofErr w:type="spellStart"/>
      <w:r w:rsidRPr="00C92DA5">
        <w:rPr>
          <w:rFonts w:eastAsiaTheme="minorHAnsi"/>
          <w:lang w:eastAsia="en-US"/>
        </w:rPr>
        <w:t>późn</w:t>
      </w:r>
      <w:proofErr w:type="spellEnd"/>
      <w:r w:rsidRPr="00C92DA5">
        <w:rPr>
          <w:rFonts w:eastAsiaTheme="minorHAnsi"/>
          <w:lang w:eastAsia="en-US"/>
        </w:rPr>
        <w:t xml:space="preserve">. zm.). </w:t>
      </w:r>
    </w:p>
    <w:p w:rsidR="00BA6ADD" w:rsidRPr="007969A4" w:rsidRDefault="00C92DA5" w:rsidP="00BA6ADD">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W sprawach nieuregulowanych w Dziale X ustawy </w:t>
      </w:r>
      <w:proofErr w:type="spellStart"/>
      <w:r w:rsidRPr="00C92DA5">
        <w:rPr>
          <w:rFonts w:eastAsiaTheme="minorHAnsi"/>
          <w:lang w:eastAsia="en-US"/>
        </w:rPr>
        <w:t>Pzp</w:t>
      </w:r>
      <w:proofErr w:type="spellEnd"/>
      <w:r w:rsidRPr="00C92DA5">
        <w:rPr>
          <w:rFonts w:eastAsiaTheme="minorHAnsi"/>
          <w:lang w:eastAsia="en-US"/>
        </w:rPr>
        <w:t xml:space="preserve"> - Pozasądowe rozwiązywanie sporów – art. 591-595 w ustawie </w:t>
      </w:r>
      <w:proofErr w:type="spellStart"/>
      <w:r w:rsidRPr="00C92DA5">
        <w:rPr>
          <w:rFonts w:eastAsiaTheme="minorHAnsi"/>
          <w:lang w:eastAsia="en-US"/>
        </w:rPr>
        <w:t>Pzp</w:t>
      </w:r>
      <w:proofErr w:type="spellEnd"/>
      <w:r w:rsidRPr="00C92DA5">
        <w:rPr>
          <w:rFonts w:eastAsiaTheme="minorHAnsi"/>
          <w:b/>
          <w:bCs/>
          <w:lang w:eastAsia="en-US"/>
        </w:rPr>
        <w:t xml:space="preserve">, </w:t>
      </w:r>
      <w:r w:rsidRPr="00C92DA5">
        <w:rPr>
          <w:rFonts w:eastAsiaTheme="minorHAnsi"/>
          <w:lang w:eastAsia="en-US"/>
        </w:rPr>
        <w:t xml:space="preserve">do mediacji lub innego polubownego rozwiązania sporu stosuje się odpowiednio przepisy części pierwszej księgi pierwszej tytułu VI działu II rozdziału 1 oddziału 1 ustawy z dnia 17 listopada 1964r. – Kodeks postępowania cywilnego (t. j. Dz. U. z 2020 r. poz. 1575 z </w:t>
      </w:r>
      <w:proofErr w:type="spellStart"/>
      <w:r w:rsidRPr="00C92DA5">
        <w:rPr>
          <w:rFonts w:eastAsiaTheme="minorHAnsi"/>
          <w:lang w:eastAsia="en-US"/>
        </w:rPr>
        <w:t>późn</w:t>
      </w:r>
      <w:proofErr w:type="spellEnd"/>
      <w:r w:rsidRPr="00C92DA5">
        <w:rPr>
          <w:rFonts w:eastAsiaTheme="minorHAnsi"/>
          <w:lang w:eastAsia="en-US"/>
        </w:rPr>
        <w:t xml:space="preserve">. zm.). </w:t>
      </w:r>
    </w:p>
    <w:p w:rsidR="00BA6ADD" w:rsidRPr="007969A4" w:rsidRDefault="00C92DA5" w:rsidP="00BA6ADD">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Przepis art. 54a ustawy z dnia 27 sierpnia 2009 r. o finansach publicznych (tj. Dz. U. z 2021 r. poz. 305) stosuje się. </w:t>
      </w:r>
    </w:p>
    <w:p w:rsidR="00BA6ADD" w:rsidRPr="007969A4" w:rsidRDefault="00C92DA5" w:rsidP="00BA6ADD">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W sprawach, których nie reguluje niniejsza umowa, będą miały zastosowanie odpowiednie postanowienia specyfikacji warunków zamówienia, przepisy Prawa zamówień publicznych wraz z aktami wykonawczymi oraz przepisy Prawa bankowego i Prawa wekslowego oraz Kodeksu cywilnego. </w:t>
      </w:r>
    </w:p>
    <w:p w:rsidR="00BA6ADD" w:rsidRPr="007969A4" w:rsidRDefault="00C92DA5" w:rsidP="00BA6ADD">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Jeżeli strony nie mają możliwości wywiązania się z uzgodnionych terminów z powodu siły wyższej to zachowują one prawo do wnioskowania o przesunięcie terminów o czas trwania wydarzenia i o czas usunięcia jego skutków. </w:t>
      </w:r>
    </w:p>
    <w:p w:rsidR="00BA6ADD" w:rsidRPr="007969A4" w:rsidRDefault="00C92DA5" w:rsidP="00BA6ADD">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W razie zaistnienia istotnej zmiany okoliczności powodującej, że wykonanie umowy nie leży w interesie publicznym, czego nie można było przewidzieć w chwili zawarcia umowy, Kredytobiorca może odstąpić od umowy w terminie 30 dni od powzięcia wiadomości o tych okolicznościach. </w:t>
      </w:r>
    </w:p>
    <w:p w:rsidR="00BA6ADD" w:rsidRPr="007969A4" w:rsidRDefault="00C92DA5" w:rsidP="00BA6ADD">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Kredytobiorca ma prawo do dochodzenia od banku odszkodowania na zasadach ogólnych. </w:t>
      </w:r>
    </w:p>
    <w:p w:rsidR="00BA6ADD" w:rsidRPr="007969A4" w:rsidRDefault="00C92DA5" w:rsidP="00BA6ADD">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 Ilekroć w niniejszej umowie mowa jest o dniach, bez wyraźnego wskazania, iż termin określono w dniach roboczych, przyjmuje się, iż mowa o dniach kalendarzowych.</w:t>
      </w:r>
    </w:p>
    <w:p w:rsidR="00BA6ADD" w:rsidRPr="007969A4" w:rsidRDefault="00C92DA5" w:rsidP="00BA6ADD">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Niniejszą umowę wraz z załącznikami sporządzono w 3 (trzech) jednobrzmiących egzemplarzach, 2 (dwa) egzemplarze dla Kredytobiorcy i 1 (jeden) dla Banku. </w:t>
      </w:r>
    </w:p>
    <w:p w:rsidR="00BA6ADD" w:rsidRPr="007969A4" w:rsidRDefault="00C92DA5" w:rsidP="00BA6ADD">
      <w:pPr>
        <w:pStyle w:val="Akapitzlist"/>
        <w:numPr>
          <w:ilvl w:val="0"/>
          <w:numId w:val="28"/>
        </w:numPr>
        <w:autoSpaceDE w:val="0"/>
        <w:autoSpaceDN w:val="0"/>
        <w:adjustRightInd w:val="0"/>
        <w:spacing w:line="276" w:lineRule="auto"/>
        <w:jc w:val="both"/>
        <w:rPr>
          <w:rFonts w:eastAsiaTheme="minorHAnsi"/>
          <w:lang w:eastAsia="en-US"/>
        </w:rPr>
      </w:pPr>
      <w:r w:rsidRPr="00C92DA5">
        <w:rPr>
          <w:rFonts w:eastAsiaTheme="minorHAnsi"/>
          <w:lang w:eastAsia="en-US"/>
        </w:rPr>
        <w:t xml:space="preserve">Załączniki do umowy stanowią jej integralną część. </w:t>
      </w:r>
    </w:p>
    <w:p w:rsidR="00BA6ADD" w:rsidRPr="007969A4" w:rsidRDefault="00BA6ADD" w:rsidP="00BA6ADD">
      <w:pPr>
        <w:spacing w:line="276" w:lineRule="auto"/>
        <w:jc w:val="both"/>
      </w:pPr>
    </w:p>
    <w:sectPr w:rsidR="00BA6ADD" w:rsidRPr="007969A4" w:rsidSect="00C92DA5">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66E419" w15:done="0"/>
  <w15:commentEx w15:paraId="335C69E8" w15:paraIdParent="6E66E419" w15:done="0"/>
  <w15:commentEx w15:paraId="6FA2111D" w15:done="0"/>
  <w15:commentEx w15:paraId="7E45297E" w15:done="0"/>
  <w15:commentEx w15:paraId="09CBA323" w15:paraIdParent="7E45297E" w15:done="0"/>
  <w15:commentEx w15:paraId="2DA648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AEEF" w16cex:dateUtc="2021-05-11T05:21:00Z"/>
  <w16cex:commentExtensible w16cex:durableId="2444D3DA" w16cex:dateUtc="2021-05-11T07:58:00Z"/>
  <w16cex:commentExtensible w16cex:durableId="2444D5B6" w16cex:dateUtc="2021-05-11T08:06:00Z"/>
  <w16cex:commentExtensible w16cex:durableId="2444B221" w16cex:dateUtc="2021-05-11T05:34:00Z"/>
  <w16cex:commentExtensible w16cex:durableId="2444D665" w16cex:dateUtc="2021-05-11T08:09:00Z"/>
  <w16cex:commentExtensible w16cex:durableId="2444D707" w16cex:dateUtc="2021-05-11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66E419" w16cid:durableId="2444AEEF"/>
  <w16cid:commentId w16cid:paraId="335C69E8" w16cid:durableId="2444D3DA"/>
  <w16cid:commentId w16cid:paraId="6FA2111D" w16cid:durableId="2444D5B6"/>
  <w16cid:commentId w16cid:paraId="7E45297E" w16cid:durableId="2444B221"/>
  <w16cid:commentId w16cid:paraId="09CBA323" w16cid:durableId="2444D665"/>
  <w16cid:commentId w16cid:paraId="2DA648F5" w16cid:durableId="2444D70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6AD" w:rsidRDefault="005B36AD" w:rsidP="00BA6ADD">
      <w:r>
        <w:separator/>
      </w:r>
    </w:p>
  </w:endnote>
  <w:endnote w:type="continuationSeparator" w:id="0">
    <w:p w:rsidR="005B36AD" w:rsidRDefault="005B36AD" w:rsidP="00BA6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887251"/>
      <w:docPartObj>
        <w:docPartGallery w:val="Page Numbers (Bottom of Page)"/>
        <w:docPartUnique/>
      </w:docPartObj>
    </w:sdtPr>
    <w:sdtContent>
      <w:p w:rsidR="00BA6ADD" w:rsidRDefault="00C92DA5">
        <w:pPr>
          <w:pStyle w:val="Stopka"/>
          <w:jc w:val="center"/>
        </w:pPr>
        <w:r>
          <w:fldChar w:fldCharType="begin"/>
        </w:r>
        <w:r w:rsidR="00BA6ADD">
          <w:instrText>PAGE   \* MERGEFORMAT</w:instrText>
        </w:r>
        <w:r>
          <w:fldChar w:fldCharType="separate"/>
        </w:r>
        <w:r w:rsidR="0075293E">
          <w:rPr>
            <w:noProof/>
          </w:rPr>
          <w:t>2</w:t>
        </w:r>
        <w:r>
          <w:fldChar w:fldCharType="end"/>
        </w:r>
      </w:p>
    </w:sdtContent>
  </w:sdt>
  <w:p w:rsidR="00BA6ADD" w:rsidRDefault="00BA6A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6AD" w:rsidRDefault="005B36AD" w:rsidP="00BA6ADD">
      <w:r>
        <w:separator/>
      </w:r>
    </w:p>
  </w:footnote>
  <w:footnote w:type="continuationSeparator" w:id="0">
    <w:p w:rsidR="005B36AD" w:rsidRDefault="005B36AD" w:rsidP="00BA6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38E"/>
    <w:multiLevelType w:val="hybridMultilevel"/>
    <w:tmpl w:val="02C20AE6"/>
    <w:lvl w:ilvl="0" w:tplc="4E08FC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B544CA"/>
    <w:multiLevelType w:val="hybridMultilevel"/>
    <w:tmpl w:val="903EFCAA"/>
    <w:lvl w:ilvl="0" w:tplc="751C44F4">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FA2EDB"/>
    <w:multiLevelType w:val="hybridMultilevel"/>
    <w:tmpl w:val="D20EDC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ECD7842"/>
    <w:multiLevelType w:val="hybridMultilevel"/>
    <w:tmpl w:val="7A06A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D35F43"/>
    <w:multiLevelType w:val="hybridMultilevel"/>
    <w:tmpl w:val="B672C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633030"/>
    <w:multiLevelType w:val="hybridMultilevel"/>
    <w:tmpl w:val="A60E11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388486C"/>
    <w:multiLevelType w:val="hybridMultilevel"/>
    <w:tmpl w:val="D13EC2F2"/>
    <w:lvl w:ilvl="0" w:tplc="4172373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94212E"/>
    <w:multiLevelType w:val="hybridMultilevel"/>
    <w:tmpl w:val="4DD0A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D954BA9"/>
    <w:multiLevelType w:val="hybridMultilevel"/>
    <w:tmpl w:val="99B2E3DE"/>
    <w:lvl w:ilvl="0" w:tplc="4E08FCBA">
      <w:start w:val="1"/>
      <w:numFmt w:val="decimal"/>
      <w:lvlText w:val="%1)"/>
      <w:lvlJc w:val="left"/>
      <w:pPr>
        <w:ind w:left="644"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3DD717E7"/>
    <w:multiLevelType w:val="hybridMultilevel"/>
    <w:tmpl w:val="410023FC"/>
    <w:lvl w:ilvl="0" w:tplc="4E08F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40E7246E"/>
    <w:multiLevelType w:val="multilevel"/>
    <w:tmpl w:val="81FC09BC"/>
    <w:lvl w:ilvl="0">
      <w:start w:val="5"/>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41163DD1"/>
    <w:multiLevelType w:val="hybridMultilevel"/>
    <w:tmpl w:val="D0D4DA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11E4BA2"/>
    <w:multiLevelType w:val="hybridMultilevel"/>
    <w:tmpl w:val="98D48CE2"/>
    <w:lvl w:ilvl="0" w:tplc="4E08FCB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43585697"/>
    <w:multiLevelType w:val="hybridMultilevel"/>
    <w:tmpl w:val="3F16A644"/>
    <w:lvl w:ilvl="0" w:tplc="14A430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C50F1C"/>
    <w:multiLevelType w:val="hybridMultilevel"/>
    <w:tmpl w:val="97982B44"/>
    <w:lvl w:ilvl="0" w:tplc="4E08FC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85A5DE0"/>
    <w:multiLevelType w:val="multilevel"/>
    <w:tmpl w:val="8CCCD0E2"/>
    <w:lvl w:ilvl="0">
      <w:start w:val="1"/>
      <w:numFmt w:val="decimal"/>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B653979"/>
    <w:multiLevelType w:val="hybridMultilevel"/>
    <w:tmpl w:val="D9A89A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BD16685"/>
    <w:multiLevelType w:val="hybridMultilevel"/>
    <w:tmpl w:val="11D44334"/>
    <w:lvl w:ilvl="0" w:tplc="72021A8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BEE3836"/>
    <w:multiLevelType w:val="hybridMultilevel"/>
    <w:tmpl w:val="85DE35F0"/>
    <w:lvl w:ilvl="0" w:tplc="8EB8D336">
      <w:start w:val="1"/>
      <w:numFmt w:val="bullet"/>
      <w:lvlText w:val=""/>
      <w:lvlJc w:val="left"/>
      <w:pPr>
        <w:ind w:left="786"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9">
    <w:nsid w:val="4D9524B6"/>
    <w:multiLevelType w:val="hybridMultilevel"/>
    <w:tmpl w:val="2FDA1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2D32288"/>
    <w:multiLevelType w:val="hybridMultilevel"/>
    <w:tmpl w:val="C28C06B8"/>
    <w:lvl w:ilvl="0" w:tplc="04150011">
      <w:start w:val="1"/>
      <w:numFmt w:val="decimal"/>
      <w:lvlText w:val="%1)"/>
      <w:lvlJc w:val="left"/>
      <w:pPr>
        <w:ind w:left="644"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45803FE"/>
    <w:multiLevelType w:val="hybridMultilevel"/>
    <w:tmpl w:val="E8048818"/>
    <w:lvl w:ilvl="0" w:tplc="9C109E12">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6FC55D9"/>
    <w:multiLevelType w:val="hybridMultilevel"/>
    <w:tmpl w:val="71F418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F8E0940"/>
    <w:multiLevelType w:val="multilevel"/>
    <w:tmpl w:val="F9B8B4D6"/>
    <w:lvl w:ilvl="0">
      <w:start w:val="7"/>
      <w:numFmt w:val="decimal"/>
      <w:lvlText w:val="%1."/>
      <w:lvlJc w:val="left"/>
      <w:pPr>
        <w:ind w:left="360" w:hanging="360"/>
      </w:pPr>
      <w:rPr>
        <w:rFonts w:hint="default"/>
        <w:b/>
        <w:bCs/>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611A66A5"/>
    <w:multiLevelType w:val="hybridMultilevel"/>
    <w:tmpl w:val="47586F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20D4E2E"/>
    <w:multiLevelType w:val="hybridMultilevel"/>
    <w:tmpl w:val="03D2F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2702954"/>
    <w:multiLevelType w:val="hybridMultilevel"/>
    <w:tmpl w:val="7D0A499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4473DDD"/>
    <w:multiLevelType w:val="hybridMultilevel"/>
    <w:tmpl w:val="0E1A6E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8D73CF3"/>
    <w:multiLevelType w:val="hybridMultilevel"/>
    <w:tmpl w:val="6DE20F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5B562F6"/>
    <w:multiLevelType w:val="hybridMultilevel"/>
    <w:tmpl w:val="E020AA70"/>
    <w:lvl w:ilvl="0" w:tplc="0ADABB98">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6654539"/>
    <w:multiLevelType w:val="hybridMultilevel"/>
    <w:tmpl w:val="CDE8BE30"/>
    <w:lvl w:ilvl="0" w:tplc="A2341D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FB4A3E"/>
    <w:multiLevelType w:val="hybridMultilevel"/>
    <w:tmpl w:val="E0DE1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29"/>
  </w:num>
  <w:num w:numId="3">
    <w:abstractNumId w:val="4"/>
  </w:num>
  <w:num w:numId="4">
    <w:abstractNumId w:val="12"/>
  </w:num>
  <w:num w:numId="5">
    <w:abstractNumId w:val="8"/>
  </w:num>
  <w:num w:numId="6">
    <w:abstractNumId w:val="10"/>
  </w:num>
  <w:num w:numId="7">
    <w:abstractNumId w:val="26"/>
  </w:num>
  <w:num w:numId="8">
    <w:abstractNumId w:val="20"/>
  </w:num>
  <w:num w:numId="9">
    <w:abstractNumId w:val="18"/>
  </w:num>
  <w:num w:numId="10">
    <w:abstractNumId w:val="23"/>
  </w:num>
  <w:num w:numId="11">
    <w:abstractNumId w:val="27"/>
  </w:num>
  <w:num w:numId="12">
    <w:abstractNumId w:val="24"/>
  </w:num>
  <w:num w:numId="13">
    <w:abstractNumId w:val="3"/>
  </w:num>
  <w:num w:numId="14">
    <w:abstractNumId w:val="22"/>
  </w:num>
  <w:num w:numId="15">
    <w:abstractNumId w:val="2"/>
  </w:num>
  <w:num w:numId="16">
    <w:abstractNumId w:val="6"/>
  </w:num>
  <w:num w:numId="17">
    <w:abstractNumId w:val="13"/>
  </w:num>
  <w:num w:numId="18">
    <w:abstractNumId w:val="21"/>
  </w:num>
  <w:num w:numId="19">
    <w:abstractNumId w:val="30"/>
  </w:num>
  <w:num w:numId="20">
    <w:abstractNumId w:val="11"/>
  </w:num>
  <w:num w:numId="21">
    <w:abstractNumId w:val="1"/>
  </w:num>
  <w:num w:numId="22">
    <w:abstractNumId w:val="9"/>
  </w:num>
  <w:num w:numId="23">
    <w:abstractNumId w:val="19"/>
  </w:num>
  <w:num w:numId="24">
    <w:abstractNumId w:val="7"/>
  </w:num>
  <w:num w:numId="25">
    <w:abstractNumId w:val="17"/>
  </w:num>
  <w:num w:numId="26">
    <w:abstractNumId w:val="0"/>
  </w:num>
  <w:num w:numId="27">
    <w:abstractNumId w:val="14"/>
  </w:num>
  <w:num w:numId="28">
    <w:abstractNumId w:val="31"/>
  </w:num>
  <w:num w:numId="29">
    <w:abstractNumId w:val="28"/>
  </w:num>
  <w:num w:numId="30">
    <w:abstractNumId w:val="15"/>
  </w:num>
  <w:num w:numId="31">
    <w:abstractNumId w:val="16"/>
  </w:num>
  <w:num w:numId="3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owefa Nasierowska">
    <w15:presenceInfo w15:providerId="Windows Live" w15:userId="f5b2bf22d8ce4993"/>
  </w15:person>
  <w15:person w15:author="Jakub Biłas">
    <w15:presenceInfo w15:providerId="None" w15:userId="Jakub Bił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2358"/>
    <w:rsid w:val="000F6446"/>
    <w:rsid w:val="001E24FA"/>
    <w:rsid w:val="00250BA5"/>
    <w:rsid w:val="0027318A"/>
    <w:rsid w:val="002E42E2"/>
    <w:rsid w:val="00377136"/>
    <w:rsid w:val="003A3E29"/>
    <w:rsid w:val="00433584"/>
    <w:rsid w:val="00446AC7"/>
    <w:rsid w:val="0046761F"/>
    <w:rsid w:val="004B1CE7"/>
    <w:rsid w:val="004E6A96"/>
    <w:rsid w:val="00503791"/>
    <w:rsid w:val="0052592C"/>
    <w:rsid w:val="005768EA"/>
    <w:rsid w:val="00587ABE"/>
    <w:rsid w:val="005B36AD"/>
    <w:rsid w:val="00605C6E"/>
    <w:rsid w:val="00680A03"/>
    <w:rsid w:val="00681A37"/>
    <w:rsid w:val="00686655"/>
    <w:rsid w:val="006B2A6F"/>
    <w:rsid w:val="00711968"/>
    <w:rsid w:val="0075293E"/>
    <w:rsid w:val="00775F4E"/>
    <w:rsid w:val="007969A4"/>
    <w:rsid w:val="00816524"/>
    <w:rsid w:val="008165C5"/>
    <w:rsid w:val="00826803"/>
    <w:rsid w:val="00877089"/>
    <w:rsid w:val="008C4521"/>
    <w:rsid w:val="009E1169"/>
    <w:rsid w:val="00A379BE"/>
    <w:rsid w:val="00AF2358"/>
    <w:rsid w:val="00BA6ADD"/>
    <w:rsid w:val="00BD49FD"/>
    <w:rsid w:val="00C749B3"/>
    <w:rsid w:val="00C758F6"/>
    <w:rsid w:val="00C92DA5"/>
    <w:rsid w:val="00CC3687"/>
    <w:rsid w:val="00CE6997"/>
    <w:rsid w:val="00DC1B97"/>
    <w:rsid w:val="00E064DC"/>
    <w:rsid w:val="00E656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5C5"/>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8165C5"/>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8165C5"/>
    <w:rPr>
      <w:rFonts w:ascii="Arial" w:eastAsiaTheme="minorEastAsia" w:hAnsi="Arial" w:cs="Times New Roman"/>
      <w:b/>
      <w:szCs w:val="20"/>
      <w:lang w:eastAsia="pl-PL"/>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8165C5"/>
    <w:pPr>
      <w:ind w:left="708"/>
    </w:p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8165C5"/>
    <w:rPr>
      <w:rFonts w:ascii="Times New Roman" w:eastAsiaTheme="minorEastAsia" w:hAnsi="Times New Roman" w:cs="Times New Roman"/>
      <w:sz w:val="24"/>
      <w:szCs w:val="24"/>
      <w:lang w:eastAsia="pl-PL"/>
    </w:rPr>
  </w:style>
  <w:style w:type="paragraph" w:customStyle="1" w:styleId="Default">
    <w:name w:val="Default"/>
    <w:qFormat/>
    <w:rsid w:val="008165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ize">
    <w:name w:val="size"/>
    <w:basedOn w:val="Domylnaczcionkaakapitu"/>
    <w:rsid w:val="00A379BE"/>
  </w:style>
  <w:style w:type="character" w:styleId="Odwoaniedokomentarza">
    <w:name w:val="annotation reference"/>
    <w:basedOn w:val="Domylnaczcionkaakapitu"/>
    <w:uiPriority w:val="99"/>
    <w:semiHidden/>
    <w:unhideWhenUsed/>
    <w:rsid w:val="00E6565F"/>
    <w:rPr>
      <w:sz w:val="16"/>
      <w:szCs w:val="16"/>
    </w:rPr>
  </w:style>
  <w:style w:type="paragraph" w:styleId="Tekstkomentarza">
    <w:name w:val="annotation text"/>
    <w:basedOn w:val="Normalny"/>
    <w:link w:val="TekstkomentarzaZnak"/>
    <w:uiPriority w:val="99"/>
    <w:unhideWhenUsed/>
    <w:rsid w:val="00E6565F"/>
    <w:rPr>
      <w:sz w:val="20"/>
      <w:szCs w:val="20"/>
    </w:rPr>
  </w:style>
  <w:style w:type="character" w:customStyle="1" w:styleId="TekstkomentarzaZnak">
    <w:name w:val="Tekst komentarza Znak"/>
    <w:basedOn w:val="Domylnaczcionkaakapitu"/>
    <w:link w:val="Tekstkomentarza"/>
    <w:uiPriority w:val="99"/>
    <w:rsid w:val="00E6565F"/>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6565F"/>
    <w:rPr>
      <w:b/>
      <w:bCs/>
    </w:rPr>
  </w:style>
  <w:style w:type="character" w:customStyle="1" w:styleId="TematkomentarzaZnak">
    <w:name w:val="Temat komentarza Znak"/>
    <w:basedOn w:val="TekstkomentarzaZnak"/>
    <w:link w:val="Tematkomentarza"/>
    <w:uiPriority w:val="99"/>
    <w:semiHidden/>
    <w:rsid w:val="00E6565F"/>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unhideWhenUsed/>
    <w:rsid w:val="00BA6ADD"/>
    <w:pPr>
      <w:tabs>
        <w:tab w:val="center" w:pos="4536"/>
        <w:tab w:val="right" w:pos="9072"/>
      </w:tabs>
    </w:pPr>
  </w:style>
  <w:style w:type="character" w:customStyle="1" w:styleId="NagwekZnak">
    <w:name w:val="Nagłówek Znak"/>
    <w:basedOn w:val="Domylnaczcionkaakapitu"/>
    <w:link w:val="Nagwek"/>
    <w:uiPriority w:val="99"/>
    <w:rsid w:val="00BA6ADD"/>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BA6ADD"/>
    <w:pPr>
      <w:tabs>
        <w:tab w:val="center" w:pos="4536"/>
        <w:tab w:val="right" w:pos="9072"/>
      </w:tabs>
    </w:pPr>
  </w:style>
  <w:style w:type="character" w:customStyle="1" w:styleId="StopkaZnak">
    <w:name w:val="Stopka Znak"/>
    <w:basedOn w:val="Domylnaczcionkaakapitu"/>
    <w:link w:val="Stopka"/>
    <w:uiPriority w:val="99"/>
    <w:rsid w:val="00BA6ADD"/>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4B1CE7"/>
    <w:rPr>
      <w:rFonts w:ascii="Tahoma" w:hAnsi="Tahoma" w:cs="Tahoma"/>
      <w:sz w:val="16"/>
      <w:szCs w:val="16"/>
    </w:rPr>
  </w:style>
  <w:style w:type="character" w:customStyle="1" w:styleId="TekstdymkaZnak">
    <w:name w:val="Tekst dymka Znak"/>
    <w:basedOn w:val="Domylnaczcionkaakapitu"/>
    <w:link w:val="Tekstdymka"/>
    <w:uiPriority w:val="99"/>
    <w:semiHidden/>
    <w:rsid w:val="004B1CE7"/>
    <w:rPr>
      <w:rFonts w:ascii="Tahoma" w:eastAsiaTheme="minorEastAsia" w:hAnsi="Tahoma" w:cs="Tahoma"/>
      <w:sz w:val="16"/>
      <w:szCs w:val="16"/>
      <w:lang w:eastAsia="pl-PL"/>
    </w:rPr>
  </w:style>
  <w:style w:type="character" w:styleId="Hipercze">
    <w:name w:val="Hyperlink"/>
    <w:basedOn w:val="Domylnaczcionkaakapitu"/>
    <w:uiPriority w:val="99"/>
    <w:unhideWhenUsed/>
    <w:rsid w:val="008268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5C5"/>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8165C5"/>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8165C5"/>
    <w:rPr>
      <w:rFonts w:ascii="Arial" w:eastAsiaTheme="minorEastAsia" w:hAnsi="Arial" w:cs="Times New Roman"/>
      <w:b/>
      <w:szCs w:val="20"/>
      <w:lang w:eastAsia="pl-PL"/>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8165C5"/>
    <w:pPr>
      <w:ind w:left="708"/>
    </w:p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8165C5"/>
    <w:rPr>
      <w:rFonts w:ascii="Times New Roman" w:eastAsiaTheme="minorEastAsia" w:hAnsi="Times New Roman" w:cs="Times New Roman"/>
      <w:sz w:val="24"/>
      <w:szCs w:val="24"/>
      <w:lang w:eastAsia="pl-PL"/>
    </w:rPr>
  </w:style>
  <w:style w:type="paragraph" w:customStyle="1" w:styleId="Default">
    <w:name w:val="Default"/>
    <w:qFormat/>
    <w:rsid w:val="008165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ize">
    <w:name w:val="size"/>
    <w:basedOn w:val="Domylnaczcionkaakapitu"/>
    <w:rsid w:val="00A379BE"/>
  </w:style>
  <w:style w:type="character" w:styleId="Odwoaniedokomentarza">
    <w:name w:val="annotation reference"/>
    <w:basedOn w:val="Domylnaczcionkaakapitu"/>
    <w:uiPriority w:val="99"/>
    <w:semiHidden/>
    <w:unhideWhenUsed/>
    <w:rsid w:val="00E6565F"/>
    <w:rPr>
      <w:sz w:val="16"/>
      <w:szCs w:val="16"/>
    </w:rPr>
  </w:style>
  <w:style w:type="paragraph" w:styleId="Tekstkomentarza">
    <w:name w:val="annotation text"/>
    <w:basedOn w:val="Normalny"/>
    <w:link w:val="TekstkomentarzaZnak"/>
    <w:uiPriority w:val="99"/>
    <w:unhideWhenUsed/>
    <w:rsid w:val="00E6565F"/>
    <w:rPr>
      <w:sz w:val="20"/>
      <w:szCs w:val="20"/>
    </w:rPr>
  </w:style>
  <w:style w:type="character" w:customStyle="1" w:styleId="TekstkomentarzaZnak">
    <w:name w:val="Tekst komentarza Znak"/>
    <w:basedOn w:val="Domylnaczcionkaakapitu"/>
    <w:link w:val="Tekstkomentarza"/>
    <w:uiPriority w:val="99"/>
    <w:rsid w:val="00E6565F"/>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6565F"/>
    <w:rPr>
      <w:b/>
      <w:bCs/>
    </w:rPr>
  </w:style>
  <w:style w:type="character" w:customStyle="1" w:styleId="TematkomentarzaZnak">
    <w:name w:val="Temat komentarza Znak"/>
    <w:basedOn w:val="TekstkomentarzaZnak"/>
    <w:link w:val="Tematkomentarza"/>
    <w:uiPriority w:val="99"/>
    <w:semiHidden/>
    <w:rsid w:val="00E6565F"/>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unhideWhenUsed/>
    <w:rsid w:val="00BA6ADD"/>
    <w:pPr>
      <w:tabs>
        <w:tab w:val="center" w:pos="4536"/>
        <w:tab w:val="right" w:pos="9072"/>
      </w:tabs>
    </w:pPr>
  </w:style>
  <w:style w:type="character" w:customStyle="1" w:styleId="NagwekZnak">
    <w:name w:val="Nagłówek Znak"/>
    <w:basedOn w:val="Domylnaczcionkaakapitu"/>
    <w:link w:val="Nagwek"/>
    <w:uiPriority w:val="99"/>
    <w:rsid w:val="00BA6ADD"/>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BA6ADD"/>
    <w:pPr>
      <w:tabs>
        <w:tab w:val="center" w:pos="4536"/>
        <w:tab w:val="right" w:pos="9072"/>
      </w:tabs>
    </w:pPr>
  </w:style>
  <w:style w:type="character" w:customStyle="1" w:styleId="StopkaZnak">
    <w:name w:val="Stopka Znak"/>
    <w:basedOn w:val="Domylnaczcionkaakapitu"/>
    <w:link w:val="Stopka"/>
    <w:uiPriority w:val="99"/>
    <w:rsid w:val="00BA6ADD"/>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4B1CE7"/>
    <w:rPr>
      <w:rFonts w:ascii="Tahoma" w:hAnsi="Tahoma" w:cs="Tahoma"/>
      <w:sz w:val="16"/>
      <w:szCs w:val="16"/>
    </w:rPr>
  </w:style>
  <w:style w:type="character" w:customStyle="1" w:styleId="TekstdymkaZnak">
    <w:name w:val="Tekst dymka Znak"/>
    <w:basedOn w:val="Domylnaczcionkaakapitu"/>
    <w:link w:val="Tekstdymka"/>
    <w:uiPriority w:val="99"/>
    <w:semiHidden/>
    <w:rsid w:val="004B1CE7"/>
    <w:rPr>
      <w:rFonts w:ascii="Tahoma" w:eastAsiaTheme="minorEastAsia" w:hAnsi="Tahoma" w:cs="Tahoma"/>
      <w:sz w:val="16"/>
      <w:szCs w:val="16"/>
      <w:lang w:eastAsia="pl-PL"/>
    </w:rPr>
  </w:style>
  <w:style w:type="character" w:styleId="Hipercze">
    <w:name w:val="Hyperlink"/>
    <w:basedOn w:val="Domylnaczcionkaakapitu"/>
    <w:uiPriority w:val="99"/>
    <w:unhideWhenUsed/>
    <w:rsid w:val="0082680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346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bip.powiat-chelmno.pl/?cid=209" TargetMode="External"/><Relationship Id="rId12"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8</Pages>
  <Words>2959</Words>
  <Characters>17755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Genowefa Nasierowska</dc:creator>
  <cp:keywords/>
  <dc:description/>
  <cp:lastModifiedBy>DariuszB</cp:lastModifiedBy>
  <cp:revision>11</cp:revision>
  <dcterms:created xsi:type="dcterms:W3CDTF">2021-05-10T15:56:00Z</dcterms:created>
  <dcterms:modified xsi:type="dcterms:W3CDTF">2021-05-11T10:27:00Z</dcterms:modified>
</cp:coreProperties>
</file>