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</w:t>
      </w:r>
      <w:r w:rsidR="00B238D1">
        <w:rPr>
          <w:rFonts w:ascii="Cambria" w:eastAsia="Times New Roman" w:hAnsi="Cambria" w:cs="Tahoma"/>
          <w:lang w:eastAsia="pl-PL"/>
        </w:rPr>
        <w:t xml:space="preserve">            </w:t>
      </w:r>
      <w:r w:rsidRPr="00144BF5">
        <w:rPr>
          <w:rFonts w:ascii="Cambria" w:eastAsia="Times New Roman" w:hAnsi="Cambria" w:cs="Tahoma"/>
          <w:lang w:eastAsia="pl-PL"/>
        </w:rPr>
        <w:t xml:space="preserve">  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4B1D3A">
        <w:rPr>
          <w:rFonts w:ascii="Cambria" w:eastAsia="Times New Roman" w:hAnsi="Cambria" w:cs="Tahoma"/>
          <w:lang w:eastAsia="pl-PL"/>
        </w:rPr>
        <w:t>3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ZOZ.V.010/DZP/03/23. </w:t>
      </w: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4779D7" w:rsidRDefault="0013343A" w:rsidP="000B60E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779D7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4D7768" w:rsidRPr="004779D7" w:rsidRDefault="003A6B23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P</w:t>
      </w:r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>ytania do pakietu 34</w:t>
      </w:r>
    </w:p>
    <w:p w:rsidR="004D7768" w:rsidRPr="004779D7" w:rsidRDefault="004D7768" w:rsidP="008D14C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Pytanie 1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W postępowaniu doszło do sporządzenia opisu przedmiotu zamówienia w sposób, który narusza zasady z art. 99 ust. 1 i 4 PZP w zw. Z art. 16 pkt. 1-3 PZP. Oznacza to, że Zamawiający dokonał naruszenia zasady uczciwej konkurencji poprzez połączenie kilku nieporównywalnych przedmiotów zamówienia, co wywoła skutek w postaci nieporównywalności ofert oraz wywoła rażący spadek ilości ofert, albowiem część wykonawców nie złoży ofert w postępowaniu w którym de facto konkurencja jest niemożliwa lub w najwyższym stopniu utrudniona, albowiem stawia w pozycji uprzywilejowanej wyłącznie jedną grupę oferentów posiadających wszystkie produkty nietożsame wymagane w pakiecie. Tym samym w sposób rażący naruszono podstawowe zasady ustawy PZP, tj. zasady równości pomiędzy wykonawcami, uczciwej konkurencji oraz zasady transparentności i zasady proporcjonalności. </w:t>
      </w:r>
    </w:p>
    <w:p w:rsidR="004D7768" w:rsidRPr="004779D7" w:rsidRDefault="004D7768" w:rsidP="008D14C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Dokonując zatem diagnozy opisanych produktów w pakiecie 34 postępowania o udzielenie zamówienia publicznego Zamawiający poprzez umieszczenie w pakiecie produktów nietożsamych dopuścił się naruszenia co najmniej następujących przepisów ustawy PZP: </w:t>
      </w:r>
    </w:p>
    <w:p w:rsidR="004D7768" w:rsidRPr="004779D7" w:rsidRDefault="008D14C5" w:rsidP="008D14C5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</w:t>
      </w:r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>1.       Naruszenie art. 16 ust. 1-3 ustawy PZP tj. zasady równego traktowania wykonawców oraz prowadzenia postępowania o udzielenie zamówienia publicznego w sposób utrudniający uczciwą konkurencję</w:t>
      </w:r>
    </w:p>
    <w:p w:rsidR="004D7768" w:rsidRPr="004779D7" w:rsidRDefault="008D14C5" w:rsidP="008D14C5">
      <w:pPr>
        <w:spacing w:after="0" w:line="240" w:lineRule="auto"/>
        <w:ind w:hanging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</w:t>
      </w:r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>2.       Naruszenie art. 99 ust. 1 do 4 ustawy PZP tj. poprzez określenie opisu przedmiotu zamówienia w sposób który utrudnia uczciwą konkurencje i jest sprzeczny z obowiązkami jakie nakłada na Zamawiającego ustawodawca w w/w zakresie</w:t>
      </w:r>
    </w:p>
    <w:p w:rsidR="004D7768" w:rsidRPr="004779D7" w:rsidRDefault="008D14C5" w:rsidP="008D14C5">
      <w:pPr>
        <w:spacing w:after="0" w:line="240" w:lineRule="auto"/>
        <w:ind w:hanging="36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</w:t>
      </w:r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3.       Naruszenie art. 134 ust. 1 pkt.4 </w:t>
      </w:r>
      <w:proofErr w:type="spellStart"/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>istawy</w:t>
      </w:r>
      <w:proofErr w:type="spellEnd"/>
      <w:r w:rsidR="004D7768"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PZP poprzez wadliwe sporządzenie specyfikacji warunków zamówienia w części dotyczącej opisu przedmiotu zamówienia 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W związku z powyższym składamy zapytanie: 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zmieni opis przedmiotu zamówienia dotyczący pozycji 3 oraz 4 w taki sposób, że wykreśli je z pakietu 34? Produkty umieszczone w pakiecie 34 w pozycjach 3 i 4 są nietożsame z umieszczonymi w pozycji 1 i 2 portami naczyniowymi. </w:t>
      </w:r>
    </w:p>
    <w:p w:rsidR="00A9379C" w:rsidRDefault="00A9379C" w:rsidP="008D14C5">
      <w:pPr>
        <w:spacing w:after="0" w:line="240" w:lineRule="auto"/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</w:pPr>
    </w:p>
    <w:p w:rsidR="004D7768" w:rsidRPr="004779D7" w:rsidRDefault="003A6B23" w:rsidP="008D14C5">
      <w:pPr>
        <w:spacing w:after="0" w:line="240" w:lineRule="auto"/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</w:pPr>
      <w:r w:rsidRPr="004779D7"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  <w:t xml:space="preserve">Odp. </w:t>
      </w:r>
      <w:r w:rsidR="004D7768" w:rsidRPr="004779D7"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  <w:t> </w:t>
      </w:r>
      <w:r w:rsidR="00B238D1" w:rsidRPr="004779D7"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  <w:t>Zamawiający podtrzymuje zapisy SWZ.</w:t>
      </w:r>
    </w:p>
    <w:p w:rsidR="00560E9E" w:rsidRDefault="00560E9E" w:rsidP="008D14C5">
      <w:pPr>
        <w:spacing w:after="0" w:line="240" w:lineRule="auto"/>
        <w:ind w:firstLine="709"/>
        <w:jc w:val="both"/>
        <w:rPr>
          <w:rFonts w:ascii="Cambria" w:hAnsi="Cambria"/>
          <w:b/>
        </w:rPr>
      </w:pPr>
    </w:p>
    <w:p w:rsidR="00A9379C" w:rsidRPr="00BD46AA" w:rsidRDefault="00B238D1" w:rsidP="00D07B41">
      <w:pPr>
        <w:spacing w:after="0" w:line="240" w:lineRule="auto"/>
        <w:jc w:val="both"/>
        <w:rPr>
          <w:rFonts w:ascii="Cambria" w:hAnsi="Cambria"/>
          <w:b/>
        </w:rPr>
      </w:pPr>
      <w:r w:rsidRPr="008D14C5">
        <w:rPr>
          <w:rFonts w:ascii="Cambria" w:hAnsi="Cambria"/>
          <w:b/>
        </w:rPr>
        <w:t xml:space="preserve">Zamawiający nie znajduje znamion niezastosowania się do wymogu traktowania </w:t>
      </w:r>
      <w:r w:rsidR="00560E9E">
        <w:rPr>
          <w:rFonts w:ascii="Cambria" w:hAnsi="Cambria"/>
          <w:b/>
        </w:rPr>
        <w:t>na równych zasadach wszystkich W</w:t>
      </w:r>
      <w:r w:rsidRPr="008D14C5">
        <w:rPr>
          <w:rFonts w:ascii="Cambria" w:hAnsi="Cambria"/>
          <w:b/>
        </w:rPr>
        <w:t xml:space="preserve">ykonawców biorących udział w postępowaniu. Każdy </w:t>
      </w:r>
      <w:r w:rsidR="00560E9E">
        <w:rPr>
          <w:rFonts w:ascii="Cambria" w:hAnsi="Cambria"/>
          <w:b/>
        </w:rPr>
        <w:t>W</w:t>
      </w:r>
      <w:r w:rsidRPr="008D14C5">
        <w:rPr>
          <w:rFonts w:ascii="Cambria" w:hAnsi="Cambria"/>
          <w:b/>
        </w:rPr>
        <w:t xml:space="preserve">ykonawca posiadający przedmiot zamówienia zgodny z wymaganiami Zamawiającego </w:t>
      </w:r>
      <w:r w:rsidRPr="00BD46AA">
        <w:rPr>
          <w:rFonts w:ascii="Cambria" w:hAnsi="Cambria"/>
          <w:b/>
        </w:rPr>
        <w:t xml:space="preserve">może ubiegać się o udzielenie zamówienia oraz złożyć ofertę i w stosunku do każdego </w:t>
      </w:r>
      <w:r w:rsidRPr="00BD46AA">
        <w:rPr>
          <w:rFonts w:ascii="Cambria" w:hAnsi="Cambria"/>
          <w:b/>
        </w:rPr>
        <w:lastRenderedPageBreak/>
        <w:t xml:space="preserve">wykonawcy są stosowane te same </w:t>
      </w:r>
      <w:r w:rsidR="00BD46AA" w:rsidRPr="00BD46AA">
        <w:rPr>
          <w:rFonts w:ascii="Cambria" w:hAnsi="Cambria"/>
          <w:b/>
        </w:rPr>
        <w:t xml:space="preserve">warunki określone odpowiednio w </w:t>
      </w:r>
      <w:r w:rsidR="005A6ABA">
        <w:rPr>
          <w:rFonts w:ascii="Cambria" w:hAnsi="Cambria"/>
          <w:b/>
        </w:rPr>
        <w:t xml:space="preserve">ustawie Prawo Zamówień Publicznych </w:t>
      </w:r>
      <w:r w:rsidRPr="00BD46AA">
        <w:rPr>
          <w:rFonts w:ascii="Cambria" w:hAnsi="Cambria"/>
          <w:b/>
        </w:rPr>
        <w:t xml:space="preserve">i SWZ. </w:t>
      </w:r>
      <w:r w:rsidR="005A6ABA">
        <w:rPr>
          <w:rFonts w:ascii="Cambria" w:hAnsi="Cambria"/>
          <w:b/>
        </w:rPr>
        <w:t>Nieposiadanie przez</w:t>
      </w:r>
      <w:r w:rsidRPr="00BD46AA">
        <w:rPr>
          <w:rFonts w:ascii="Cambria" w:hAnsi="Cambria"/>
          <w:b/>
        </w:rPr>
        <w:t xml:space="preserve"> Wykonawc</w:t>
      </w:r>
      <w:r w:rsidR="005A6ABA">
        <w:rPr>
          <w:rFonts w:ascii="Cambria" w:hAnsi="Cambria"/>
          <w:b/>
        </w:rPr>
        <w:t xml:space="preserve">ę </w:t>
      </w:r>
      <w:r w:rsidRPr="00BD46AA">
        <w:rPr>
          <w:rFonts w:ascii="Cambria" w:hAnsi="Cambria"/>
          <w:b/>
        </w:rPr>
        <w:t xml:space="preserve">w swojej ofercie określonego zapisami SWZ asortymentu nie może być przyczyną do zmiany istotnych dla Zamawiającego </w:t>
      </w:r>
      <w:r w:rsidR="00AB3743" w:rsidRPr="00BD46AA">
        <w:rPr>
          <w:rFonts w:ascii="Cambria" w:hAnsi="Cambria"/>
          <w:b/>
        </w:rPr>
        <w:t xml:space="preserve">warunków zamówienia </w:t>
      </w:r>
      <w:r w:rsidR="004779D7" w:rsidRPr="00BD46AA">
        <w:rPr>
          <w:rFonts w:ascii="Cambria" w:hAnsi="Cambria"/>
          <w:b/>
        </w:rPr>
        <w:t xml:space="preserve">i </w:t>
      </w:r>
      <w:r w:rsidR="00BD46AA" w:rsidRPr="00BD46AA">
        <w:rPr>
          <w:rFonts w:ascii="Cambria" w:hAnsi="Cambria"/>
          <w:b/>
        </w:rPr>
        <w:t xml:space="preserve">parametrów </w:t>
      </w:r>
      <w:r w:rsidRPr="00BD46AA">
        <w:rPr>
          <w:rFonts w:ascii="Cambria" w:hAnsi="Cambria"/>
          <w:b/>
        </w:rPr>
        <w:t xml:space="preserve">wymaganych wyrobów medycznych. </w:t>
      </w:r>
      <w:r w:rsidR="00DD29F3" w:rsidRPr="00DD29F3">
        <w:rPr>
          <w:rFonts w:ascii="Cambria" w:eastAsia="Times New Roman" w:hAnsi="Cambria" w:cs="Times New Roman"/>
          <w:b/>
          <w:lang w:eastAsia="pl-PL"/>
        </w:rPr>
        <w:br/>
      </w:r>
      <w:r w:rsidR="00560E9E" w:rsidRPr="00BD46AA">
        <w:rPr>
          <w:rFonts w:ascii="Cambria" w:eastAsia="Times New Roman" w:hAnsi="Cambria" w:cs="Times New Roman"/>
          <w:b/>
          <w:lang w:eastAsia="pl-PL"/>
        </w:rPr>
        <w:t xml:space="preserve">Zgodnie z </w:t>
      </w:r>
      <w:r w:rsidR="00560E9E" w:rsidRPr="00BD46AA">
        <w:rPr>
          <w:rFonts w:ascii="Cambria" w:hAnsi="Cambria"/>
          <w:b/>
        </w:rPr>
        <w:t>Wyrokiem KIO z dnia 4 października 2022 r. KIO 2474/22 o</w:t>
      </w:r>
      <w:r w:rsidR="00A9379C" w:rsidRPr="00BD46AA">
        <w:rPr>
          <w:rFonts w:ascii="Cambria" w:hAnsi="Cambria"/>
          <w:b/>
        </w:rPr>
        <w:t xml:space="preserve">pis przedmiotu zamówienia nie musi być sporządzony w sposób umożliwiający złożenie ofert wszystkim wykonawcom na rynku. Opis ten musi bowiem uwzględniać potrzeby konkretnego zamawiającego i jeżeli potrzeby te są zasadne, przedmiot zamówienia może być opisany w sposób ograniczający konkurencję. </w:t>
      </w:r>
    </w:p>
    <w:p w:rsidR="00DD29F3" w:rsidRDefault="00DD29F3" w:rsidP="008D14C5">
      <w:pPr>
        <w:spacing w:after="0" w:line="240" w:lineRule="auto"/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</w:pPr>
    </w:p>
    <w:p w:rsidR="00DD29F3" w:rsidRDefault="00DD29F3" w:rsidP="008D14C5">
      <w:pPr>
        <w:spacing w:after="0" w:line="240" w:lineRule="auto"/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</w:pP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Pytanie 2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Czy Zamawiający dopuści porty o niewielkich różnicach technicznych opisanych w nawiasach i o tej samej lub lepszej funkcjonalności medycznej . :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Pozycja 1 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Port naczyniowy w </w:t>
      </w:r>
      <w:r w:rsidRPr="004779D7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kształcie delty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(port w kształcie stożka- kształt lepszy, nie tworzy napięć skórnych w trakcie nakłucia przezskórnego) 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wykonany z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polisulfonu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 z komorą tytanową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port wykonany w całości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z w 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innowacyjnej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technologii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z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utwardzanego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tworzywa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wysokosprawnego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-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innowacyjne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tworzywo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,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technologia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umożliwia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stosowanie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portów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w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środowisku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MRI do 7 Tesla !!!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wysokość portu 10,6mm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(12,1mm)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waga portu 4,7g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(4,9mm)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membrana silikonowa o średnicy 9,5 mm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(12,7mm)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komora o objętości 0,25 ml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(0,52ml)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. 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do prowadzenia długotrwałej chemoterapii, z możliwością pobierania krwi, podawania leków i żywienia pozajelitowego, posiadający membranę umożliwiającą do 3000 wkłuć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- niewykluczający wykonywania badań TK i MR, z możliwością wspomaganego podawania kontrastu do w/w badań do 325psi 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membrana obniżona względem obrzeża portu w celu ułatwienia jej lokalizacji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niepodłączony trwale do portu cewnik silikonowy 8,5F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(8F)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o wymiarach: średnica wewnętrzna 1,1mm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(1,6mm)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średnica zewnętrzna 2,8mm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(2,6mm)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, długość 800mm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(630mm  nadmiar się ucina do implantacji  potrzebne 20 cm )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, z jednej strony zakończony bezigłowym łącznikiem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Luer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, z drugiej strony o zaokrąglonym, atraumatycznym zakończeniu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Zestaw akcesoriów wprowadzających: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>- strzykawka 10ml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 xml:space="preserve">- igła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Seldingera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 18G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>- dwie igły proste G22x30 do przepłukania portu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>- drut prowadnik J w podajniku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>- dwa łączniki z zabezpieczeniem przeciw załamaniu się cewnika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 xml:space="preserve">- rozszerzacz naczynia z osłonką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rozrywalną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 xml:space="preserve">-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tunelizator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 o tępych zakończeniach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br/>
        <w:t>- igłą ze skrzydełkami, drenem oraz zaciskiem G20x20mm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 oferujemy zestaw akcesoriów wprowadzających: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strzykawka 10ml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igła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Seldingera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18G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dwie igły proste G22x30 do przepłukania portu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drut prowadnik J w podajniku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lastRenderedPageBreak/>
        <w:t>-  łącznik z zabezpieczeniem przeciw załamaniu się cewnika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rozszerzacz naczynia z osłonką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rozrywalną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                                                                           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tunelizator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o tępych zakończeniach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igłą ze skrzydełkami, drenem oraz zaciskiem G20x20mm)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Każdy port posiada instrukcję w jęz. polskim oraz kartę pacjenta umożliwiającą identyfikację portu.</w:t>
      </w:r>
    </w:p>
    <w:p w:rsidR="004779D7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 </w:t>
      </w:r>
      <w:r w:rsidR="004779D7" w:rsidRPr="004779D7"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  <w:t>Odp.  Zamawiający podtrzymuje zapisy SWZ.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Pozycja 2 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Port naczyniowy w </w:t>
      </w:r>
      <w:r w:rsidRPr="004779D7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kształcie delty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(port w kształcie stożka- kształt lepszy, nie tworzy napięć skórnych w trakcie nakłucia przezskórnego) 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</w:t>
      </w:r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wykonany z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>polisulfonu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u w:val="single"/>
          <w:lang w:eastAsia="pl-PL"/>
        </w:rPr>
        <w:t xml:space="preserve"> z komorą tytanową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port wykonany w całości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z w 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innowacyjnej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technologii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z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utwardzanego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tworzywa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wysokosprawnego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-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innowacyjne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tworzywo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,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technologia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umożliwia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stosowanie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portów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w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>środowisku</w:t>
      </w:r>
      <w:proofErr w:type="spellEnd"/>
      <w:r w:rsidRPr="004779D7">
        <w:rPr>
          <w:rFonts w:ascii="Cambria" w:eastAsia="Times New Roman" w:hAnsi="Cambria" w:cs="Times New Roman"/>
          <w:b/>
          <w:bCs/>
          <w:color w:val="000000" w:themeColor="text1"/>
          <w:lang w:val="en-US" w:eastAsia="pl-PL"/>
        </w:rPr>
        <w:t xml:space="preserve"> MRI do 7 Tesla !!!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, wysokość 13,2mm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(12,1mm)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, waga portu 9g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(proponujemy port o wadze 4,9g- port lżejszy zapewnia poczucie komfortu dla pacjenta- parametr lepszy)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membrana silikonowa o średnicy 12mm 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(12,7mm)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komora o objętości 0,5 ml. 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do prowadzenia długotrwałej chemoterapii, z możliwością pobierania krwi, podawania leków i żywienia pozajelitowego, posiadający membranę umożliwiającą do 3000 wkłuć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niewykluczający wykonywania badań TK i MR, z możliwością wspomaganego podawania kontrastu do w/w badań do 325psi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membrana obniżona względem obrzeża portu w celu ułatwienia jej lokalizacji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br/>
        <w:t>- niepodłączony trwale do portu cewnik silikonowy 8,5F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(8F)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o wymiarach: średnica wewnętrzna 1,1mm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(1,6mm)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 średnica zewnętrzna 2,8mm</w:t>
      </w:r>
      <w:r w:rsidRPr="004779D7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(2,6mm)</w:t>
      </w: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 xml:space="preserve">, długość 800mm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(630mm  nadmiar się ucina do implantacji  potrzebne 20 cm )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, z jednej strony zakończony bezigłowym łącznikiem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Luer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, z drugiej strony o zaokrąglonym, atraumatycznym zakończeniu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Zestaw akcesoriów wprowadzających: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- strzykawka 10ml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 xml:space="preserve">- igła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Seldingera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18G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- dwie igły proste G22x30 do przepłukania portu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- drut prowadnik J w podajniku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- dwa łączniki z zabezpieczeniem przeciw załamaniu się cewnika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 xml:space="preserve">- rozszerzacz naczynia z osłonką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rozrywalną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 xml:space="preserve">-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tunelizator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o tępych zakończeniach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br/>
        <w:t>- igłą ze skrzydełkami, drenem oraz zaciskiem G20x20mm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( oferujemy zestaw akcesoriów wprowadzających: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strzykawka 10ml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igła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Seldingera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18G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dwie igły proste G22x30 do przepłukania portu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drut prowadnik J w podajniku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 łącznik z zabezpieczeniem przeciw załamaniu się cewnika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rozszerzacz naczynia z osłonką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rozrywalną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                                                                            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 xml:space="preserve">- </w:t>
      </w:r>
      <w:proofErr w:type="spellStart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>tunelizator</w:t>
      </w:r>
      <w:proofErr w:type="spellEnd"/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t xml:space="preserve"> o tępych zakończeniach</w:t>
      </w:r>
      <w:r w:rsidRPr="004779D7">
        <w:rPr>
          <w:rFonts w:ascii="Cambria" w:eastAsia="Times New Roman" w:hAnsi="Cambria" w:cs="Times New Roman"/>
          <w:b/>
          <w:bCs/>
          <w:color w:val="262626" w:themeColor="text1" w:themeTint="D9"/>
          <w:lang w:eastAsia="pl-PL"/>
        </w:rPr>
        <w:br/>
        <w:t>- igłą ze skrzydełkami, drenem oraz zaciskiem G20x20mm)</w:t>
      </w:r>
    </w:p>
    <w:p w:rsidR="004D7768" w:rsidRPr="004779D7" w:rsidRDefault="004D7768" w:rsidP="008D14C5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4779D7">
        <w:rPr>
          <w:rFonts w:ascii="Cambria" w:eastAsia="Times New Roman" w:hAnsi="Cambria" w:cs="Times New Roman"/>
          <w:color w:val="000000" w:themeColor="text1"/>
          <w:lang w:eastAsia="pl-PL"/>
        </w:rPr>
        <w:t>Każdy port posiada instrukcję w jęz. polskim oraz kartę pacjenta umożliwiającą identyfikację portu.</w:t>
      </w:r>
    </w:p>
    <w:p w:rsidR="004779D7" w:rsidRPr="004779D7" w:rsidRDefault="004779D7" w:rsidP="008D14C5">
      <w:pPr>
        <w:spacing w:after="0" w:line="240" w:lineRule="auto"/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</w:pPr>
      <w:r w:rsidRPr="004779D7">
        <w:rPr>
          <w:rFonts w:ascii="Cambria" w:eastAsia="Times New Roman" w:hAnsi="Cambria" w:cs="Times New Roman"/>
          <w:b/>
          <w:color w:val="262626" w:themeColor="text1" w:themeTint="D9"/>
          <w:lang w:eastAsia="pl-PL"/>
        </w:rPr>
        <w:lastRenderedPageBreak/>
        <w:t>Odp.  Zamawiający podtrzymuje zapisy SWZ.</w:t>
      </w:r>
    </w:p>
    <w:p w:rsidR="008D14C5" w:rsidRDefault="008D14C5" w:rsidP="008D14C5">
      <w:pPr>
        <w:spacing w:after="0" w:line="240" w:lineRule="auto"/>
        <w:jc w:val="both"/>
        <w:rPr>
          <w:rFonts w:ascii="Cambria" w:eastAsia="Times New Roman" w:hAnsi="Cambria" w:cs="Times New Roman"/>
          <w:color w:val="262626" w:themeColor="text1" w:themeTint="D9"/>
          <w:lang w:eastAsia="pl-PL"/>
        </w:rPr>
      </w:pPr>
    </w:p>
    <w:p w:rsidR="004D7768" w:rsidRPr="004779D7" w:rsidRDefault="004D7768" w:rsidP="008D14C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Pytanie 3 Na podstawie art. 99 ust.4 ustawy z dnia 11 września 2019 PZP przedmiot zamówienia nie może zostać opisany w sposób, który mógłby utrudniać uczciwą konkurencję. Opis produktu w pakiecie 34 prowadzi do uprzywilejowania jednego oferenta i wyeliminowania innych wykonawców i produktów. Zamawiający </w:t>
      </w:r>
      <w:proofErr w:type="spellStart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zawężył</w:t>
      </w:r>
      <w:proofErr w:type="spellEnd"/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 xml:space="preserve"> konkurencję w sposób sztuczny, a zatem nie uprawniony i nie ukształtował opisu przedmiotu zamówienia poprzez użycie określeń dotyczących wymagań funkcjonalnych produktu i wydajności p</w:t>
      </w:r>
      <w:r w:rsidR="004779D7"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roduktu. W pakiecie 34 Zamawiają</w:t>
      </w:r>
      <w:r w:rsidRPr="004779D7">
        <w:rPr>
          <w:rFonts w:ascii="Cambria" w:eastAsia="Times New Roman" w:hAnsi="Cambria" w:cs="Times New Roman"/>
          <w:color w:val="262626" w:themeColor="text1" w:themeTint="D9"/>
          <w:lang w:eastAsia="pl-PL"/>
        </w:rPr>
        <w:t>cy opisał produkt precyzyjnie wskazując konkretne charakterystyczne cechy produktu – drobiazgowy opis ( waga, rozmiar, wysokość, długość). W przypadku odpowiedzi odmownej czy Zamawiający wskaże granice równoważności w sposób zachowujący zasady uczciwej konkurencji?</w:t>
      </w:r>
    </w:p>
    <w:p w:rsidR="00A44032" w:rsidRDefault="004779D7" w:rsidP="008D14C5">
      <w:pPr>
        <w:spacing w:after="0" w:line="240" w:lineRule="auto"/>
        <w:jc w:val="both"/>
        <w:rPr>
          <w:rFonts w:ascii="Cambria" w:hAnsi="Cambria"/>
          <w:b/>
        </w:rPr>
      </w:pPr>
      <w:r w:rsidRPr="004779D7">
        <w:rPr>
          <w:rFonts w:ascii="Cambria" w:hAnsi="Cambria"/>
          <w:b/>
        </w:rPr>
        <w:t xml:space="preserve">Odp. </w:t>
      </w:r>
    </w:p>
    <w:p w:rsidR="004779D7" w:rsidRPr="008D45F9" w:rsidRDefault="00A44032" w:rsidP="008D45F9">
      <w:pPr>
        <w:spacing w:before="100" w:beforeAutospacing="1" w:after="100" w:afterAutospacing="1" w:line="240" w:lineRule="auto"/>
        <w:jc w:val="both"/>
        <w:rPr>
          <w:rFonts w:ascii="Cambria" w:hAnsi="Cambria"/>
          <w:b/>
        </w:rPr>
      </w:pPr>
      <w:r w:rsidRPr="008D45F9">
        <w:rPr>
          <w:rFonts w:ascii="Cambria" w:eastAsia="Times New Roman" w:hAnsi="Cambria" w:cs="Times New Roman"/>
          <w:b/>
          <w:lang w:eastAsia="pl-PL"/>
        </w:rPr>
        <w:t>Zamawiający jest uprawniony do opisania przedmiotu zamówienia stosownie do własnych potrzeb, które muszą  być obiektywne i uzasadnione. Zamawiający nie ma prawa opisać przedmiotu zamówienia w sposób, który nie będzie uwzględniał jego obiektywnych potrzeb. Nie ma podstaw do wykładania zasady z</w:t>
      </w:r>
      <w:r w:rsidR="008D45F9">
        <w:rPr>
          <w:rFonts w:ascii="Cambria" w:eastAsia="Times New Roman" w:hAnsi="Cambria" w:cs="Times New Roman"/>
          <w:b/>
          <w:lang w:eastAsia="pl-PL"/>
        </w:rPr>
        <w:t xml:space="preserve">achowania uczciwej konkurencji </w:t>
      </w:r>
      <w:r w:rsidRPr="008D45F9">
        <w:rPr>
          <w:rFonts w:ascii="Cambria" w:eastAsia="Times New Roman" w:hAnsi="Cambria" w:cs="Times New Roman"/>
          <w:b/>
          <w:lang w:eastAsia="pl-PL"/>
        </w:rPr>
        <w:t xml:space="preserve">jako konieczności akceptacji przez zamawiającego każdego świadczenia nawet niezgodnego z uzasadnionymi potrzebami Zamawiającego wyłącznie dlatego, że zamówienie mógłby realizować szerszy krąg wykonawców. </w:t>
      </w:r>
      <w:r w:rsidR="004779D7" w:rsidRPr="008D45F9">
        <w:rPr>
          <w:rFonts w:ascii="Cambria" w:hAnsi="Cambria"/>
          <w:b/>
        </w:rPr>
        <w:t>Cel</w:t>
      </w:r>
      <w:r w:rsidR="00CB5411" w:rsidRPr="008D45F9">
        <w:rPr>
          <w:rFonts w:ascii="Cambria" w:hAnsi="Cambria"/>
          <w:b/>
        </w:rPr>
        <w:t>em Zamawiającego jest</w:t>
      </w:r>
      <w:r w:rsidR="004779D7" w:rsidRPr="008D45F9">
        <w:rPr>
          <w:rFonts w:ascii="Cambria" w:hAnsi="Cambria"/>
          <w:b/>
        </w:rPr>
        <w:t xml:space="preserve"> uzyskanie przedmiotu zamówienia zgodn</w:t>
      </w:r>
      <w:r w:rsidR="005A6ABA" w:rsidRPr="008D45F9">
        <w:rPr>
          <w:rFonts w:ascii="Cambria" w:hAnsi="Cambria"/>
          <w:b/>
        </w:rPr>
        <w:t>ego</w:t>
      </w:r>
      <w:r w:rsidR="004779D7" w:rsidRPr="008D45F9">
        <w:rPr>
          <w:rFonts w:ascii="Cambria" w:hAnsi="Cambria"/>
          <w:b/>
        </w:rPr>
        <w:t xml:space="preserve"> z j</w:t>
      </w:r>
      <w:r w:rsidR="008D45F9" w:rsidRPr="008D45F9">
        <w:rPr>
          <w:rFonts w:ascii="Cambria" w:hAnsi="Cambria"/>
          <w:b/>
        </w:rPr>
        <w:t xml:space="preserve">ego potrzebami, przy określaniu </w:t>
      </w:r>
      <w:r w:rsidR="004779D7" w:rsidRPr="008D45F9">
        <w:rPr>
          <w:rFonts w:ascii="Cambria" w:hAnsi="Cambria"/>
          <w:b/>
        </w:rPr>
        <w:t>któr</w:t>
      </w:r>
      <w:r w:rsidR="008D45F9" w:rsidRPr="008D45F9">
        <w:rPr>
          <w:rFonts w:ascii="Cambria" w:hAnsi="Cambria"/>
          <w:b/>
        </w:rPr>
        <w:t>ych</w:t>
      </w:r>
      <w:r w:rsidR="004779D7" w:rsidRPr="008D45F9">
        <w:rPr>
          <w:rFonts w:ascii="Cambria" w:hAnsi="Cambria"/>
          <w:b/>
        </w:rPr>
        <w:t xml:space="preserve"> kieruje się swoją wiedzą i doświadczeniem</w:t>
      </w:r>
      <w:r w:rsidR="008D45F9" w:rsidRPr="008D45F9">
        <w:rPr>
          <w:rFonts w:ascii="Cambria" w:hAnsi="Cambria"/>
          <w:b/>
        </w:rPr>
        <w:t>, mając na uwadze dobro</w:t>
      </w:r>
      <w:r w:rsidR="004779D7" w:rsidRPr="008D45F9">
        <w:rPr>
          <w:rFonts w:ascii="Cambria" w:hAnsi="Cambria"/>
          <w:b/>
        </w:rPr>
        <w:t xml:space="preserve"> pacjenta</w:t>
      </w:r>
      <w:r w:rsidR="008D45F9" w:rsidRPr="008D45F9">
        <w:rPr>
          <w:rFonts w:ascii="Cambria" w:hAnsi="Cambria"/>
          <w:b/>
        </w:rPr>
        <w:t xml:space="preserve"> oraz</w:t>
      </w:r>
      <w:r w:rsidR="004779D7" w:rsidRPr="008D45F9">
        <w:rPr>
          <w:rFonts w:ascii="Cambria" w:hAnsi="Cambria"/>
          <w:b/>
        </w:rPr>
        <w:t xml:space="preserve"> zagwarantowa</w:t>
      </w:r>
      <w:r w:rsidR="008D45F9" w:rsidRPr="008D45F9">
        <w:rPr>
          <w:rFonts w:ascii="Cambria" w:hAnsi="Cambria"/>
          <w:b/>
        </w:rPr>
        <w:t>nie</w:t>
      </w:r>
      <w:r w:rsidR="004779D7" w:rsidRPr="008D45F9">
        <w:rPr>
          <w:rFonts w:ascii="Cambria" w:hAnsi="Cambria"/>
          <w:b/>
        </w:rPr>
        <w:t xml:space="preserve"> wysoki</w:t>
      </w:r>
      <w:r w:rsidR="008D45F9" w:rsidRPr="008D45F9">
        <w:rPr>
          <w:rFonts w:ascii="Cambria" w:hAnsi="Cambria"/>
          <w:b/>
        </w:rPr>
        <w:t>ego</w:t>
      </w:r>
      <w:r w:rsidR="004779D7" w:rsidRPr="008D45F9">
        <w:rPr>
          <w:rFonts w:ascii="Cambria" w:hAnsi="Cambria"/>
          <w:b/>
        </w:rPr>
        <w:t xml:space="preserve"> standard</w:t>
      </w:r>
      <w:r w:rsidR="008D45F9" w:rsidRPr="008D45F9">
        <w:rPr>
          <w:rFonts w:ascii="Cambria" w:hAnsi="Cambria"/>
          <w:b/>
        </w:rPr>
        <w:t>u</w:t>
      </w:r>
      <w:r w:rsidR="004779D7" w:rsidRPr="008D45F9">
        <w:rPr>
          <w:rFonts w:ascii="Cambria" w:hAnsi="Cambria"/>
          <w:b/>
        </w:rPr>
        <w:t xml:space="preserve"> leczenia.</w:t>
      </w:r>
    </w:p>
    <w:p w:rsidR="008D45F9" w:rsidRPr="008D45F9" w:rsidRDefault="008D45F9" w:rsidP="008D45F9">
      <w:pPr>
        <w:spacing w:before="100" w:beforeAutospacing="1" w:after="100" w:afterAutospacing="1" w:line="240" w:lineRule="auto"/>
        <w:jc w:val="both"/>
        <w:rPr>
          <w:rFonts w:ascii="Cambria" w:hAnsi="Cambria"/>
          <w:b/>
        </w:rPr>
      </w:pPr>
    </w:p>
    <w:p w:rsidR="00A44032" w:rsidRPr="004779D7" w:rsidRDefault="00A44032" w:rsidP="008D14C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B60EA" w:rsidRPr="004779D7" w:rsidRDefault="000B60EA" w:rsidP="009420D4">
      <w:pPr>
        <w:rPr>
          <w:rFonts w:ascii="Cambria" w:hAnsi="Cambria"/>
        </w:rPr>
      </w:pPr>
    </w:p>
    <w:p w:rsidR="00BC4D3F" w:rsidRPr="004779D7" w:rsidRDefault="00BC4D3F" w:rsidP="009420D4">
      <w:bookmarkStart w:id="0" w:name="_GoBack"/>
      <w:bookmarkEnd w:id="0"/>
    </w:p>
    <w:p w:rsidR="00BC4D3F" w:rsidRDefault="00BC4D3F" w:rsidP="009420D4"/>
    <w:p w:rsidR="00837C1E" w:rsidRDefault="00837C1E" w:rsidP="00BC4D3F"/>
    <w:sectPr w:rsidR="00837C1E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76F33"/>
    <w:rsid w:val="000874E1"/>
    <w:rsid w:val="000B60EA"/>
    <w:rsid w:val="0013343A"/>
    <w:rsid w:val="00144BF5"/>
    <w:rsid w:val="0016731F"/>
    <w:rsid w:val="001D10E3"/>
    <w:rsid w:val="00257C6E"/>
    <w:rsid w:val="00382AE5"/>
    <w:rsid w:val="003A6B23"/>
    <w:rsid w:val="003F24C9"/>
    <w:rsid w:val="004779D7"/>
    <w:rsid w:val="004B1D3A"/>
    <w:rsid w:val="004C5D0B"/>
    <w:rsid w:val="004D7768"/>
    <w:rsid w:val="00560E9E"/>
    <w:rsid w:val="005A6ABA"/>
    <w:rsid w:val="00711E76"/>
    <w:rsid w:val="00813856"/>
    <w:rsid w:val="00837C1E"/>
    <w:rsid w:val="008D14C5"/>
    <w:rsid w:val="008D45F9"/>
    <w:rsid w:val="00921BD7"/>
    <w:rsid w:val="0092755E"/>
    <w:rsid w:val="009420D4"/>
    <w:rsid w:val="00A44032"/>
    <w:rsid w:val="00A9379C"/>
    <w:rsid w:val="00AB3743"/>
    <w:rsid w:val="00B002BB"/>
    <w:rsid w:val="00B238D1"/>
    <w:rsid w:val="00B62671"/>
    <w:rsid w:val="00BC4446"/>
    <w:rsid w:val="00BC4D3F"/>
    <w:rsid w:val="00BD46AA"/>
    <w:rsid w:val="00CB5411"/>
    <w:rsid w:val="00CC5842"/>
    <w:rsid w:val="00CE2CB1"/>
    <w:rsid w:val="00D07B41"/>
    <w:rsid w:val="00DC32FA"/>
    <w:rsid w:val="00DD29F3"/>
    <w:rsid w:val="00ED036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D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character" w:customStyle="1" w:styleId="Nagwek3Znak">
    <w:name w:val="Nagłówek 3 Znak"/>
    <w:basedOn w:val="Domylnaczcionkaakapitu"/>
    <w:link w:val="Nagwek3"/>
    <w:uiPriority w:val="9"/>
    <w:rsid w:val="00DD29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D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12</cp:revision>
  <cp:lastPrinted>2023-03-16T09:37:00Z</cp:lastPrinted>
  <dcterms:created xsi:type="dcterms:W3CDTF">2023-03-13T12:54:00Z</dcterms:created>
  <dcterms:modified xsi:type="dcterms:W3CDTF">2023-03-20T13:26:00Z</dcterms:modified>
</cp:coreProperties>
</file>