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ab/>
        <w:tab/>
        <w:tab/>
        <w:tab/>
        <w:t xml:space="preserve">                                     </w:t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Czarnków, dnia 10 </w:t>
      </w:r>
      <w:r>
        <w:rPr>
          <w:b/>
          <w:bCs/>
          <w:sz w:val="24"/>
          <w:szCs w:val="24"/>
          <w:lang w:val="de-DE"/>
        </w:rPr>
        <w:t>l</w:t>
      </w:r>
      <w:r>
        <w:rPr>
          <w:b/>
          <w:bCs/>
          <w:sz w:val="24"/>
          <w:szCs w:val="24"/>
          <w:lang w:val="de-DE"/>
        </w:rPr>
        <w:t xml:space="preserve">ipca 2024 </w:t>
      </w:r>
      <w:r>
        <w:rPr>
          <w:b/>
          <w:bCs/>
          <w:sz w:val="24"/>
          <w:szCs w:val="24"/>
          <w:lang w:val="de-DE"/>
        </w:rPr>
        <w:t>r.</w:t>
      </w:r>
    </w:p>
    <w:p>
      <w:pPr>
        <w:pStyle w:val="Normal"/>
        <w:spacing w:lineRule="auto" w:line="27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Sukcesywne dostawy odczynników wraz z dzierżawą automatycznego analizatora </w:t>
        <w:br/>
        <w:t>parametrów krytycznych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Zespole Zakładów Opieki Zdrowotnej w Czarnkowie” 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>Zespół Zakładów Opieki Zdrowotnej w Czarnkowie zaprasza do złożenia oferty na w postępowaniu prowadzonym</w:t>
        <w:br/>
        <w:t xml:space="preserve">w trybie zapytania ofertowego, którego przedmiotem są </w:t>
      </w:r>
      <w:r>
        <w:rPr>
          <w:b w:val="false"/>
          <w:bCs w:val="false"/>
          <w:sz w:val="22"/>
          <w:szCs w:val="22"/>
        </w:rPr>
        <w:t>„Sukcesywne dostawy odczynników wraz z dzierżawą automatycznego analizatora  parametrów krytycznych</w:t>
      </w:r>
      <w:r>
        <w:rPr>
          <w:b w:val="false"/>
          <w:bCs w:val="false"/>
          <w:i/>
          <w:i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w Zespole Zakładów Opieki Zdrowotnej w Czarnkowie” 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 w:val="false"/>
          <w:bCs w:val="false"/>
          <w:sz w:val="22"/>
          <w:szCs w:val="22"/>
        </w:rPr>
        <w:t xml:space="preserve">Termin wykonania zamówienia w okresie od dnia 01.08.2024 r. do dnia 31.07.2026 r. 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 w:val="false"/>
          <w:bCs w:val="false"/>
          <w:sz w:val="22"/>
          <w:szCs w:val="22"/>
        </w:rPr>
        <w:t>Zamawiający określa zamówienie według Wspólnego słownika Zamówień (CPV):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b w:val="false"/>
          <w:bCs w:val="false"/>
          <w:sz w:val="22"/>
          <w:szCs w:val="22"/>
        </w:rPr>
        <w:t>CPV – 33696500-0 – odczynniki laboratoryjne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b w:val="false"/>
          <w:bCs w:val="false"/>
          <w:sz w:val="22"/>
          <w:szCs w:val="22"/>
        </w:rPr>
        <w:t>CPV – 38434000-6 – analizator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76"/>
        <w:jc w:val="left"/>
        <w:rPr>
          <w:b/>
          <w:bCs/>
        </w:rPr>
      </w:pPr>
      <w:r>
        <w:rPr>
          <w:b/>
          <w:bCs/>
        </w:rPr>
        <w:t>1. Wymagania zamawiającego (Opis Przedmiotu Zamówienia):</w:t>
      </w:r>
    </w:p>
    <w:p>
      <w:pPr>
        <w:pStyle w:val="Normal"/>
        <w:bidi w:val="0"/>
        <w:spacing w:lineRule="auto" w:line="276"/>
        <w:jc w:val="lef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- Wstawienie do dzierżawy:</w:t>
      </w:r>
    </w:p>
    <w:p>
      <w:pPr>
        <w:pStyle w:val="Normal"/>
        <w:bidi w:val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W w:w="106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0"/>
        <w:gridCol w:w="10124"/>
      </w:tblGrid>
      <w:tr>
        <w:trPr>
          <w:trHeight w:val="28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D8CE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8CE" w:val="clea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Analizator parametrów krytycznych szt 1. spełniający poniższe wymagania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Graficzne: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Analizator i jego części po kompleksowym przeglądzie nie starsze niż wyprodukowane w 2018 roku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mierzone: pH, pO2, pCO2, Hct, K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, Na</w:t>
            </w:r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CI</w:t>
            </w:r>
            <w:r>
              <w:rPr>
                <w:sz w:val="22"/>
                <w:szCs w:val="22"/>
                <w:vertAlign w:val="superscript"/>
              </w:rPr>
              <w:t xml:space="preserve">-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/ Ca</w:t>
            </w:r>
            <w:r>
              <w:rPr>
                <w:sz w:val="22"/>
                <w:szCs w:val="22"/>
                <w:vertAlign w:val="superscript"/>
              </w:rPr>
              <w:t>++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wyliczane : HCO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-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, act (aktualne stężenie wodorowęglanów), BE (B nadmiar zawartości zasad we krwi), ctCO</w:t>
            </w:r>
            <w:r>
              <w:rPr>
                <w:sz w:val="22"/>
                <w:szCs w:val="22"/>
                <w:vertAlign w:val="subscript"/>
              </w:rPr>
              <w:t xml:space="preserve">2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(całkowita zawartość dwutlenku węgla), 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SAT (wysycenie hemoglobiny tlenem); AnGap (luka anionowa)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Objętość próbki dla całego panelu badań nie nie większa niż 95 </w:t>
            </w:r>
            <w:r>
              <w:rPr>
                <w:rFonts w:eastAsia="Times New Roman" w:cs="Times New Roman"/>
                <w:sz w:val="22"/>
                <w:szCs w:val="22"/>
              </w:rPr>
              <w:t>µl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Opcja automatycznej mikropróbki (objętość max 50 </w:t>
            </w:r>
            <w:r>
              <w:rPr>
                <w:rFonts w:eastAsia="Times New Roman" w:cs="Times New Roman"/>
                <w:sz w:val="22"/>
                <w:szCs w:val="22"/>
              </w:rPr>
              <w:t>µ</w:t>
            </w:r>
            <w:r>
              <w:rPr>
                <w:sz w:val="22"/>
                <w:szCs w:val="22"/>
              </w:rPr>
              <w:t>l)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oznaczania we krwi pełnej i płynach dializacyjnych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Podawanie próbek bez adapterów, bezpośrednio ze strzykawek i kapilar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Detektor pęcherzyków powietrza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Widoczny, podświetlany pojedynczy tor pomiarowy próbki z jedną elektrodą referencyjną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manualnego przesuwu próbki w torze pomiarowym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wpisania szczegółowych danych demograficznych pacjenta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Automatyczna kalibracja jedno i dwupunktowa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Gazy kalibracyjne w butlach wbudowanych w aparat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Elektrody niewymagające wymiany membrany, wymienne oddzielnie, zależne od zużycia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Odczynniki barwione, pozwalające na łatwą obserwację ich poziomu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wymiany odczynników i elektrod pomiędzy aparatami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Każdy odczynnik konfekcjonowany w oddzielne opakowanie umożliwiające wymianę w zależności od zużycia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w języku polskim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Zewnętrzny czytnik kodów kreskowych i wbudowana drukarka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Bezpłatna instalacja i szkolenie dotyczące obsługi analizatora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Dostarczenie podczas instalacji oryginalnej instrukcji obsługi w języku polskim ( ewentualnie tłumaczenie)</w:t>
            </w:r>
          </w:p>
        </w:tc>
      </w:tr>
    </w:tbl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2"/>
          <w:szCs w:val="22"/>
        </w:rPr>
        <w:t>zapewnienia bezpłatnego serwisu analizatora w okresie obowiązywania umowy,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dostarczenia wraz z analizatorem bezpłatnego pakietu startowego,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włączenia   analizatora  w system informatyczny  funkcjonujący w ZZOZ Czarnków – ESCULAP NT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przeszkolenia  personelu w zakresie jego obsługi</w:t>
      </w:r>
    </w:p>
    <w:p>
      <w:pPr>
        <w:pStyle w:val="Normal"/>
        <w:rPr/>
      </w:pPr>
      <w:r>
        <w:rPr>
          <w:sz w:val="22"/>
          <w:szCs w:val="22"/>
        </w:rPr>
        <w:t xml:space="preserve">Analizator powinien być  zainstalowany  w Laboratorium Zamawiającego  najpóźniej  w dniu </w:t>
      </w:r>
      <w:r>
        <w:rPr>
          <w:sz w:val="22"/>
          <w:szCs w:val="22"/>
          <w:shd w:fill="auto" w:val="clear"/>
        </w:rPr>
        <w:t>21.08.2024 r.</w:t>
      </w:r>
    </w:p>
    <w:p>
      <w:pPr>
        <w:pStyle w:val="Normal"/>
        <w:keepNext w:val="true"/>
        <w:numPr>
          <w:ilvl w:val="0"/>
          <w:numId w:val="0"/>
        </w:numPr>
        <w:spacing w:before="120" w:after="0"/>
        <w:ind w:hanging="0" w:left="0"/>
        <w:jc w:val="both"/>
        <w:outlineLvl w:val="3"/>
        <w:rPr>
          <w:b/>
          <w:i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Odczynniki</w:t>
      </w:r>
    </w:p>
    <w:p>
      <w:pPr>
        <w:pStyle w:val="Normal"/>
        <w:ind w:hanging="0" w:left="708"/>
        <w:rPr>
          <w:sz w:val="22"/>
          <w:szCs w:val="22"/>
        </w:rPr>
      </w:pPr>
      <w:r>
        <w:rPr>
          <w:sz w:val="22"/>
          <w:szCs w:val="22"/>
        </w:rPr>
        <w:t>Zamawiający wymaga:</w:t>
      </w:r>
    </w:p>
    <w:p>
      <w:pPr>
        <w:pStyle w:val="Normal"/>
        <w:numPr>
          <w:ilvl w:val="0"/>
          <w:numId w:val="2"/>
        </w:numPr>
        <w:ind w:hanging="360" w:left="1416"/>
        <w:rPr>
          <w:sz w:val="22"/>
          <w:szCs w:val="22"/>
        </w:rPr>
      </w:pPr>
      <w:r>
        <w:rPr>
          <w:sz w:val="22"/>
          <w:szCs w:val="22"/>
        </w:rPr>
        <w:t>dostarczenia odczynników w postaci gotowej do użycia,</w:t>
      </w:r>
    </w:p>
    <w:p>
      <w:pPr>
        <w:pStyle w:val="Normal"/>
        <w:numPr>
          <w:ilvl w:val="0"/>
          <w:numId w:val="2"/>
        </w:numPr>
        <w:ind w:hanging="360" w:left="1416"/>
        <w:rPr>
          <w:sz w:val="22"/>
          <w:szCs w:val="22"/>
        </w:rPr>
      </w:pPr>
      <w:r>
        <w:rPr>
          <w:sz w:val="22"/>
          <w:szCs w:val="22"/>
        </w:rPr>
        <w:t>określenia czasu ważności odczynników po otwarciu opakowania</w:t>
      </w:r>
      <w:r>
        <w:rPr>
          <w:sz w:val="28"/>
        </w:rPr>
        <w:t>.</w:t>
      </w:r>
    </w:p>
    <w:p>
      <w:pPr>
        <w:pStyle w:val="Normal"/>
        <w:numPr>
          <w:ilvl w:val="0"/>
          <w:numId w:val="2"/>
        </w:numPr>
        <w:ind w:hanging="360" w:left="1416"/>
        <w:rPr>
          <w:sz w:val="22"/>
          <w:szCs w:val="22"/>
        </w:rPr>
      </w:pPr>
      <w:r>
        <w:rPr>
          <w:sz w:val="22"/>
          <w:szCs w:val="22"/>
        </w:rPr>
        <w:t>do  ilości badań należy doliczyć ilość  badań kontrolnych na  jednym poziomie   siedem razy w tygodniu.</w:t>
      </w:r>
    </w:p>
    <w:p>
      <w:pPr>
        <w:pStyle w:val="Normal"/>
        <w:ind w:left="360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0"/>
          <w:szCs w:val="20"/>
        </w:rPr>
        <w:t>W celu złożenia  oferty  należy  dostarczyć: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0"/>
          <w:szCs w:val="20"/>
        </w:rPr>
        <w:t>Aktualne dokumenty rejestrowe firmy wraz ze wskazaniem osób  upoważnionych do reprezentowania  firmy</w:t>
      </w:r>
    </w:p>
    <w:p>
      <w:pPr>
        <w:pStyle w:val="Normal"/>
        <w:numPr>
          <w:ilvl w:val="0"/>
          <w:numId w:val="3"/>
        </w:numPr>
        <w:rPr/>
      </w:pPr>
      <w:r>
        <w:rPr>
          <w:sz w:val="20"/>
          <w:szCs w:val="20"/>
        </w:rPr>
        <w:t>Opis analizatora  przeznaczonego do realizacji  zadania wraz  z dokumentami uprawniającymi  sprzęt   do wykorzystania   w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sz w:val="20"/>
          <w:szCs w:val="20"/>
        </w:rPr>
        <w:t>podmiotowym postępowaniu.</w:t>
      </w:r>
    </w:p>
    <w:p>
      <w:pPr>
        <w:pStyle w:val="Normal"/>
        <w:numPr>
          <w:ilvl w:val="0"/>
          <w:numId w:val="3"/>
        </w:numPr>
        <w:rPr/>
      </w:pPr>
      <w:r>
        <w:rPr>
          <w:rFonts w:cs="Times New Roman"/>
          <w:color w:val="000000"/>
          <w:sz w:val="20"/>
          <w:szCs w:val="20"/>
        </w:rPr>
        <w:t>Oświadczenie  dot.  warunków płatności -    termin płatności nie krótszy niż  60 dni od dnia  przedstawienia zamawiającemu  poprawnej pod względem  formalnym i merytorycznym  faktury</w:t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20"/>
          <w:szCs w:val="20"/>
        </w:rPr>
        <w:t>Oświadczenie o  terminie realizacji zamówienia, które będą realizowane od poniedziałku do piątku w godzinach 8</w:t>
      </w:r>
      <w:r>
        <w:rPr>
          <w:color w:val="000000"/>
          <w:sz w:val="20"/>
          <w:szCs w:val="20"/>
          <w:vertAlign w:val="superscript"/>
        </w:rPr>
        <w:t xml:space="preserve">00 </w:t>
      </w:r>
      <w:r>
        <w:rPr>
          <w:color w:val="000000"/>
          <w:position w:val="0"/>
          <w:sz w:val="20"/>
          <w:sz w:val="20"/>
          <w:szCs w:val="20"/>
          <w:vertAlign w:val="baseline"/>
        </w:rPr>
        <w:t>do 14</w:t>
      </w:r>
      <w:r>
        <w:rPr>
          <w:color w:val="000000"/>
          <w:sz w:val="20"/>
          <w:szCs w:val="20"/>
          <w:vertAlign w:val="superscript"/>
        </w:rPr>
        <w:t xml:space="preserve">00 </w:t>
      </w:r>
      <w:r>
        <w:rPr>
          <w:color w:val="000000"/>
          <w:position w:val="0"/>
          <w:sz w:val="20"/>
          <w:sz w:val="20"/>
          <w:szCs w:val="20"/>
          <w:vertAlign w:val="baseline"/>
        </w:rPr>
        <w:t xml:space="preserve">za wyjątkiem dni ustawowo wolnych od pracy oraz dni wolnych u zamawiającego. Realizacja powinna odbyć się w ciągu 5 dni od daty złożenia zamówienia. </w:t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20"/>
          <w:szCs w:val="20"/>
        </w:rPr>
        <w:t>Oświadczenie  dot. potwierdzenia  zakresu  zamówienia. (opisu przedmiotu zamówienia)</w:t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20"/>
          <w:szCs w:val="20"/>
        </w:rPr>
        <w:t>Druk oferty wg poniższego wzoru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Formularz Asortymentowo cenowy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0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0"/>
        <w:gridCol w:w="1501"/>
        <w:gridCol w:w="1060"/>
        <w:gridCol w:w="1058"/>
        <w:gridCol w:w="1062"/>
        <w:gridCol w:w="1062"/>
        <w:gridCol w:w="1057"/>
        <w:gridCol w:w="1060"/>
        <w:gridCol w:w="1060"/>
        <w:gridCol w:w="1066"/>
      </w:tblGrid>
      <w:tr>
        <w:trPr>
          <w:trHeight w:val="70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Nazwa artykułu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J.m.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netto jednego opakowania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Wartość netto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Kwota podatku VAT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brutto jednego opakowania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Wartość brutto</w:t>
            </w:r>
          </w:p>
        </w:tc>
      </w:tr>
      <w:tr>
        <w:trPr>
          <w:trHeight w:val="25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  <w:sz w:val="14"/>
                <w:szCs w:val="14"/>
                <w:highlight w:val="none"/>
                <w:shd w:fill="FFFF00" w:val="clear"/>
              </w:rPr>
            </w:pPr>
            <w:r>
              <w:rPr>
                <w:b/>
                <w:bCs/>
                <w:sz w:val="14"/>
                <w:szCs w:val="14"/>
                <w:shd w:fill="FFFF00" w:val="clear"/>
              </w:rPr>
              <w:t>Ilość oznaczeń 8500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94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Zestaw odczynników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3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2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9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7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Kontrole Poziom 1, 2, 3,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1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DZIERŻAWA AUTOMATYCZNEGO ANALIZATORA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miesięcznie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99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Części zużywalne do dzierżawionego analizatora</w:t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7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7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(...)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56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RAZEM: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1" w:hRule="atLeast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podatek VAT: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   zł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7" w:hRule="atLeast"/>
        </w:trPr>
        <w:tc>
          <w:tcPr>
            <w:tcW w:w="10606" w:type="dxa"/>
            <w:gridSpan w:val="10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Uwaga: W formularzu cenowym w ilościach należy podać w poszczególnych wersach wartości dopasowane do wykonywania 8 500 oznaczeń w okresie umowy z uwzględnieniem bezpłatnego pakietu startowego umieszczonego</w:t>
              <w:br/>
              <w:t>w analizatorze.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43" w:right="0"/>
        <w:rPr/>
      </w:pPr>
      <w:r>
        <w:rPr>
          <w:b/>
          <w:sz w:val="20"/>
          <w:szCs w:val="20"/>
        </w:rPr>
        <w:t xml:space="preserve">Netto: </w:t>
      </w:r>
      <w:r>
        <w:rPr>
          <w:sz w:val="20"/>
          <w:szCs w:val="20"/>
        </w:rPr>
        <w:t xml:space="preserve">.............................................. (słownie):..............................................................................................................................................  </w:t>
      </w:r>
    </w:p>
    <w:p>
      <w:pPr>
        <w:pStyle w:val="Normal"/>
        <w:ind w:left="643" w:right="0"/>
        <w:rPr>
          <w:sz w:val="20"/>
          <w:szCs w:val="20"/>
        </w:rPr>
      </w:pPr>
      <w:r>
        <w:rPr>
          <w:sz w:val="20"/>
          <w:szCs w:val="20"/>
        </w:rPr>
        <w:t>plus …….........% podatku VAT w kwocie ……................................................. …….................................... , czyli cena ofertowa wynosi:</w:t>
      </w:r>
    </w:p>
    <w:p>
      <w:pPr>
        <w:pStyle w:val="BodyText"/>
        <w:spacing w:before="0" w:after="60"/>
        <w:ind w:left="643" w:right="0"/>
        <w:jc w:val="left"/>
        <w:rPr/>
      </w:pPr>
      <w:r>
        <w:rPr>
          <w:b/>
          <w:sz w:val="20"/>
          <w:szCs w:val="20"/>
        </w:rPr>
        <w:t>brutto:</w:t>
      </w:r>
      <w:r>
        <w:rPr>
          <w:sz w:val="20"/>
          <w:szCs w:val="20"/>
        </w:rPr>
        <w:t xml:space="preserve"> ............................................., słownie: ..............................................…............................................................................................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3. Wymagania dodatkowe: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3.1.</w:t>
      </w:r>
      <w:r>
        <w:rPr/>
        <w:t xml:space="preserve"> Cena złożona w ofercie przez Zamawiającego powinna obejmować wszystkie koszty związane</w:t>
        <w:br/>
        <w:t>z wykonaniem całości zamówienia.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3.2. Ostateczny termin składania ofert:</w:t>
      </w:r>
      <w:r>
        <w:rPr/>
        <w:t xml:space="preserve"> do </w:t>
      </w:r>
      <w:r>
        <w:rPr>
          <w:shd w:fill="FFFF00" w:val="clear"/>
        </w:rPr>
        <w:t>16 lipca 2024r.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3.3. Termin realizacji: 24 miesiące (01.08.2024 – 31.07.2026)</w:t>
      </w:r>
    </w:p>
    <w:p>
      <w:pPr>
        <w:pStyle w:val="Normal"/>
        <w:bidi w:val="0"/>
        <w:jc w:val="both"/>
        <w:rPr/>
      </w:pPr>
      <w:r>
        <w:rPr/>
        <w:t>3.4. Zamawiający zastrzega sobie prawo unieważnienie postępowania bez podania przyczyny, jeżeli wystąpiły okoliczności powodujące, że dalsze prowadzenie postępowania lub udzielenie i wykonanie zamówienia jest nieuzasadnione lub nie leży w interesie publicznym, czego nie można było wcześniej przewidzieć.</w:t>
      </w:r>
    </w:p>
    <w:p>
      <w:pPr>
        <w:pStyle w:val="Normal"/>
        <w:bidi w:val="0"/>
        <w:jc w:val="both"/>
        <w:rPr/>
      </w:pPr>
      <w:r>
        <w:rPr/>
        <w:t xml:space="preserve">UWAGA: Pod uwagę będą brane oferty złożone tylko i wyłączenie w postępowaniu prowadzonym na </w:t>
      </w:r>
      <w:r>
        <w:rPr>
          <w:rStyle w:val="Hyperlink"/>
        </w:rPr>
        <w:t>www.platformazakupowa.pl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sectPr>
      <w:footerReference w:type="default" r:id="rId3"/>
      <w:type w:val="nextPage"/>
      <w:pgSz w:w="11906" w:h="16838"/>
      <w:pgMar w:left="567" w:right="567" w:gutter="0" w:header="0" w:top="567" w:footer="567" w:bottom="18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rebuchet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Sporządził: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Paulina Kubiś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Times New Roman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2">
    <w:name w:val="WW8Num12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Application>LibreOffice/7.6.4.1$Windows_X86_64 LibreOffice_project/e19e193f88cd6c0525a17fb7a176ed8e6a3e2aa1</Application>
  <AppVersion>15.0000</AppVersion>
  <Pages>3</Pages>
  <Words>750</Words>
  <Characters>5423</Characters>
  <CharactersWithSpaces>6162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2024-07-08T12:48:10Z</cp:lastPrinted>
  <dcterms:modified xsi:type="dcterms:W3CDTF">2024-07-10T11:44:18Z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