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112E" w14:textId="77777777" w:rsidR="00065569" w:rsidRPr="00487A93" w:rsidRDefault="00A45117" w:rsidP="00065569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76E59575">
                <wp:simplePos x="0" y="0"/>
                <wp:positionH relativeFrom="column">
                  <wp:posOffset>-3810</wp:posOffset>
                </wp:positionH>
                <wp:positionV relativeFrom="paragraph">
                  <wp:posOffset>278130</wp:posOffset>
                </wp:positionV>
                <wp:extent cx="6010275" cy="2057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1.9pt;width:473.2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8F3E5" w14:textId="77777777" w:rsidR="00C10966" w:rsidRPr="0024364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592C47B" w14:textId="3CDCDDEB" w:rsidR="002B3F8E" w:rsidRPr="002F3D8B" w:rsidRDefault="005F40DC" w:rsidP="00547727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547727">
        <w:t xml:space="preserve">wykonanie przebudowy sieci wodociągowej azbestocementowej </w:t>
      </w:r>
      <w:r w:rsidR="00547727">
        <w:br/>
        <w:t>w ul. Bogumiła i Barbary  w formule zaprojektuj – wybuduj</w:t>
      </w:r>
      <w:r w:rsidR="0020596F">
        <w:t xml:space="preserve"> o łącznej długości do 1,0km</w:t>
      </w:r>
      <w:r w:rsidR="00547727">
        <w:t>.</w:t>
      </w:r>
    </w:p>
    <w:p w14:paraId="6A5CC0E1" w14:textId="1726E72D" w:rsidR="00151456" w:rsidRPr="00547727" w:rsidRDefault="00151456" w:rsidP="0036126D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 xml:space="preserve">Postępowanie prowadzone będzie w trybie zapytania ofertowego zgodnie </w:t>
      </w:r>
      <w:r w:rsidR="00A36DFE" w:rsidRPr="00547727">
        <w:rPr>
          <w:rFonts w:ascii="Times New Roman" w:hAnsi="Times New Roman"/>
          <w:sz w:val="24"/>
          <w:szCs w:val="24"/>
        </w:rPr>
        <w:t xml:space="preserve">z </w:t>
      </w:r>
      <w:r w:rsidR="00A17C6D" w:rsidRPr="00547727">
        <w:rPr>
          <w:rFonts w:ascii="Segoe UI Semilight" w:hAnsi="Segoe UI Semilight" w:cs="Segoe UI Semilight"/>
          <w:sz w:val="24"/>
          <w:szCs w:val="24"/>
        </w:rPr>
        <w:t>§</w:t>
      </w:r>
      <w:r w:rsidR="00A17C6D" w:rsidRPr="00547727">
        <w:rPr>
          <w:rFonts w:ascii="Times New Roman" w:hAnsi="Times New Roman"/>
          <w:sz w:val="24"/>
          <w:szCs w:val="24"/>
        </w:rPr>
        <w:t xml:space="preserve">5 pkt. II </w:t>
      </w:r>
      <w:r w:rsidRPr="00547727">
        <w:rPr>
          <w:rFonts w:ascii="Times New Roman" w:hAnsi="Times New Roman"/>
          <w:sz w:val="24"/>
          <w:szCs w:val="24"/>
        </w:rPr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152C533" w14:textId="77777777" w:rsidR="00E773CE" w:rsidRDefault="00547727" w:rsidP="00E773CE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773CE">
        <w:rPr>
          <w:rFonts w:ascii="Times New Roman" w:hAnsi="Times New Roman"/>
          <w:sz w:val="24"/>
          <w:szCs w:val="24"/>
        </w:rPr>
        <w:t xml:space="preserve">Wykonanie </w:t>
      </w:r>
      <w:r w:rsidR="00E773CE" w:rsidRPr="00E773CE">
        <w:rPr>
          <w:rFonts w:ascii="Times New Roman" w:hAnsi="Times New Roman"/>
          <w:sz w:val="24"/>
          <w:szCs w:val="24"/>
        </w:rPr>
        <w:t>projektu budowlanego</w:t>
      </w:r>
      <w:r w:rsidRPr="00E773CE">
        <w:rPr>
          <w:rFonts w:ascii="Times New Roman" w:hAnsi="Times New Roman"/>
          <w:sz w:val="24"/>
          <w:szCs w:val="24"/>
        </w:rPr>
        <w:t xml:space="preserve"> przebudowy po trasie istniejącej sieci wodociągowej azbestocementowej w ul. Bogumiła i Barbary.</w:t>
      </w:r>
      <w:r w:rsidR="00E773CE" w:rsidRPr="00E773CE">
        <w:t xml:space="preserve"> </w:t>
      </w:r>
      <w:r w:rsidR="00E773CE" w:rsidRPr="00E773CE">
        <w:rPr>
          <w:rFonts w:ascii="Times New Roman" w:hAnsi="Times New Roman"/>
          <w:sz w:val="24"/>
          <w:szCs w:val="24"/>
        </w:rPr>
        <w:t xml:space="preserve">W projekcie należy przewidzieć węzły hydrantowe, które należy zlokalizować w miarę możliwości poza pasem ruchu i pełne węzły, które będą przewidywać obustronne i trójstronne odcięcie w miejscach włączenia wodociągów tj. ul. Młynarska, ul. </w:t>
      </w:r>
      <w:proofErr w:type="spellStart"/>
      <w:r w:rsidR="00E773CE" w:rsidRPr="00E773CE">
        <w:rPr>
          <w:rFonts w:ascii="Times New Roman" w:hAnsi="Times New Roman"/>
          <w:sz w:val="24"/>
          <w:szCs w:val="24"/>
        </w:rPr>
        <w:t>Serbinowska</w:t>
      </w:r>
      <w:proofErr w:type="spellEnd"/>
      <w:r w:rsidR="00E773CE" w:rsidRPr="00E773CE">
        <w:rPr>
          <w:rFonts w:ascii="Times New Roman" w:hAnsi="Times New Roman"/>
          <w:sz w:val="24"/>
          <w:szCs w:val="24"/>
        </w:rPr>
        <w:t>, ul. Marii Dąbrowskiej, Bogumiła i Barbary – 3szt.</w:t>
      </w:r>
      <w:r w:rsidR="00E773CE" w:rsidRPr="00E773CE">
        <w:rPr>
          <w:rFonts w:ascii="Times New Roman" w:hAnsi="Times New Roman"/>
          <w:sz w:val="24"/>
          <w:szCs w:val="24"/>
        </w:rPr>
        <w:t xml:space="preserve">, wykonanie </w:t>
      </w:r>
      <w:r w:rsidR="00E773CE" w:rsidRPr="00E773CE">
        <w:rPr>
          <w:rFonts w:ascii="Times New Roman" w:hAnsi="Times New Roman"/>
          <w:sz w:val="24"/>
          <w:szCs w:val="24"/>
        </w:rPr>
        <w:t>przełącze</w:t>
      </w:r>
      <w:r w:rsidR="00E773CE">
        <w:rPr>
          <w:rFonts w:ascii="Times New Roman" w:hAnsi="Times New Roman"/>
          <w:sz w:val="24"/>
          <w:szCs w:val="24"/>
        </w:rPr>
        <w:t>ń</w:t>
      </w:r>
      <w:r w:rsidR="00E773CE" w:rsidRPr="00E773CE">
        <w:rPr>
          <w:rFonts w:ascii="Times New Roman" w:hAnsi="Times New Roman"/>
          <w:sz w:val="24"/>
          <w:szCs w:val="24"/>
        </w:rPr>
        <w:t xml:space="preserve"> istniejących przyłączy wody na nowobudowany wodociąg – 35szt.</w:t>
      </w:r>
    </w:p>
    <w:p w14:paraId="26D1C13B" w14:textId="1CAFDA34" w:rsidR="00547727" w:rsidRPr="00E773CE" w:rsidRDefault="00547727" w:rsidP="00E773CE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773CE">
        <w:rPr>
          <w:rFonts w:ascii="Times New Roman" w:hAnsi="Times New Roman"/>
          <w:sz w:val="24"/>
          <w:szCs w:val="24"/>
        </w:rPr>
        <w:t>Wykonanie mapy do celów projektowych.</w:t>
      </w:r>
    </w:p>
    <w:p w14:paraId="7E44126B" w14:textId="77777777" w:rsidR="00547727" w:rsidRPr="00547727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 xml:space="preserve">Uzyskanie wszystkich wymaganych uzgodnień </w:t>
      </w:r>
      <w:proofErr w:type="spellStart"/>
      <w:r w:rsidRPr="00547727">
        <w:rPr>
          <w:rFonts w:ascii="Times New Roman" w:hAnsi="Times New Roman"/>
          <w:sz w:val="24"/>
          <w:szCs w:val="24"/>
        </w:rPr>
        <w:t>formalno</w:t>
      </w:r>
      <w:proofErr w:type="spellEnd"/>
      <w:r w:rsidRPr="00547727">
        <w:rPr>
          <w:rFonts w:ascii="Times New Roman" w:hAnsi="Times New Roman"/>
          <w:sz w:val="24"/>
          <w:szCs w:val="24"/>
        </w:rPr>
        <w:t xml:space="preserve"> – prawnych tj. Decyzji ZDM w Kaliszu, Pozwolenia WUOZ w Kaliszu, zgód na dysponowanie terenem na cele budowlane, decyzji o lokalizacji celu publicznego (w razie konieczności).</w:t>
      </w:r>
    </w:p>
    <w:p w14:paraId="14839519" w14:textId="5738DDE4" w:rsidR="00547727" w:rsidRPr="00547727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 xml:space="preserve">Przygotowanie dokumentów umożliwiających złożenie przez Inwestora wniosku </w:t>
      </w:r>
      <w:r w:rsidR="008D2CA7">
        <w:rPr>
          <w:rFonts w:ascii="Times New Roman" w:hAnsi="Times New Roman"/>
          <w:sz w:val="24"/>
          <w:szCs w:val="24"/>
        </w:rPr>
        <w:br/>
      </w:r>
      <w:r w:rsidRPr="00547727">
        <w:rPr>
          <w:rFonts w:ascii="Times New Roman" w:hAnsi="Times New Roman"/>
          <w:sz w:val="24"/>
          <w:szCs w:val="24"/>
        </w:rPr>
        <w:t>o pozwolenie na budowę lub zgłoszenie budowy wykonywanych robót budowlanych niewymagających pozwolenia na budowę</w:t>
      </w:r>
      <w:r w:rsidR="008D2CA7">
        <w:rPr>
          <w:rFonts w:ascii="Times New Roman" w:hAnsi="Times New Roman"/>
          <w:sz w:val="24"/>
          <w:szCs w:val="24"/>
        </w:rPr>
        <w:t>.</w:t>
      </w:r>
    </w:p>
    <w:p w14:paraId="16FBAE3C" w14:textId="77777777" w:rsidR="00547727" w:rsidRPr="00547727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 xml:space="preserve">Wykonanie i uzgodnienie w ZDM w Kaliszu projektu odtworzenia nawierzchni </w:t>
      </w:r>
      <w:r w:rsidRPr="00547727">
        <w:rPr>
          <w:rFonts w:ascii="Times New Roman" w:hAnsi="Times New Roman"/>
          <w:sz w:val="24"/>
          <w:szCs w:val="24"/>
        </w:rPr>
        <w:br/>
        <w:t>i projektu organizacji ruchu na czas prowadzenia robót i odtworzenia nawierzchni.</w:t>
      </w:r>
    </w:p>
    <w:p w14:paraId="59E83C3A" w14:textId="05D2D4F6" w:rsidR="00547727" w:rsidRPr="00E773CE" w:rsidRDefault="00E773CE" w:rsidP="00E773C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techniczne projektowanej sieci:</w:t>
      </w:r>
      <w:r w:rsidR="00547727" w:rsidRPr="00547727">
        <w:rPr>
          <w:rFonts w:ascii="Times New Roman" w:hAnsi="Times New Roman"/>
          <w:sz w:val="24"/>
          <w:szCs w:val="24"/>
        </w:rPr>
        <w:t xml:space="preserve"> Materiał: PE 100RC SDR 17 PN10 Dz180x10,7mm o długości ok. 850m  i Dz125x7,4mm PE100RC SDR17 o długości</w:t>
      </w:r>
      <w:r>
        <w:rPr>
          <w:rFonts w:ascii="Times New Roman" w:hAnsi="Times New Roman"/>
          <w:sz w:val="24"/>
          <w:szCs w:val="24"/>
        </w:rPr>
        <w:t xml:space="preserve"> ok</w:t>
      </w:r>
      <w:r w:rsidR="00547727" w:rsidRPr="00547727">
        <w:rPr>
          <w:rFonts w:ascii="Times New Roman" w:hAnsi="Times New Roman"/>
          <w:sz w:val="24"/>
          <w:szCs w:val="24"/>
        </w:rPr>
        <w:t xml:space="preserve"> 100m – zgodnie z opracowaną i zatwierdzoną przez </w:t>
      </w:r>
      <w:proofErr w:type="spellStart"/>
      <w:r w:rsidR="00547727" w:rsidRPr="00547727">
        <w:rPr>
          <w:rFonts w:ascii="Times New Roman" w:hAnsi="Times New Roman"/>
          <w:sz w:val="24"/>
          <w:szCs w:val="24"/>
        </w:rPr>
        <w:t>PWiK</w:t>
      </w:r>
      <w:proofErr w:type="spellEnd"/>
      <w:r w:rsidR="00547727" w:rsidRPr="00547727">
        <w:rPr>
          <w:rFonts w:ascii="Times New Roman" w:hAnsi="Times New Roman"/>
          <w:sz w:val="24"/>
          <w:szCs w:val="24"/>
        </w:rPr>
        <w:t xml:space="preserve"> Spółka z o.o. z/s w Kaliszu</w:t>
      </w:r>
      <w:r w:rsidR="008D2CA7">
        <w:rPr>
          <w:rFonts w:ascii="Times New Roman" w:hAnsi="Times New Roman"/>
          <w:sz w:val="24"/>
          <w:szCs w:val="24"/>
        </w:rPr>
        <w:t>.</w:t>
      </w:r>
    </w:p>
    <w:p w14:paraId="3D5B5D94" w14:textId="77777777" w:rsidR="00547727" w:rsidRPr="00547727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>Wykonanie odtworzenia nawierzchni zgodnie z opracowanym i zatwierdzonym projektem odtworzenia nawierzchni i decyzją ZDM w Kaliszu.</w:t>
      </w:r>
    </w:p>
    <w:p w14:paraId="7521CECE" w14:textId="6D35E69D" w:rsidR="00547727" w:rsidRPr="00547727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>Uzyskanie protokołu odbioru pasa drogowego  ZDM w Kalisz oraz innych właścicieli terenów, na których będzie realizowana inwestycja.</w:t>
      </w:r>
    </w:p>
    <w:p w14:paraId="50007587" w14:textId="4D235D24" w:rsidR="00547727" w:rsidRPr="0020596F" w:rsidRDefault="00547727" w:rsidP="0020596F">
      <w:pPr>
        <w:widowControl w:val="0"/>
        <w:numPr>
          <w:ilvl w:val="0"/>
          <w:numId w:val="2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>Wykonanie inwentaryzacji powykonawczej sieci wodociągowej.</w:t>
      </w:r>
    </w:p>
    <w:p w14:paraId="14B455A3" w14:textId="23904047" w:rsidR="00284778" w:rsidRPr="00284778" w:rsidRDefault="003A4138" w:rsidP="00411B05">
      <w:pPr>
        <w:widowControl w:val="0"/>
        <w:spacing w:after="120" w:line="240" w:lineRule="auto"/>
        <w:ind w:left="567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</w:t>
      </w:r>
      <w:r w:rsidR="006646BB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y:</w:t>
      </w:r>
    </w:p>
    <w:p w14:paraId="65461804" w14:textId="0AEF1DBF" w:rsidR="00284778" w:rsidRPr="00284778" w:rsidRDefault="006646BB" w:rsidP="00411B0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134" w:hanging="567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0" w:name="_Hlk66966839"/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Przekazywanie w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szystki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ch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uzgodnie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ń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na bieżąco Zamawiającemu.</w:t>
      </w:r>
    </w:p>
    <w:p w14:paraId="4D144E6F" w14:textId="51A37EF6" w:rsidR="00284778" w:rsidRPr="00284778" w:rsidRDefault="00BB5013" w:rsidP="00411B05">
      <w:pPr>
        <w:widowControl w:val="0"/>
        <w:numPr>
          <w:ilvl w:val="0"/>
          <w:numId w:val="3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Skompletowanie i p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rzekazani</w:t>
      </w:r>
      <w:r w:rsidR="0020596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e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do </w:t>
      </w:r>
      <w:r w:rsidR="0020596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ostatecznego 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zatwierdzenia Zamawiającemu d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okumentacj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i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projektow</w:t>
      </w:r>
      <w:r w:rsidR="0020596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ej</w:t>
      </w:r>
      <w:r w:rsidR="00284778"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przed rozpoczęciem robót budowlanych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.</w:t>
      </w:r>
    </w:p>
    <w:p w14:paraId="1E064CE6" w14:textId="2822D060" w:rsidR="00DF1176" w:rsidRPr="00284778" w:rsidRDefault="00DF1176" w:rsidP="00DF1176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Prowadzenie prac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przy zapewnieniu ciągłości dostaw wody dla odbiorców.</w:t>
      </w:r>
    </w:p>
    <w:p w14:paraId="22630D0B" w14:textId="63BF9CCD" w:rsidR="0090265D" w:rsidRPr="00BB5013" w:rsidRDefault="00DF1176" w:rsidP="00BB5013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bookmarkEnd w:id="0"/>
    <w:p w14:paraId="7DDE22AC" w14:textId="77777777" w:rsidR="009756C4" w:rsidRDefault="009756C4" w:rsidP="0090265D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63D3128B" w14:textId="77777777" w:rsidR="00E32296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E3229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</w:t>
      </w:r>
      <w:r w:rsidRPr="00E3229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(wszystkie odstępstwa od zatwierdzonego harmonogramu winny być zgłaszane pisemnie).</w:t>
      </w:r>
    </w:p>
    <w:p w14:paraId="19E224C5" w14:textId="77777777" w:rsidR="00E32296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E3229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7913F676" w14:textId="337B3D0F" w:rsidR="00E32296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E3229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spawy związane ze zwolnieniem i odbiorem pasa drogowego oraz ewentualnymi naprawami gwarancyjnymi leżą po stronie Wykonawcy.</w:t>
      </w:r>
    </w:p>
    <w:p w14:paraId="5C05EB70" w14:textId="77777777" w:rsidR="00E32296" w:rsidRDefault="00E32296" w:rsidP="0090265D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35D4D73" w14:textId="607F717C" w:rsidR="0090265D" w:rsidRPr="0090265D" w:rsidRDefault="0090265D" w:rsidP="00411B05">
      <w:pPr>
        <w:widowControl w:val="0"/>
        <w:spacing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lastRenderedPageBreak/>
        <w:t>Po stronie</w:t>
      </w:r>
      <w:r w:rsidRPr="0090265D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 xml:space="preserve"> Zamawiającego leż</w:t>
      </w:r>
      <w:r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ą/y</w:t>
      </w:r>
      <w:r w:rsidRPr="0090265D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:</w:t>
      </w:r>
    </w:p>
    <w:p w14:paraId="66C95C85" w14:textId="0DE708C9" w:rsidR="0090265D" w:rsidRPr="0090265D" w:rsidRDefault="0090265D" w:rsidP="00DF1176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Koszty związane z opłatami skarbowymi.</w:t>
      </w:r>
    </w:p>
    <w:p w14:paraId="66C163FC" w14:textId="26B99656" w:rsidR="00284778" w:rsidRDefault="00284778" w:rsidP="00DF1176">
      <w:pPr>
        <w:widowControl w:val="0"/>
        <w:numPr>
          <w:ilvl w:val="0"/>
          <w:numId w:val="31"/>
        </w:numPr>
        <w:spacing w:after="0" w:line="240" w:lineRule="auto"/>
        <w:ind w:left="1134" w:hanging="567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Nadzór archeologiczny nad inwestycją</w:t>
      </w:r>
      <w:r w:rsidR="0090265D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.</w:t>
      </w:r>
    </w:p>
    <w:p w14:paraId="5A08289C" w14:textId="195E700B" w:rsidR="00DF1176" w:rsidRPr="00DF1176" w:rsidRDefault="00DF1176" w:rsidP="00DF1176">
      <w:pPr>
        <w:widowControl w:val="0"/>
        <w:numPr>
          <w:ilvl w:val="0"/>
          <w:numId w:val="31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</w:t>
      </w:r>
      <w:r w:rsidR="009756C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ykonanie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nawierce</w:t>
      </w:r>
      <w:r w:rsidR="009756C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ń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na nowobudowanym rurociągu, jak również podłączenie rurociągów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po uprzednim przygotowaniu przez wykonawcę wykopu o wymiarach min. 1,5x1,5m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1FDC673B" w14:textId="477B361A" w:rsidR="0090265D" w:rsidRPr="009756C4" w:rsidRDefault="00DF1176" w:rsidP="009756C4">
      <w:pPr>
        <w:pStyle w:val="Akapitzlist"/>
        <w:numPr>
          <w:ilvl w:val="0"/>
          <w:numId w:val="31"/>
        </w:numPr>
        <w:ind w:left="1134" w:hanging="567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Dostarczenie k</w:t>
      </w:r>
      <w:r w:rsidRPr="00DF117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omplet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u</w:t>
      </w:r>
      <w:r w:rsidRPr="00DF117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armatury do zabudowy (35szt. – </w:t>
      </w:r>
      <w:proofErr w:type="spellStart"/>
      <w:r w:rsidRPr="00DF117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nawiertki</w:t>
      </w:r>
      <w:proofErr w:type="spellEnd"/>
      <w:r w:rsidRPr="00DF117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, zasuwa DN 200 – 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br/>
      </w:r>
      <w:r w:rsidRPr="00DF1176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2 szt., zasuwa DN150 – 12szt., zasuwa Dz100 – 2szt. hydrant podziemny DN80 – 7szt., zasuwa DN80 – 7szt.</w:t>
      </w:r>
    </w:p>
    <w:p w14:paraId="54F33B02" w14:textId="11378851" w:rsidR="00284778" w:rsidRPr="00411B05" w:rsidRDefault="009756C4" w:rsidP="00411B05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bookmarkStart w:id="2" w:name="_Hlk66967127"/>
      <w:bookmarkEnd w:id="1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</w:t>
      </w:r>
      <w:r w:rsidR="00284778" w:rsidRPr="00411B0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0265D" w:rsidRPr="00411B0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należy </w:t>
      </w:r>
      <w:r w:rsidR="00284778" w:rsidRPr="00411B0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prowadzić zgodnie z:</w:t>
      </w:r>
    </w:p>
    <w:p w14:paraId="03D29B45" w14:textId="7DED55D5" w:rsidR="00284778" w:rsidRPr="00284778" w:rsidRDefault="00284778" w:rsidP="00411B05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Rozporządzeniem Ministra Gospodarki, Pracy i Polityki Społecznej z dnia 02.04.2004r. „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 sprawie sposobów i warunków bezpiecznego użytkowania i usuwania wyrobów</w:t>
      </w:r>
      <w:r w:rsidR="00411B05" w:rsidRPr="00411B05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zawierających azbest”, </w:t>
      </w:r>
    </w:p>
    <w:p w14:paraId="3555E19D" w14:textId="1502D49A" w:rsidR="00284778" w:rsidRPr="00284778" w:rsidRDefault="00284778" w:rsidP="00411B05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05.08.2010r. 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„Zmieniające rozporządzenie </w:t>
      </w:r>
      <w:r w:rsidR="00411B05" w:rsidRPr="00411B05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sprawie sposobów i warunków bezpiecznego użytkowania i usuwania wyrobów</w:t>
      </w:r>
      <w:r w:rsidR="00411B05" w:rsidRPr="00411B05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zawierających azbest”</w:t>
      </w:r>
      <w:r w:rsidR="00411B05" w:rsidRPr="00411B05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3ABD22AC" w14:textId="1DD2E2EA" w:rsidR="00284778" w:rsidRDefault="00284778" w:rsidP="00411B05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13.12.2010r. </w:t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„W sprawie wymagań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28477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zakresie wykorzystania wyrobów zawierających azbest oraz wykorzystania </w:t>
      </w:r>
      <w:r w:rsidR="00411B05" w:rsidRPr="00411B05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</w:r>
      <w:r w:rsidRPr="002847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i oczyszczania instalacji lub urządzeń, w których były lub są wykorzystywane wyroby zawierające azbest”</w:t>
      </w:r>
      <w:r w:rsidR="009756C4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3E57E082" w14:textId="17F1F071" w:rsidR="009756C4" w:rsidRPr="009756C4" w:rsidRDefault="009756C4" w:rsidP="00411B05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</w:pPr>
      <w:r w:rsidRPr="009756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Rozporządzeniem Ministra Rozwoju z dnia 11 września 2020r. w sprawie szczegółowego zakresu i formy projektu budowlanego.</w:t>
      </w:r>
    </w:p>
    <w:bookmarkEnd w:id="2"/>
    <w:p w14:paraId="60D3DC20" w14:textId="77777777" w:rsidR="00284778" w:rsidRPr="00547727" w:rsidRDefault="00284778" w:rsidP="0054772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7C09547" w14:textId="0D7FE243" w:rsidR="00C93D1B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70DA683" w14:textId="0FC67438" w:rsidR="00B05B36" w:rsidRPr="00B05B36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 xml:space="preserve">Termin </w:t>
      </w:r>
      <w:r w:rsidR="003E6651" w:rsidRPr="00B05B36">
        <w:rPr>
          <w:rFonts w:ascii="Times New Roman" w:hAnsi="Times New Roman"/>
          <w:sz w:val="24"/>
          <w:szCs w:val="24"/>
        </w:rPr>
        <w:t>rozpoczęcia</w:t>
      </w:r>
      <w:r w:rsidR="00DA29FB" w:rsidRPr="00B05B36">
        <w:rPr>
          <w:rFonts w:ascii="Times New Roman" w:hAnsi="Times New Roman"/>
          <w:sz w:val="24"/>
          <w:szCs w:val="24"/>
        </w:rPr>
        <w:t>:</w:t>
      </w:r>
      <w:r w:rsidR="00B05B36">
        <w:rPr>
          <w:rFonts w:ascii="Times New Roman" w:hAnsi="Times New Roman"/>
          <w:sz w:val="24"/>
          <w:szCs w:val="24"/>
        </w:rPr>
        <w:t xml:space="preserve"> najpóźniej </w:t>
      </w:r>
      <w:r w:rsidR="00BB5013">
        <w:rPr>
          <w:rFonts w:ascii="Times New Roman" w:hAnsi="Times New Roman"/>
          <w:sz w:val="24"/>
          <w:szCs w:val="24"/>
        </w:rPr>
        <w:t>7</w:t>
      </w:r>
      <w:r w:rsidR="00B05B36">
        <w:rPr>
          <w:rFonts w:ascii="Times New Roman" w:hAnsi="Times New Roman"/>
          <w:sz w:val="24"/>
          <w:szCs w:val="24"/>
        </w:rPr>
        <w:t xml:space="preserve"> dni od daty podpisania umowy.</w:t>
      </w:r>
    </w:p>
    <w:p w14:paraId="03CB208B" w14:textId="746C42C6" w:rsidR="00DC42B6" w:rsidRPr="00B05B36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wykonania prac projektowych do 30.08.2021r.</w:t>
      </w:r>
    </w:p>
    <w:p w14:paraId="22AC2893" w14:textId="08A39423" w:rsidR="00DC42B6" w:rsidRPr="00B05B36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zakończenia robót budowlanych do 30.10.2021r.</w:t>
      </w:r>
    </w:p>
    <w:p w14:paraId="26B489BB" w14:textId="05E4C6C8" w:rsidR="009756C4" w:rsidRPr="00BB5013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dostarczenia materiałów odbiorowych 30.11.2021r.</w:t>
      </w:r>
    </w:p>
    <w:p w14:paraId="34AA88AD" w14:textId="77777777" w:rsidR="00BB5013" w:rsidRPr="009756C4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744BE094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BB5013">
        <w:rPr>
          <w:rFonts w:ascii="Times New Roman" w:hAnsi="Times New Roman"/>
          <w:sz w:val="24"/>
          <w:szCs w:val="24"/>
        </w:rPr>
        <w:t>14</w:t>
      </w:r>
      <w:r w:rsidRPr="00E46A90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Default="00753B59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47E55020" w14:textId="44C66CB7" w:rsidR="009756C4" w:rsidRPr="00BB5013" w:rsidRDefault="00E32296" w:rsidP="00BB501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32296">
        <w:rPr>
          <w:rFonts w:ascii="Times New Roman" w:hAnsi="Times New Roman"/>
          <w:sz w:val="24"/>
          <w:szCs w:val="24"/>
        </w:rPr>
        <w:t>PWiK</w:t>
      </w:r>
      <w:proofErr w:type="spellEnd"/>
      <w:r w:rsidRPr="00E32296">
        <w:rPr>
          <w:rFonts w:ascii="Times New Roman" w:hAnsi="Times New Roman"/>
          <w:sz w:val="24"/>
          <w:szCs w:val="24"/>
        </w:rPr>
        <w:t xml:space="preserve">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7777777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20CDE667" w:rsidR="00D947C0" w:rsidRDefault="00B05B36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BB5013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160CB23F" w14:textId="0D4A1A29" w:rsidR="00BB5013" w:rsidRDefault="00BB5013" w:rsidP="00BB5013">
      <w:pPr>
        <w:pStyle w:val="Akapitzlist"/>
        <w:spacing w:after="240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6EDA4B0B" w14:textId="77777777" w:rsidR="00BB5013" w:rsidRDefault="00BB5013" w:rsidP="00BB5013">
      <w:pPr>
        <w:pStyle w:val="Akapitzlist"/>
        <w:spacing w:after="240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39E07F08" w14:textId="77777777" w:rsidR="00D947C0" w:rsidRPr="00D947C0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1"/>
  </w:num>
  <w:num w:numId="5">
    <w:abstractNumId w:val="11"/>
  </w:num>
  <w:num w:numId="6">
    <w:abstractNumId w:val="26"/>
  </w:num>
  <w:num w:numId="7">
    <w:abstractNumId w:val="22"/>
  </w:num>
  <w:num w:numId="8">
    <w:abstractNumId w:val="27"/>
  </w:num>
  <w:num w:numId="9">
    <w:abstractNumId w:val="2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0"/>
  </w:num>
  <w:num w:numId="23">
    <w:abstractNumId w:val="17"/>
  </w:num>
  <w:num w:numId="24">
    <w:abstractNumId w:val="18"/>
  </w:num>
  <w:num w:numId="25">
    <w:abstractNumId w:val="7"/>
  </w:num>
  <w:num w:numId="26">
    <w:abstractNumId w:val="0"/>
  </w:num>
  <w:num w:numId="27">
    <w:abstractNumId w:val="19"/>
  </w:num>
  <w:num w:numId="28">
    <w:abstractNumId w:val="13"/>
  </w:num>
  <w:num w:numId="29">
    <w:abstractNumId w:val="23"/>
  </w:num>
  <w:num w:numId="30">
    <w:abstractNumId w:val="9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31FC1"/>
    <w:rsid w:val="00040B0B"/>
    <w:rsid w:val="00057FB9"/>
    <w:rsid w:val="00062772"/>
    <w:rsid w:val="00065569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4126F"/>
    <w:rsid w:val="00243646"/>
    <w:rsid w:val="002506D0"/>
    <w:rsid w:val="00262750"/>
    <w:rsid w:val="00263DB5"/>
    <w:rsid w:val="00281D64"/>
    <w:rsid w:val="00283073"/>
    <w:rsid w:val="00284778"/>
    <w:rsid w:val="00285BD8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6126D"/>
    <w:rsid w:val="00361F7F"/>
    <w:rsid w:val="00366973"/>
    <w:rsid w:val="003A1DCD"/>
    <w:rsid w:val="003A4138"/>
    <w:rsid w:val="003D5F15"/>
    <w:rsid w:val="003E6651"/>
    <w:rsid w:val="003E6E33"/>
    <w:rsid w:val="00411B05"/>
    <w:rsid w:val="0042237E"/>
    <w:rsid w:val="00423A39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533873"/>
    <w:rsid w:val="00547727"/>
    <w:rsid w:val="00556723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5A3D"/>
    <w:rsid w:val="006C785C"/>
    <w:rsid w:val="00702422"/>
    <w:rsid w:val="00702C6B"/>
    <w:rsid w:val="00722E77"/>
    <w:rsid w:val="007274D5"/>
    <w:rsid w:val="00743C94"/>
    <w:rsid w:val="00753B59"/>
    <w:rsid w:val="007766B5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E8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F7875"/>
    <w:rsid w:val="0090265D"/>
    <w:rsid w:val="00911F45"/>
    <w:rsid w:val="0092205B"/>
    <w:rsid w:val="00931AE3"/>
    <w:rsid w:val="00933B54"/>
    <w:rsid w:val="0097156F"/>
    <w:rsid w:val="0097315F"/>
    <w:rsid w:val="009756C4"/>
    <w:rsid w:val="00993534"/>
    <w:rsid w:val="009B6781"/>
    <w:rsid w:val="009F447F"/>
    <w:rsid w:val="00A02748"/>
    <w:rsid w:val="00A17C6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B05B36"/>
    <w:rsid w:val="00B35E29"/>
    <w:rsid w:val="00B37D08"/>
    <w:rsid w:val="00B55754"/>
    <w:rsid w:val="00B666CE"/>
    <w:rsid w:val="00B731A0"/>
    <w:rsid w:val="00B755CD"/>
    <w:rsid w:val="00B8033A"/>
    <w:rsid w:val="00B843B0"/>
    <w:rsid w:val="00B8516F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6423"/>
    <w:rsid w:val="00D06807"/>
    <w:rsid w:val="00D0693E"/>
    <w:rsid w:val="00D12BA2"/>
    <w:rsid w:val="00D4087C"/>
    <w:rsid w:val="00D42E29"/>
    <w:rsid w:val="00D67C91"/>
    <w:rsid w:val="00D73F63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F1176"/>
    <w:rsid w:val="00E32296"/>
    <w:rsid w:val="00E46A90"/>
    <w:rsid w:val="00E647C0"/>
    <w:rsid w:val="00E74572"/>
    <w:rsid w:val="00E773CE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40444"/>
    <w:rsid w:val="00F437AE"/>
    <w:rsid w:val="00F62913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790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25</cp:revision>
  <cp:lastPrinted>2021-03-18T10:57:00Z</cp:lastPrinted>
  <dcterms:created xsi:type="dcterms:W3CDTF">2019-09-04T10:49:00Z</dcterms:created>
  <dcterms:modified xsi:type="dcterms:W3CDTF">2021-03-18T12:41:00Z</dcterms:modified>
</cp:coreProperties>
</file>