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3FE" w:rsidRDefault="00E141A6">
      <w:pPr>
        <w:pStyle w:val="Tytu"/>
        <w:spacing w:line="360" w:lineRule="auto"/>
        <w:ind w:left="5664"/>
        <w:jc w:val="left"/>
        <w:rPr>
          <w:rFonts w:ascii="Trebuchet MS" w:hAnsi="Trebuchet MS"/>
          <w:sz w:val="20"/>
        </w:rPr>
      </w:pPr>
      <w:bookmarkStart w:id="0" w:name="_GoBack"/>
      <w:bookmarkEnd w:id="0"/>
      <w:r>
        <w:rPr>
          <w:rFonts w:ascii="Trebuchet MS" w:hAnsi="Trebuchet MS"/>
          <w:sz w:val="20"/>
        </w:rPr>
        <w:t xml:space="preserve">      </w:t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</w:r>
    </w:p>
    <w:p w:rsidR="00D153FE" w:rsidRDefault="00E141A6">
      <w:pPr>
        <w:pStyle w:val="Tytu"/>
        <w:spacing w:line="360" w:lineRule="auto"/>
        <w:ind w:left="6372" w:firstLine="708"/>
        <w:jc w:val="lef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Załącznik nr 6</w:t>
      </w:r>
      <w:r>
        <w:rPr>
          <w:rFonts w:ascii="Trebuchet MS" w:hAnsi="Trebuchet MS"/>
          <w:sz w:val="20"/>
        </w:rPr>
        <w:tab/>
      </w:r>
    </w:p>
    <w:p w:rsidR="00D153FE" w:rsidRDefault="00E141A6">
      <w:pPr>
        <w:pStyle w:val="Tytu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PRZEDMIOT ZAMÓWIENIA</w:t>
      </w:r>
    </w:p>
    <w:p w:rsidR="00D153FE" w:rsidRDefault="00D153FE">
      <w:pPr>
        <w:pStyle w:val="Tytu"/>
        <w:rPr>
          <w:rFonts w:ascii="Trebuchet MS" w:hAnsi="Trebuchet MS"/>
          <w:sz w:val="20"/>
        </w:rPr>
      </w:pPr>
    </w:p>
    <w:p w:rsidR="00D153FE" w:rsidRDefault="00E141A6">
      <w:pPr>
        <w:pStyle w:val="Tytu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hanging="7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Lokalizacja.</w:t>
      </w:r>
    </w:p>
    <w:p w:rsidR="00D153FE" w:rsidRDefault="00E141A6">
      <w:pPr>
        <w:pStyle w:val="Tytu"/>
        <w:spacing w:line="360" w:lineRule="auto"/>
        <w:ind w:left="426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Miasto Ruda Śląska, dzielnica Bielszowice, ul. Kokota, Sportowców, PCK, Równoległa, Piernikarczyka, Bielszowicka – zakres zgodny z załącznikiem nr 1.</w:t>
      </w:r>
    </w:p>
    <w:p w:rsidR="00D153FE" w:rsidRDefault="00D153FE">
      <w:pPr>
        <w:pStyle w:val="Tytu"/>
        <w:spacing w:line="360" w:lineRule="auto"/>
        <w:ind w:left="426"/>
        <w:jc w:val="both"/>
        <w:rPr>
          <w:rFonts w:ascii="Trebuchet MS" w:hAnsi="Trebuchet MS"/>
          <w:b w:val="0"/>
          <w:bCs w:val="0"/>
          <w:sz w:val="20"/>
        </w:rPr>
      </w:pPr>
    </w:p>
    <w:p w:rsidR="00D153FE" w:rsidRDefault="00E141A6">
      <w:pPr>
        <w:pStyle w:val="Tytu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hanging="7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Określenie przedmiotu zamówienia.</w:t>
      </w:r>
    </w:p>
    <w:p w:rsidR="00D153FE" w:rsidRDefault="00D153FE">
      <w:pPr>
        <w:pStyle w:val="Tytu"/>
        <w:spacing w:line="360" w:lineRule="auto"/>
        <w:ind w:left="720"/>
        <w:jc w:val="both"/>
        <w:rPr>
          <w:rFonts w:ascii="Trebuchet MS" w:hAnsi="Trebuchet MS"/>
          <w:sz w:val="20"/>
        </w:rPr>
      </w:pPr>
    </w:p>
    <w:p w:rsidR="00D153FE" w:rsidRDefault="00E141A6">
      <w:pPr>
        <w:pStyle w:val="Tytu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Czyszczenie hydromechaniczne i/lub mechaniczne sieci kanalizacyjnej wraz z wywozem</w:t>
      </w:r>
      <w:r>
        <w:rPr>
          <w:rFonts w:ascii="Trebuchet MS" w:hAnsi="Trebuchet MS"/>
          <w:b w:val="0"/>
          <w:bCs w:val="0"/>
          <w:sz w:val="20"/>
        </w:rPr>
        <w:br/>
        <w:t>i utylizacją zanieczyszczeń (odpadów) z kanalizacji</w:t>
      </w:r>
      <w:r>
        <w:rPr>
          <w:rFonts w:ascii="Trebuchet MS" w:hAnsi="Trebuchet MS"/>
          <w:bCs w:val="0"/>
          <w:sz w:val="20"/>
        </w:rPr>
        <w:t xml:space="preserve">* </w:t>
      </w:r>
      <w:r>
        <w:rPr>
          <w:rFonts w:ascii="Trebuchet MS" w:hAnsi="Trebuchet MS"/>
          <w:b w:val="0"/>
          <w:bCs w:val="0"/>
          <w:sz w:val="20"/>
        </w:rPr>
        <w:t>(zakłada się, iż ilość zanieczyszczeń (odpadów) zajmuje 1/3 przekroju kanału):</w:t>
      </w:r>
    </w:p>
    <w:p w:rsidR="00D153FE" w:rsidRDefault="00E141A6">
      <w:pPr>
        <w:pStyle w:val="Tytu"/>
        <w:spacing w:line="360" w:lineRule="auto"/>
        <w:ind w:left="1211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  <w:u w:val="single"/>
        </w:rPr>
        <w:t>Zadanie 1.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 xml:space="preserve">ø 800 mm GRP o długości ok. 20,0 </w:t>
      </w:r>
      <w:proofErr w:type="spellStart"/>
      <w:r>
        <w:rPr>
          <w:rFonts w:ascii="Trebuchet MS" w:hAnsi="Trebuchet MS"/>
          <w:b w:val="0"/>
          <w:bCs w:val="0"/>
          <w:sz w:val="20"/>
        </w:rPr>
        <w:t>mb</w:t>
      </w:r>
      <w:proofErr w:type="spellEnd"/>
      <w:r>
        <w:rPr>
          <w:rFonts w:ascii="Trebuchet MS" w:hAnsi="Trebuchet MS"/>
          <w:b w:val="0"/>
          <w:bCs w:val="0"/>
          <w:sz w:val="20"/>
        </w:rPr>
        <w:t>, położony w rejonie skrzyżowania ul. Kokota z  ul. PCK - studnie od k222 (wraz z tą studnią) do k434,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 xml:space="preserve">ø 1200 mm beton o długości ok. 263,0 </w:t>
      </w:r>
      <w:proofErr w:type="spellStart"/>
      <w:r>
        <w:rPr>
          <w:rFonts w:ascii="Trebuchet MS" w:hAnsi="Trebuchet MS"/>
          <w:b w:val="0"/>
          <w:bCs w:val="0"/>
          <w:sz w:val="20"/>
        </w:rPr>
        <w:t>mb</w:t>
      </w:r>
      <w:proofErr w:type="spellEnd"/>
      <w:r>
        <w:rPr>
          <w:rFonts w:ascii="Trebuchet MS" w:hAnsi="Trebuchet MS"/>
          <w:b w:val="0"/>
          <w:bCs w:val="0"/>
          <w:sz w:val="20"/>
        </w:rPr>
        <w:t>, położony w ulicy PCK rejon budynek nr 2, Równoległej, Piernikarczyka - studnie od k434 (wraz z tą studnią) przez k378 do studni k131 (wraz z tą studnią),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 xml:space="preserve">ø 400 mm PVC o długości ok. 83,0 </w:t>
      </w:r>
      <w:proofErr w:type="spellStart"/>
      <w:r>
        <w:rPr>
          <w:rFonts w:ascii="Trebuchet MS" w:hAnsi="Trebuchet MS"/>
          <w:b w:val="0"/>
          <w:bCs w:val="0"/>
          <w:sz w:val="20"/>
        </w:rPr>
        <w:t>mb</w:t>
      </w:r>
      <w:proofErr w:type="spellEnd"/>
      <w:r>
        <w:rPr>
          <w:rFonts w:ascii="Trebuchet MS" w:hAnsi="Trebuchet MS"/>
          <w:b w:val="0"/>
          <w:bCs w:val="0"/>
          <w:sz w:val="20"/>
        </w:rPr>
        <w:t>, położony w ulicy Równoległej rejon budynku 5A do budynku nr 9 – studnie od k382(wraz z tą studnią) do k378,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szacowana ilość zanieczyszczeń (odpadów) wynosi 105m</w:t>
      </w:r>
      <w:r>
        <w:rPr>
          <w:rFonts w:ascii="Trebuchet MS" w:hAnsi="Trebuchet MS"/>
          <w:b w:val="0"/>
          <w:bCs w:val="0"/>
          <w:sz w:val="20"/>
          <w:vertAlign w:val="superscript"/>
        </w:rPr>
        <w:t>3</w:t>
      </w:r>
      <w:r>
        <w:rPr>
          <w:rFonts w:ascii="Trebuchet MS" w:hAnsi="Trebuchet MS"/>
          <w:b w:val="0"/>
          <w:bCs w:val="0"/>
          <w:sz w:val="20"/>
        </w:rPr>
        <w:t>.</w:t>
      </w:r>
    </w:p>
    <w:p w:rsidR="00D153FE" w:rsidRDefault="00E141A6">
      <w:pPr>
        <w:pStyle w:val="Tytu"/>
        <w:spacing w:line="360" w:lineRule="auto"/>
        <w:ind w:left="1211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  <w:u w:val="single"/>
        </w:rPr>
        <w:t>Zadanie 2.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 xml:space="preserve">ø 1200 mm beton o długości ok. 157,0 </w:t>
      </w:r>
      <w:proofErr w:type="spellStart"/>
      <w:r>
        <w:rPr>
          <w:rFonts w:ascii="Trebuchet MS" w:hAnsi="Trebuchet MS"/>
          <w:b w:val="0"/>
          <w:bCs w:val="0"/>
          <w:sz w:val="20"/>
        </w:rPr>
        <w:t>mb</w:t>
      </w:r>
      <w:proofErr w:type="spellEnd"/>
      <w:r>
        <w:rPr>
          <w:rFonts w:ascii="Trebuchet MS" w:hAnsi="Trebuchet MS"/>
          <w:b w:val="0"/>
          <w:bCs w:val="0"/>
          <w:sz w:val="20"/>
        </w:rPr>
        <w:t>, położony w ulicy Piernikarczyka i Bielszowickiej rejon budynku 96 - studnie od k131 do k135 (wraz z tą studnią),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 xml:space="preserve">ø 500 mm PE o długości ok. 80,0 </w:t>
      </w:r>
      <w:proofErr w:type="spellStart"/>
      <w:r>
        <w:rPr>
          <w:rFonts w:ascii="Trebuchet MS" w:hAnsi="Trebuchet MS"/>
          <w:b w:val="0"/>
          <w:bCs w:val="0"/>
          <w:sz w:val="20"/>
        </w:rPr>
        <w:t>mb</w:t>
      </w:r>
      <w:proofErr w:type="spellEnd"/>
      <w:r>
        <w:rPr>
          <w:rFonts w:ascii="Trebuchet MS" w:hAnsi="Trebuchet MS"/>
          <w:b w:val="0"/>
          <w:bCs w:val="0"/>
          <w:sz w:val="20"/>
        </w:rPr>
        <w:t>, położony w ulicy Bielszowickiej rejon budynku nr 96 do przepompowni ścieków Piernikarczyka - studnie od k135 przez k139 do studni zbiorczej k134 (wraz z tą studnią), zlokalizowanej na terenie przepompowni ścieków,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szacowana ilość zanieczyszczeń (odpadów) wynosi 64m</w:t>
      </w:r>
      <w:r>
        <w:rPr>
          <w:rFonts w:ascii="Trebuchet MS" w:hAnsi="Trebuchet MS"/>
          <w:b w:val="0"/>
          <w:bCs w:val="0"/>
          <w:sz w:val="20"/>
          <w:vertAlign w:val="superscript"/>
        </w:rPr>
        <w:t>3</w:t>
      </w:r>
      <w:r>
        <w:rPr>
          <w:rFonts w:ascii="Trebuchet MS" w:hAnsi="Trebuchet MS"/>
          <w:b w:val="0"/>
          <w:bCs w:val="0"/>
          <w:sz w:val="20"/>
        </w:rPr>
        <w:t>.</w:t>
      </w:r>
    </w:p>
    <w:p w:rsidR="00D153FE" w:rsidRDefault="00E141A6">
      <w:pPr>
        <w:pStyle w:val="Tytu"/>
        <w:spacing w:line="360" w:lineRule="auto"/>
        <w:ind w:left="1211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  <w:u w:val="single"/>
        </w:rPr>
        <w:t>Zadanie 3.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 xml:space="preserve">ø 800 GRP o długości ok. 212,0 </w:t>
      </w:r>
      <w:proofErr w:type="spellStart"/>
      <w:r>
        <w:rPr>
          <w:rFonts w:ascii="Trebuchet MS" w:hAnsi="Trebuchet MS"/>
          <w:b w:val="0"/>
          <w:bCs w:val="0"/>
          <w:sz w:val="20"/>
        </w:rPr>
        <w:t>mb</w:t>
      </w:r>
      <w:proofErr w:type="spellEnd"/>
      <w:r>
        <w:rPr>
          <w:rFonts w:ascii="Trebuchet MS" w:hAnsi="Trebuchet MS"/>
          <w:b w:val="0"/>
          <w:bCs w:val="0"/>
          <w:sz w:val="20"/>
        </w:rPr>
        <w:t>, położony w ulicy Kokota od skrzyżowania z ul. </w:t>
      </w:r>
      <w:proofErr w:type="spellStart"/>
      <w:r>
        <w:rPr>
          <w:rFonts w:ascii="Trebuchet MS" w:hAnsi="Trebuchet MS"/>
          <w:b w:val="0"/>
          <w:bCs w:val="0"/>
          <w:sz w:val="20"/>
        </w:rPr>
        <w:t>Kowaczka</w:t>
      </w:r>
      <w:proofErr w:type="spellEnd"/>
      <w:r>
        <w:rPr>
          <w:rFonts w:ascii="Trebuchet MS" w:hAnsi="Trebuchet MS"/>
          <w:b w:val="0"/>
          <w:bCs w:val="0"/>
          <w:sz w:val="20"/>
        </w:rPr>
        <w:t xml:space="preserve"> do skrzyżowania z ul. PCK – studnie od k447 (wraz z tą studnią) przez k431 do k434,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 xml:space="preserve">ø 500 beton o długości ok. 65,0 </w:t>
      </w:r>
      <w:proofErr w:type="spellStart"/>
      <w:r>
        <w:rPr>
          <w:rFonts w:ascii="Trebuchet MS" w:hAnsi="Trebuchet MS"/>
          <w:b w:val="0"/>
          <w:bCs w:val="0"/>
          <w:sz w:val="20"/>
        </w:rPr>
        <w:t>mb</w:t>
      </w:r>
      <w:proofErr w:type="spellEnd"/>
      <w:r>
        <w:rPr>
          <w:rFonts w:ascii="Trebuchet MS" w:hAnsi="Trebuchet MS"/>
          <w:b w:val="0"/>
          <w:bCs w:val="0"/>
          <w:sz w:val="20"/>
        </w:rPr>
        <w:t xml:space="preserve"> położony w ulicy Kokota od skrzyżowania z ul. </w:t>
      </w:r>
      <w:proofErr w:type="spellStart"/>
      <w:r>
        <w:rPr>
          <w:rFonts w:ascii="Trebuchet MS" w:hAnsi="Trebuchet MS"/>
          <w:b w:val="0"/>
          <w:bCs w:val="0"/>
          <w:sz w:val="20"/>
        </w:rPr>
        <w:t>Kowaczka</w:t>
      </w:r>
      <w:proofErr w:type="spellEnd"/>
      <w:r>
        <w:rPr>
          <w:rFonts w:ascii="Trebuchet MS" w:hAnsi="Trebuchet MS"/>
          <w:b w:val="0"/>
          <w:bCs w:val="0"/>
          <w:sz w:val="20"/>
        </w:rPr>
        <w:t xml:space="preserve"> do ul. Kokota rejon bud. nr 151 – studnie od k46 (wraz z tą studnią) przez k444 do k443,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 xml:space="preserve">ø 500 PE o długości ok. 26,0 </w:t>
      </w:r>
      <w:proofErr w:type="spellStart"/>
      <w:r>
        <w:rPr>
          <w:rFonts w:ascii="Trebuchet MS" w:hAnsi="Trebuchet MS"/>
          <w:b w:val="0"/>
          <w:bCs w:val="0"/>
          <w:sz w:val="20"/>
        </w:rPr>
        <w:t>mb</w:t>
      </w:r>
      <w:proofErr w:type="spellEnd"/>
      <w:r>
        <w:rPr>
          <w:rFonts w:ascii="Trebuchet MS" w:hAnsi="Trebuchet MS"/>
          <w:b w:val="0"/>
          <w:bCs w:val="0"/>
          <w:sz w:val="20"/>
        </w:rPr>
        <w:t xml:space="preserve"> oraz ø 500 PVC o długości ok. 30,0 </w:t>
      </w:r>
      <w:proofErr w:type="spellStart"/>
      <w:r>
        <w:rPr>
          <w:rFonts w:ascii="Trebuchet MS" w:hAnsi="Trebuchet MS"/>
          <w:b w:val="0"/>
          <w:bCs w:val="0"/>
          <w:sz w:val="20"/>
        </w:rPr>
        <w:t>mb</w:t>
      </w:r>
      <w:proofErr w:type="spellEnd"/>
      <w:r>
        <w:rPr>
          <w:rFonts w:ascii="Trebuchet MS" w:hAnsi="Trebuchet MS"/>
          <w:b w:val="0"/>
          <w:bCs w:val="0"/>
          <w:sz w:val="20"/>
        </w:rPr>
        <w:t xml:space="preserve"> położony w ulicy Sportowców od rejonu budynku nr 1 do skrzyżowania z ul. Kokota – studnie od k525(wraz z tą studnią) do k441,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oraz odcinki sieci do studni granicznych wraz z tymi studniami:</w:t>
      </w:r>
    </w:p>
    <w:p w:rsidR="00D153FE" w:rsidRDefault="00E141A6">
      <w:pPr>
        <w:pStyle w:val="Tytu"/>
        <w:spacing w:line="360" w:lineRule="auto"/>
        <w:ind w:left="1571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- od k446 do k – odcinek długości ok. 6,5 m – do budynku Kokota nr 128,</w:t>
      </w:r>
    </w:p>
    <w:p w:rsidR="00D153FE" w:rsidRDefault="00E141A6">
      <w:pPr>
        <w:pStyle w:val="Tytu"/>
        <w:spacing w:line="360" w:lineRule="auto"/>
        <w:ind w:left="1571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- od k445 do k – odcinek długości ok. 4,0 m – do budynku Kokota nr 126,</w:t>
      </w:r>
    </w:p>
    <w:p w:rsidR="00D153FE" w:rsidRDefault="00E141A6">
      <w:pPr>
        <w:pStyle w:val="Tytu"/>
        <w:spacing w:line="360" w:lineRule="auto"/>
        <w:ind w:left="1571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- od k443 do k50 – odcinek długości ok. 3,0 m,</w:t>
      </w:r>
    </w:p>
    <w:p w:rsidR="00D153FE" w:rsidRDefault="00E141A6">
      <w:pPr>
        <w:pStyle w:val="Tytu"/>
        <w:spacing w:line="360" w:lineRule="auto"/>
        <w:ind w:left="1571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lastRenderedPageBreak/>
        <w:t>- od k443 do k – odcinek długości ok. 8,5 m – do budynku Kokota nr 122,</w:t>
      </w:r>
    </w:p>
    <w:p w:rsidR="00D153FE" w:rsidRDefault="00E141A6">
      <w:pPr>
        <w:pStyle w:val="Tytu"/>
        <w:spacing w:line="360" w:lineRule="auto"/>
        <w:ind w:left="1571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- od k440 do k – odcinek długości ok. 4,0 m – do budynku Kokota nr 116,</w:t>
      </w:r>
    </w:p>
    <w:p w:rsidR="00D153FE" w:rsidRDefault="00E141A6">
      <w:pPr>
        <w:pStyle w:val="Tytu"/>
        <w:spacing w:line="360" w:lineRule="auto"/>
        <w:ind w:left="1571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 xml:space="preserve">- od k437 do k438 – odcinek długości ok. 4,0 m, </w:t>
      </w:r>
    </w:p>
    <w:p w:rsidR="00D153FE" w:rsidRDefault="00E141A6">
      <w:pPr>
        <w:pStyle w:val="Tytu"/>
        <w:spacing w:line="360" w:lineRule="auto"/>
        <w:ind w:left="1571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- od k437 do k – odcinek długości ok. 3,0m – do budynku Kokota 110, 112,</w:t>
      </w:r>
    </w:p>
    <w:p w:rsidR="00D153FE" w:rsidRDefault="00E141A6">
      <w:pPr>
        <w:pStyle w:val="Tytu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szacowana ilość zanieczyszczeń (odpadów) wynosi 44m</w:t>
      </w:r>
      <w:r>
        <w:rPr>
          <w:rFonts w:ascii="Trebuchet MS" w:hAnsi="Trebuchet MS"/>
          <w:b w:val="0"/>
          <w:bCs w:val="0"/>
          <w:sz w:val="20"/>
          <w:vertAlign w:val="superscript"/>
        </w:rPr>
        <w:t>3</w:t>
      </w:r>
      <w:r>
        <w:rPr>
          <w:rFonts w:ascii="Trebuchet MS" w:hAnsi="Trebuchet MS"/>
          <w:b w:val="0"/>
          <w:bCs w:val="0"/>
          <w:sz w:val="20"/>
        </w:rPr>
        <w:t>.</w:t>
      </w:r>
    </w:p>
    <w:p w:rsidR="00D153FE" w:rsidRDefault="00E141A6">
      <w:pPr>
        <w:pStyle w:val="Tytu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  <w:r>
        <w:rPr>
          <w:rFonts w:ascii="Trebuchet MS" w:hAnsi="Trebuchet MS"/>
          <w:b w:val="0"/>
          <w:bCs w:val="0"/>
          <w:sz w:val="20"/>
        </w:rPr>
        <w:t>Wykonanie dokumentacji technicznej w postaci przeglądu kamerą CCTV oraz raportu spadków dla wyżej wymienionych odcinków kanalizacji.</w:t>
      </w:r>
    </w:p>
    <w:p w:rsidR="00D153FE" w:rsidRDefault="00D153FE" w:rsidP="004A0392">
      <w:pPr>
        <w:pStyle w:val="Tytu"/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</w:p>
    <w:p w:rsidR="00D153FE" w:rsidRDefault="00E141A6">
      <w:pPr>
        <w:spacing w:line="360" w:lineRule="auto"/>
        <w:jc w:val="both"/>
        <w:rPr>
          <w:rFonts w:ascii="Trebuchet MS" w:hAnsi="Trebuchet MS"/>
        </w:rPr>
      </w:pPr>
      <w:r w:rsidRPr="004A0392">
        <w:rPr>
          <w:rFonts w:ascii="Trebuchet MS" w:hAnsi="Trebuchet MS"/>
          <w:b/>
          <w:bCs/>
        </w:rPr>
        <w:t>*</w:t>
      </w:r>
      <w:r w:rsidRPr="004A0392">
        <w:rPr>
          <w:rFonts w:ascii="Trebuchet MS" w:hAnsi="Trebuchet MS"/>
        </w:rPr>
        <w:t>Wykonawca</w:t>
      </w:r>
      <w:r>
        <w:rPr>
          <w:rFonts w:ascii="Trebuchet MS" w:hAnsi="Trebuchet MS"/>
        </w:rPr>
        <w:t>,</w:t>
      </w:r>
      <w:r w:rsidRPr="004A0392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dla całości zamówienia</w:t>
      </w:r>
      <w:r>
        <w:rPr>
          <w:rFonts w:ascii="Trebuchet MS" w:hAnsi="Trebuchet MS"/>
          <w:strike/>
        </w:rPr>
        <w:t xml:space="preserve">, </w:t>
      </w:r>
      <w:r w:rsidRPr="004A0392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zobowiązany jest wyodrębnić </w:t>
      </w:r>
      <w:r w:rsidRPr="004A0392">
        <w:rPr>
          <w:rFonts w:ascii="Trebuchet MS" w:hAnsi="Trebuchet MS"/>
        </w:rPr>
        <w:t>dwie pozycje</w:t>
      </w:r>
      <w:r>
        <w:rPr>
          <w:rFonts w:ascii="Trebuchet MS" w:hAnsi="Trebuchet MS"/>
        </w:rPr>
        <w:t>, to jest</w:t>
      </w:r>
    </w:p>
    <w:p w:rsidR="00D153FE" w:rsidRDefault="00E141A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koszt czyszczenia hydromechanicznego i/lub mechanicznego sieci kanalizacyjnej (w tym m.in. koszty przeglądu kamerą CCTV oraz wykonania raportu spadków) wraz                                     z kosztami transportu odpadu,</w:t>
      </w:r>
    </w:p>
    <w:p w:rsidR="00D153FE" w:rsidRDefault="00E141A6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koszt zagospodarowania pobranego odpadu - zgodnie z przepisami ustawy o odpadach.</w:t>
      </w:r>
    </w:p>
    <w:p w:rsidR="00D153FE" w:rsidRDefault="00E141A6">
      <w:pPr>
        <w:pStyle w:val="Tytu"/>
        <w:spacing w:line="360" w:lineRule="auto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Zakres zlecenia obejmuje:</w:t>
      </w:r>
    </w:p>
    <w:p w:rsidR="00D153FE" w:rsidRDefault="00D153FE">
      <w:pPr>
        <w:pStyle w:val="Tytu"/>
        <w:spacing w:line="360" w:lineRule="auto"/>
        <w:jc w:val="both"/>
        <w:rPr>
          <w:rFonts w:ascii="Trebuchet MS" w:hAnsi="Trebuchet MS"/>
          <w:sz w:val="20"/>
        </w:rPr>
      </w:pPr>
    </w:p>
    <w:p w:rsidR="00D153FE" w:rsidRDefault="00E141A6">
      <w:pPr>
        <w:pStyle w:val="Tytu"/>
        <w:numPr>
          <w:ilvl w:val="0"/>
          <w:numId w:val="1"/>
        </w:numPr>
        <w:tabs>
          <w:tab w:val="clear" w:pos="720"/>
          <w:tab w:val="left" w:pos="300"/>
        </w:tabs>
        <w:spacing w:line="360" w:lineRule="auto"/>
        <w:ind w:hanging="720"/>
        <w:jc w:val="lef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Przygotowanie robót</w:t>
      </w:r>
    </w:p>
    <w:p w:rsidR="00D153FE" w:rsidRDefault="00D153FE">
      <w:pPr>
        <w:pStyle w:val="Tytu"/>
        <w:spacing w:line="360" w:lineRule="auto"/>
        <w:jc w:val="left"/>
        <w:rPr>
          <w:rFonts w:ascii="Trebuchet MS" w:hAnsi="Trebuchet MS"/>
          <w:sz w:val="20"/>
        </w:rPr>
      </w:pPr>
    </w:p>
    <w:p w:rsidR="00D153FE" w:rsidRDefault="00E141A6">
      <w:pPr>
        <w:numPr>
          <w:ilvl w:val="1"/>
          <w:numId w:val="1"/>
        </w:numPr>
        <w:spacing w:line="360" w:lineRule="auto"/>
        <w:ind w:left="500" w:hanging="50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 Dokonanie uzgodnień z administratorami terenu, na którym przewidziana jest realizacja</w:t>
      </w:r>
      <w:r>
        <w:rPr>
          <w:rFonts w:ascii="Trebuchet MS" w:hAnsi="Trebuchet MS"/>
        </w:rPr>
        <w:br/>
        <w:t xml:space="preserve"> robót, których zamówienie dotyczy i pokrycie ewentualnych kosztów wynikających</w:t>
      </w:r>
      <w:r>
        <w:rPr>
          <w:rFonts w:ascii="Trebuchet MS" w:hAnsi="Trebuchet MS"/>
        </w:rPr>
        <w:br/>
        <w:t xml:space="preserve"> z tego tytułu.</w:t>
      </w:r>
    </w:p>
    <w:p w:rsidR="00D153FE" w:rsidRDefault="00E141A6">
      <w:pPr>
        <w:numPr>
          <w:ilvl w:val="1"/>
          <w:numId w:val="1"/>
        </w:numPr>
        <w:spacing w:line="360" w:lineRule="auto"/>
        <w:ind w:left="500" w:hanging="50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Wykonanie przed przystąpieniem do robót dokumentacji fotograficznej  trasy,  na której roboty mają być prowadzone na całym jej przebiegu i zarchiwizowanie tej dokumentacji na płycie CD;</w:t>
      </w:r>
      <w:r w:rsidR="00E623E0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celem tej czynności jest zminimalizowanie ryzyka nieuzasadnionych roszczeń osób</w:t>
      </w:r>
      <w:r w:rsidR="00E623E0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posiadających tytuł prawny do nieruchomości, na których prowadzone będą roboty. </w:t>
      </w:r>
    </w:p>
    <w:p w:rsidR="00D153FE" w:rsidRDefault="00D153FE">
      <w:pPr>
        <w:spacing w:line="360" w:lineRule="auto"/>
        <w:jc w:val="both"/>
        <w:rPr>
          <w:rFonts w:ascii="Trebuchet MS" w:hAnsi="Trebuchet MS"/>
          <w:b/>
        </w:rPr>
      </w:pPr>
    </w:p>
    <w:p w:rsidR="00D153FE" w:rsidRDefault="00E141A6">
      <w:pPr>
        <w:spacing w:line="360" w:lineRule="auto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4.</w:t>
      </w:r>
      <w:r>
        <w:rPr>
          <w:rFonts w:ascii="Trebuchet MS" w:hAnsi="Trebuchet MS"/>
        </w:rPr>
        <w:t xml:space="preserve">    </w:t>
      </w:r>
      <w:r>
        <w:rPr>
          <w:rFonts w:ascii="Trebuchet MS" w:hAnsi="Trebuchet MS"/>
          <w:b/>
        </w:rPr>
        <w:t xml:space="preserve"> Wykonanie robót</w:t>
      </w:r>
    </w:p>
    <w:p w:rsidR="00D153FE" w:rsidRDefault="00D153FE">
      <w:pPr>
        <w:spacing w:line="360" w:lineRule="auto"/>
        <w:jc w:val="both"/>
        <w:rPr>
          <w:rFonts w:ascii="Trebuchet MS" w:hAnsi="Trebuchet MS"/>
          <w:b/>
        </w:rPr>
      </w:pPr>
    </w:p>
    <w:p w:rsidR="00D153FE" w:rsidRDefault="00E141A6">
      <w:pPr>
        <w:numPr>
          <w:ilvl w:val="1"/>
          <w:numId w:val="3"/>
        </w:numPr>
        <w:spacing w:line="360" w:lineRule="auto"/>
        <w:ind w:left="567" w:hanging="567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Wykonawca wykona czyszczenie hydromechaniczne i/lub mechaniczne kolektora w sposób zapewniający nieprzerwany odbiór ścieków. Dopuszcza się wykonanie </w:t>
      </w:r>
      <w:proofErr w:type="spellStart"/>
      <w:r>
        <w:rPr>
          <w:rFonts w:ascii="Trebuchet MS" w:hAnsi="Trebuchet MS"/>
        </w:rPr>
        <w:t>bay</w:t>
      </w:r>
      <w:proofErr w:type="spellEnd"/>
      <w:r>
        <w:rPr>
          <w:rFonts w:ascii="Trebuchet MS" w:hAnsi="Trebuchet MS"/>
        </w:rPr>
        <w:t>-pasów na czas</w:t>
      </w:r>
      <w:r>
        <w:rPr>
          <w:rFonts w:ascii="Trebuchet MS" w:hAnsi="Trebuchet MS"/>
        </w:rPr>
        <w:br/>
        <w:t>czyszczenia i monitoringu.</w:t>
      </w:r>
    </w:p>
    <w:p w:rsidR="00D153FE" w:rsidRDefault="00E141A6">
      <w:pPr>
        <w:numPr>
          <w:ilvl w:val="1"/>
          <w:numId w:val="3"/>
        </w:numPr>
        <w:spacing w:line="360" w:lineRule="auto"/>
        <w:ind w:left="567" w:hanging="567"/>
        <w:jc w:val="both"/>
        <w:rPr>
          <w:rFonts w:ascii="Trebuchet MS" w:hAnsi="Trebuchet MS"/>
        </w:rPr>
      </w:pPr>
      <w:r>
        <w:rPr>
          <w:rFonts w:ascii="Trebuchet MS" w:hAnsi="Trebuchet MS"/>
        </w:rPr>
        <w:t>Wykonawca organizuje i zapewnia we własnym zakresie dojazd do komór i studzienek dla samochodów specjalnych na  kolektorze. W jego gestii jest też oznakowanie robót w pasie drogowym oraz zabezpieczenie pod względem BHP wszelkich robót prowadzonych w ramach  zamówienia.</w:t>
      </w:r>
    </w:p>
    <w:p w:rsidR="00D153FE" w:rsidRDefault="00E141A6">
      <w:pPr>
        <w:numPr>
          <w:ilvl w:val="1"/>
          <w:numId w:val="3"/>
        </w:numPr>
        <w:spacing w:line="360" w:lineRule="auto"/>
        <w:ind w:left="567" w:hanging="567"/>
        <w:jc w:val="both"/>
        <w:rPr>
          <w:rFonts w:ascii="Trebuchet MS" w:hAnsi="Trebuchet MS"/>
        </w:rPr>
      </w:pPr>
      <w:r>
        <w:rPr>
          <w:rFonts w:ascii="Trebuchet MS" w:hAnsi="Trebuchet MS"/>
        </w:rPr>
        <w:t>Wykonawca we własnym zakresie zapewnia  wodę niezbędną do czyszczenia oraz wywóz i utylizację odpadu z kolektora, zgodnie z obowiązującymi przepisami ustawy o odpadach.</w:t>
      </w:r>
    </w:p>
    <w:p w:rsidR="00D153FE" w:rsidRDefault="00E141A6">
      <w:pPr>
        <w:numPr>
          <w:ilvl w:val="1"/>
          <w:numId w:val="3"/>
        </w:numPr>
        <w:spacing w:line="360" w:lineRule="auto"/>
        <w:ind w:left="567" w:hanging="567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Zamawiający wymaga, aby inspekcji kolektora dokonać za pomocą kamery, z której nagranie jest kolorowe, zawiera datę, nazwę obiektu, jego średnicę, spadek oraz opis ewentualnych usterek. Inspekcja wraz z raportem powinna być nagrana na płycie DVD.  </w:t>
      </w:r>
    </w:p>
    <w:p w:rsidR="00D153FE" w:rsidRDefault="00E141A6">
      <w:pPr>
        <w:numPr>
          <w:ilvl w:val="1"/>
          <w:numId w:val="3"/>
        </w:numPr>
        <w:spacing w:line="360" w:lineRule="auto"/>
        <w:ind w:left="567" w:hanging="567"/>
        <w:jc w:val="both"/>
        <w:rPr>
          <w:rFonts w:ascii="Trebuchet MS" w:hAnsi="Trebuchet MS"/>
        </w:rPr>
      </w:pPr>
      <w:r>
        <w:rPr>
          <w:rFonts w:ascii="Trebuchet MS" w:hAnsi="Trebuchet MS"/>
        </w:rPr>
        <w:t>Raport z przeglądu powinien zawierać mapę ze szczegółowym opisem usterek wraz z ich umiejscowieniem, wykres spadków, zdjęcia i opis  usterek zgodnie z normą PN-EN 13508-2+A1:2011.</w:t>
      </w:r>
    </w:p>
    <w:p w:rsidR="00D153FE" w:rsidRDefault="00E141A6">
      <w:pPr>
        <w:numPr>
          <w:ilvl w:val="1"/>
          <w:numId w:val="3"/>
        </w:numPr>
        <w:spacing w:line="360" w:lineRule="auto"/>
        <w:ind w:left="567" w:hanging="567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Wykonawca  ma obowiązek doprowadzić teren do stanu sprzed robót, zdemontować obiekty tymczasowe oraz uporządkować teren, naprawić ogrodzenia i wykonać wszystkie inne czynności konieczne do przywrócenia  nieruchomości do stanu sprzed rozpoczęcia robot.</w:t>
      </w:r>
    </w:p>
    <w:p w:rsidR="00D153FE" w:rsidRDefault="00D153FE">
      <w:pPr>
        <w:spacing w:line="360" w:lineRule="auto"/>
        <w:jc w:val="both"/>
        <w:rPr>
          <w:rFonts w:ascii="Trebuchet MS" w:hAnsi="Trebuchet MS"/>
        </w:rPr>
      </w:pPr>
    </w:p>
    <w:p w:rsidR="00D153FE" w:rsidRDefault="00E141A6">
      <w:pPr>
        <w:spacing w:line="360" w:lineRule="auto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5.      Odbiór robót.</w:t>
      </w:r>
    </w:p>
    <w:p w:rsidR="00D153FE" w:rsidRDefault="00D153FE">
      <w:pPr>
        <w:spacing w:line="360" w:lineRule="auto"/>
        <w:jc w:val="both"/>
        <w:rPr>
          <w:rFonts w:ascii="Trebuchet MS" w:hAnsi="Trebuchet MS"/>
          <w:b/>
        </w:rPr>
      </w:pPr>
    </w:p>
    <w:p w:rsidR="00D153FE" w:rsidRDefault="00E141A6">
      <w:pPr>
        <w:spacing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 xml:space="preserve">5.1   </w:t>
      </w:r>
      <w:r w:rsidRPr="004A0392">
        <w:rPr>
          <w:rFonts w:ascii="Trebuchet MS" w:hAnsi="Trebuchet MS"/>
          <w:color w:val="000000"/>
        </w:rPr>
        <w:t>Podstawą odbioru</w:t>
      </w:r>
      <w:r w:rsidRPr="004A0392">
        <w:rPr>
          <w:rFonts w:ascii="Trebuchet MS" w:hAnsi="Trebuchet MS"/>
          <w:b/>
          <w:color w:val="000000"/>
        </w:rPr>
        <w:t xml:space="preserve"> </w:t>
      </w:r>
      <w:r>
        <w:rPr>
          <w:rFonts w:ascii="Trebuchet MS" w:hAnsi="Trebuchet MS"/>
          <w:color w:val="000000"/>
        </w:rPr>
        <w:t xml:space="preserve">całości zamówienia </w:t>
      </w:r>
      <w:r w:rsidRPr="004A0392">
        <w:rPr>
          <w:rFonts w:ascii="Trebuchet MS" w:hAnsi="Trebuchet MS"/>
          <w:color w:val="000000"/>
        </w:rPr>
        <w:t>jest dostarczenie</w:t>
      </w:r>
      <w:r>
        <w:rPr>
          <w:rFonts w:ascii="Trebuchet MS" w:hAnsi="Trebuchet MS"/>
          <w:color w:val="000000"/>
        </w:rPr>
        <w:t xml:space="preserve"> (złożenie w siedzibie Zamawiającego) </w:t>
      </w:r>
      <w:r w:rsidR="000A3E0A">
        <w:rPr>
          <w:rFonts w:ascii="Trebuchet MS" w:hAnsi="Trebuchet MS"/>
          <w:color w:val="000000"/>
        </w:rPr>
        <w:br/>
      </w:r>
      <w:r w:rsidRPr="004A0392">
        <w:rPr>
          <w:rFonts w:ascii="Trebuchet MS" w:hAnsi="Trebuchet MS"/>
          <w:color w:val="000000"/>
        </w:rPr>
        <w:t xml:space="preserve">2 </w:t>
      </w:r>
      <w:r>
        <w:rPr>
          <w:rFonts w:ascii="Trebuchet MS" w:hAnsi="Trebuchet MS"/>
          <w:color w:val="000000"/>
        </w:rPr>
        <w:t>egzemplarzy</w:t>
      </w:r>
      <w:r w:rsidRPr="004A0392">
        <w:rPr>
          <w:rFonts w:ascii="Trebuchet MS" w:hAnsi="Trebuchet MS"/>
          <w:color w:val="000000"/>
        </w:rPr>
        <w:t xml:space="preserve"> </w:t>
      </w:r>
      <w:r>
        <w:rPr>
          <w:rFonts w:ascii="Trebuchet MS" w:hAnsi="Trebuchet MS"/>
          <w:color w:val="000000"/>
        </w:rPr>
        <w:t xml:space="preserve">kompletnej </w:t>
      </w:r>
      <w:r w:rsidRPr="004A0392">
        <w:rPr>
          <w:rFonts w:ascii="Trebuchet MS" w:hAnsi="Trebuchet MS"/>
          <w:color w:val="000000"/>
        </w:rPr>
        <w:t xml:space="preserve">dokumentacji technicznej w postaci nagranej inspekcji na płycie DVD, wydrukowanego i podpisanego raportu oraz dokumentów </w:t>
      </w:r>
      <w:r>
        <w:rPr>
          <w:rFonts w:ascii="Trebuchet MS" w:hAnsi="Trebuchet MS"/>
          <w:color w:val="000000"/>
        </w:rPr>
        <w:t>wymaganych przepisami</w:t>
      </w:r>
      <w:r w:rsidRPr="004A0392">
        <w:rPr>
          <w:rFonts w:ascii="Trebuchet MS" w:hAnsi="Trebuchet MS"/>
          <w:color w:val="000000"/>
        </w:rPr>
        <w:t xml:space="preserve"> </w:t>
      </w:r>
      <w:r>
        <w:rPr>
          <w:rFonts w:ascii="Trebuchet MS" w:hAnsi="Trebuchet MS"/>
          <w:color w:val="000000"/>
        </w:rPr>
        <w:t>u</w:t>
      </w:r>
      <w:r w:rsidRPr="004A0392">
        <w:rPr>
          <w:rFonts w:ascii="Trebuchet MS" w:hAnsi="Trebuchet MS"/>
          <w:color w:val="000000"/>
        </w:rPr>
        <w:t xml:space="preserve">stawy </w:t>
      </w:r>
      <w:r>
        <w:rPr>
          <w:rFonts w:ascii="Trebuchet MS" w:hAnsi="Trebuchet MS"/>
          <w:color w:val="000000"/>
        </w:rPr>
        <w:t xml:space="preserve">                         </w:t>
      </w:r>
      <w:r w:rsidRPr="004A0392">
        <w:rPr>
          <w:rFonts w:ascii="Trebuchet MS" w:hAnsi="Trebuchet MS"/>
          <w:color w:val="000000"/>
        </w:rPr>
        <w:t>o odpadach t</w:t>
      </w:r>
      <w:r>
        <w:rPr>
          <w:rFonts w:ascii="Trebuchet MS" w:hAnsi="Trebuchet MS"/>
          <w:color w:val="000000"/>
        </w:rPr>
        <w:t>o jest</w:t>
      </w:r>
      <w:r w:rsidRPr="004A0392">
        <w:rPr>
          <w:rFonts w:ascii="Trebuchet MS" w:hAnsi="Trebuchet MS"/>
          <w:color w:val="000000"/>
        </w:rPr>
        <w:t xml:space="preserve"> przede wszystkim kart przekaza</w:t>
      </w:r>
      <w:r>
        <w:rPr>
          <w:rFonts w:ascii="Trebuchet MS" w:hAnsi="Trebuchet MS"/>
        </w:rPr>
        <w:t xml:space="preserve">nia odpadów (kopii potwierdzonych za zgodność </w:t>
      </w:r>
      <w:r w:rsidR="00CD4CC4">
        <w:rPr>
          <w:rFonts w:ascii="Trebuchet MS" w:hAnsi="Trebuchet MS"/>
        </w:rPr>
        <w:br/>
      </w:r>
      <w:r>
        <w:rPr>
          <w:rFonts w:ascii="Trebuchet MS" w:hAnsi="Trebuchet MS"/>
        </w:rPr>
        <w:t>z oryginałem).</w:t>
      </w:r>
    </w:p>
    <w:p w:rsidR="00D153FE" w:rsidRDefault="00E141A6">
      <w:pPr>
        <w:spacing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        </w:t>
      </w:r>
    </w:p>
    <w:p w:rsidR="00D153FE" w:rsidRDefault="00E141A6">
      <w:pPr>
        <w:spacing w:line="360" w:lineRule="auto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6.    Harmonogram robót: </w:t>
      </w:r>
    </w:p>
    <w:p w:rsidR="00D153FE" w:rsidRDefault="00E141A6">
      <w:pPr>
        <w:spacing w:line="360" w:lineRule="auto"/>
        <w:ind w:left="993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- rozpoczęcie: do 10 dni od dnia podpisania umowy.</w:t>
      </w:r>
    </w:p>
    <w:p w:rsidR="00D153FE" w:rsidRDefault="00E141A6">
      <w:pPr>
        <w:spacing w:line="360" w:lineRule="auto"/>
        <w:ind w:firstLine="708"/>
        <w:jc w:val="both"/>
        <w:rPr>
          <w:rFonts w:ascii="Trebuchet MS" w:hAnsi="Trebuchet MS"/>
        </w:rPr>
      </w:pPr>
      <w:r>
        <w:rPr>
          <w:rFonts w:ascii="Trebuchet MS" w:hAnsi="Trebuchet MS"/>
        </w:rPr>
        <w:t>- zakończenie: do 1 miesiąca od dnia podpisania umowy.</w:t>
      </w:r>
    </w:p>
    <w:p w:rsidR="00D153FE" w:rsidRDefault="00D153FE">
      <w:pPr>
        <w:tabs>
          <w:tab w:val="left" w:pos="300"/>
        </w:tabs>
        <w:spacing w:line="360" w:lineRule="auto"/>
        <w:ind w:left="600" w:hanging="600"/>
        <w:jc w:val="both"/>
        <w:rPr>
          <w:rFonts w:ascii="Trebuchet MS" w:hAnsi="Trebuchet MS"/>
          <w:b/>
        </w:rPr>
      </w:pPr>
    </w:p>
    <w:p w:rsidR="00D153FE" w:rsidRDefault="00E141A6">
      <w:pPr>
        <w:tabs>
          <w:tab w:val="left" w:pos="300"/>
        </w:tabs>
        <w:spacing w:line="360" w:lineRule="auto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Wykonawca przed złożeniem oferty powinien dokonać  oględzin w terenie w celu zapoznania się z warunkami związanymi  z realizacją zamówienia oraz w celu pozyskania dodatkowych informacji koniecznych i przydatnych do oceny robót. Zamawiający informuje, że w rejonie  prowadzenia robót występują szkody górnicze, które spowodowały niewłaściwe działanie sieci kanalizacyjnej (miejscami w kanalizacji może występować duża ilość odpadu). Wyklucza się możliwość roszczeń Wykonawcy z tytułu błędnego skalkulowania ceny lub pominięcia elementów niezbędnych do wykonania umowy. Koszt oględzin miejsca prowadzenia robót ponosi Wykonawca. </w:t>
      </w:r>
    </w:p>
    <w:p w:rsidR="00D153FE" w:rsidRDefault="00D153FE">
      <w:pPr>
        <w:tabs>
          <w:tab w:val="left" w:pos="300"/>
        </w:tabs>
        <w:spacing w:line="360" w:lineRule="auto"/>
        <w:jc w:val="both"/>
        <w:rPr>
          <w:rFonts w:ascii="Trebuchet MS" w:hAnsi="Trebuchet MS"/>
          <w:b/>
        </w:rPr>
      </w:pPr>
    </w:p>
    <w:p w:rsidR="00D153FE" w:rsidRDefault="00E141A6">
      <w:pPr>
        <w:pStyle w:val="Nagwek2"/>
        <w:tabs>
          <w:tab w:val="left" w:pos="300"/>
        </w:tabs>
        <w:spacing w:line="360" w:lineRule="auto"/>
        <w:jc w:val="both"/>
        <w:rPr>
          <w:rFonts w:ascii="Trebuchet MS" w:hAnsi="Trebuchet MS"/>
          <w:b w:val="0"/>
          <w:sz w:val="20"/>
          <w:szCs w:val="20"/>
        </w:rPr>
      </w:pPr>
      <w:r w:rsidRPr="004A0392">
        <w:rPr>
          <w:rFonts w:ascii="Trebuchet MS" w:hAnsi="Trebuchet MS"/>
          <w:b w:val="0"/>
          <w:sz w:val="20"/>
          <w:szCs w:val="20"/>
        </w:rPr>
        <w:t xml:space="preserve">Pozostałe warunki </w:t>
      </w:r>
      <w:r>
        <w:rPr>
          <w:rFonts w:ascii="Trebuchet MS" w:hAnsi="Trebuchet MS"/>
          <w:b w:val="0"/>
          <w:sz w:val="20"/>
          <w:szCs w:val="20"/>
        </w:rPr>
        <w:t xml:space="preserve">i wymogi Zamawiającego </w:t>
      </w:r>
      <w:r w:rsidRPr="004A0392">
        <w:rPr>
          <w:rFonts w:ascii="Trebuchet MS" w:hAnsi="Trebuchet MS"/>
          <w:b w:val="0"/>
          <w:sz w:val="20"/>
          <w:szCs w:val="20"/>
        </w:rPr>
        <w:t>zostały przedstawione w załączonej do specyfikacji umowie.</w:t>
      </w:r>
      <w:r>
        <w:rPr>
          <w:rFonts w:ascii="Trebuchet MS" w:hAnsi="Trebuchet MS"/>
          <w:b w:val="0"/>
          <w:sz w:val="20"/>
          <w:szCs w:val="20"/>
        </w:rPr>
        <w:t xml:space="preserve">  </w:t>
      </w:r>
      <w:r>
        <w:rPr>
          <w:rFonts w:ascii="Trebuchet MS" w:hAnsi="Trebuchet MS"/>
          <w:bCs/>
          <w:sz w:val="20"/>
          <w:szCs w:val="20"/>
        </w:rPr>
        <w:t>Zamawiający nie dopuszcza składania ofert częściowych.  Podział na Zadania ma charakter jedynie informacyjny, umożliwiający bardziej precyzyjny opis przedmiotu zamówienia i ułatwiający organizację pracy Wykonawcy.</w:t>
      </w:r>
    </w:p>
    <w:p w:rsidR="00D153FE" w:rsidRDefault="00D153FE">
      <w:pPr>
        <w:pStyle w:val="Tytu"/>
        <w:tabs>
          <w:tab w:val="left" w:pos="300"/>
        </w:tabs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</w:p>
    <w:p w:rsidR="00D153FE" w:rsidRDefault="00D153FE">
      <w:pPr>
        <w:pStyle w:val="Tytu"/>
        <w:tabs>
          <w:tab w:val="left" w:pos="300"/>
        </w:tabs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</w:p>
    <w:p w:rsidR="00D153FE" w:rsidRDefault="00D153FE">
      <w:pPr>
        <w:spacing w:line="360" w:lineRule="auto"/>
        <w:rPr>
          <w:rFonts w:ascii="Trebuchet MS" w:hAnsi="Trebuchet MS"/>
          <w:b/>
          <w:u w:val="single"/>
        </w:rPr>
      </w:pPr>
    </w:p>
    <w:p w:rsidR="00D153FE" w:rsidRDefault="00D153FE">
      <w:pPr>
        <w:spacing w:line="360" w:lineRule="auto"/>
        <w:rPr>
          <w:rFonts w:ascii="Trebuchet MS" w:hAnsi="Trebuchet MS"/>
          <w:b/>
          <w:u w:val="single"/>
        </w:rPr>
      </w:pPr>
    </w:p>
    <w:p w:rsidR="00D153FE" w:rsidRDefault="00D153FE">
      <w:pPr>
        <w:spacing w:line="360" w:lineRule="auto"/>
        <w:rPr>
          <w:rFonts w:ascii="Trebuchet MS" w:hAnsi="Trebuchet MS"/>
          <w:b/>
          <w:u w:val="single"/>
        </w:rPr>
      </w:pPr>
    </w:p>
    <w:p w:rsidR="00D153FE" w:rsidRDefault="00D153FE">
      <w:pPr>
        <w:spacing w:line="360" w:lineRule="auto"/>
        <w:rPr>
          <w:rFonts w:ascii="Trebuchet MS" w:hAnsi="Trebuchet MS"/>
          <w:b/>
          <w:u w:val="single"/>
        </w:rPr>
      </w:pPr>
    </w:p>
    <w:p w:rsidR="00D153FE" w:rsidRDefault="00D153FE">
      <w:pPr>
        <w:spacing w:line="360" w:lineRule="auto"/>
        <w:rPr>
          <w:rFonts w:ascii="Trebuchet MS" w:hAnsi="Trebuchet MS"/>
          <w:b/>
          <w:u w:val="single"/>
        </w:rPr>
      </w:pPr>
    </w:p>
    <w:p w:rsidR="00D153FE" w:rsidRDefault="00D153FE">
      <w:pPr>
        <w:spacing w:line="360" w:lineRule="auto"/>
        <w:rPr>
          <w:rFonts w:ascii="Trebuchet MS" w:hAnsi="Trebuchet MS"/>
          <w:b/>
          <w:u w:val="single"/>
        </w:rPr>
      </w:pPr>
      <w:bookmarkStart w:id="1" w:name="_GoBack11"/>
      <w:bookmarkEnd w:id="1"/>
    </w:p>
    <w:p w:rsidR="00D153FE" w:rsidRDefault="00D153FE">
      <w:pPr>
        <w:spacing w:line="360" w:lineRule="auto"/>
        <w:rPr>
          <w:rFonts w:ascii="Trebuchet MS" w:hAnsi="Trebuchet MS"/>
          <w:b/>
          <w:u w:val="single"/>
        </w:rPr>
      </w:pPr>
    </w:p>
    <w:p w:rsidR="00D153FE" w:rsidRDefault="00E141A6">
      <w:pPr>
        <w:spacing w:line="360" w:lineRule="auto"/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 xml:space="preserve">Załączniki: </w:t>
      </w:r>
    </w:p>
    <w:p w:rsidR="00D153FE" w:rsidRDefault="00E141A6">
      <w:pPr>
        <w:spacing w:line="36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 - zał. nr 1 mapa sytuacyjna - rys. 01</w:t>
      </w:r>
    </w:p>
    <w:sectPr w:rsidR="00D153FE">
      <w:footerReference w:type="even" r:id="rId7"/>
      <w:footerReference w:type="default" r:id="rId8"/>
      <w:footerReference w:type="first" r:id="rId9"/>
      <w:pgSz w:w="11906" w:h="16838"/>
      <w:pgMar w:top="851" w:right="1418" w:bottom="851" w:left="1418" w:header="0" w:footer="301" w:gutter="0"/>
      <w:cols w:space="708"/>
      <w:formProt w:val="0"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6C7" w:rsidRDefault="000806C7">
      <w:r>
        <w:separator/>
      </w:r>
    </w:p>
  </w:endnote>
  <w:endnote w:type="continuationSeparator" w:id="0">
    <w:p w:rsidR="000806C7" w:rsidRDefault="00080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3FE" w:rsidRDefault="00E141A6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153FE" w:rsidRDefault="00E141A6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0pt;margin-top:0.05pt;width:1.1pt;height:1.1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3FE" w:rsidRDefault="00E141A6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5415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8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153FE" w:rsidRDefault="00E141A6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84627A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amka2" o:spid="_x0000_s1027" style="position:absolute;margin-left:-46.15pt;margin-top:.05pt;width:5.05pt;height:11.45pt;z-index:-25165977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" o:allowincell="f" filled="f" stroked="f" strokeweight="0">
              <v:textbox style="mso-fit-shape-to-text:t" inset="0,0,0,0">
                <w:txbxContent>
                  <w:p w:rsidR="00D153FE" w:rsidRDefault="00E141A6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84627A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3FE" w:rsidRDefault="00E141A6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5415"/>
              <wp:effectExtent l="0" t="0" r="0" b="0"/>
              <wp:wrapSquare wrapText="bothSides"/>
              <wp:docPr id="5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8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153FE" w:rsidRDefault="00E141A6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2" path="m0,0l-2147483645,0l-2147483645,-2147483646l0,-2147483646xe" fillcolor="white" stroked="f" o:allowincell="f" style="position:absolute;margin-left:448.35pt;margin-top:0.05pt;width:5pt;height:11.4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6C7" w:rsidRDefault="000806C7">
      <w:r>
        <w:separator/>
      </w:r>
    </w:p>
  </w:footnote>
  <w:footnote w:type="continuationSeparator" w:id="0">
    <w:p w:rsidR="000806C7" w:rsidRDefault="00080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32D3"/>
    <w:multiLevelType w:val="multilevel"/>
    <w:tmpl w:val="05CCCF48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196E355E"/>
    <w:multiLevelType w:val="multilevel"/>
    <w:tmpl w:val="41502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rebuchet MS" w:hAnsi="Trebuchet MS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 w15:restartNumberingAfterBreak="0">
    <w:nsid w:val="25F277DC"/>
    <w:multiLevelType w:val="multilevel"/>
    <w:tmpl w:val="2D5C6B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hAnsi="Trebuchet MS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4417B21"/>
    <w:multiLevelType w:val="multilevel"/>
    <w:tmpl w:val="0CB4D6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hAnsi="Trebuchet MS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A5D701C"/>
    <w:multiLevelType w:val="multilevel"/>
    <w:tmpl w:val="4D065F5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5AF413DC"/>
    <w:multiLevelType w:val="multilevel"/>
    <w:tmpl w:val="288623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C942E3"/>
    <w:multiLevelType w:val="multilevel"/>
    <w:tmpl w:val="78DABB3A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3"/>
    <w:lvlOverride w:ilvl="0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FE"/>
    <w:rsid w:val="000806C7"/>
    <w:rsid w:val="000907FA"/>
    <w:rsid w:val="000A3E0A"/>
    <w:rsid w:val="004A0392"/>
    <w:rsid w:val="0084627A"/>
    <w:rsid w:val="00853628"/>
    <w:rsid w:val="00CD4CC4"/>
    <w:rsid w:val="00D153FE"/>
    <w:rsid w:val="00E141A6"/>
    <w:rsid w:val="00E6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10530-4CCD-4F76-848C-5C1229DA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rsid w:val="001042D4"/>
    <w:pPr>
      <w:keepNext/>
      <w:jc w:val="right"/>
      <w:outlineLvl w:val="1"/>
    </w:pPr>
    <w:rPr>
      <w:b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9804A2"/>
  </w:style>
  <w:style w:type="character" w:customStyle="1" w:styleId="StopkaZnak">
    <w:name w:val="Stopka Znak"/>
    <w:basedOn w:val="Domylnaczcionkaakapitu"/>
    <w:link w:val="Stopka"/>
    <w:uiPriority w:val="99"/>
    <w:qFormat/>
    <w:rsid w:val="00093559"/>
  </w:style>
  <w:style w:type="character" w:customStyle="1" w:styleId="AkapitzlistZnak">
    <w:name w:val="Akapit z listą Znak"/>
    <w:link w:val="Akapitzlist"/>
    <w:uiPriority w:val="99"/>
    <w:qFormat/>
    <w:locked/>
    <w:rsid w:val="004A2D58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qFormat/>
    <w:rsid w:val="00BB66C8"/>
    <w:rPr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qFormat/>
    <w:rsid w:val="00BB66C8"/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rsid w:val="000521A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BB66C8"/>
    <w:pPr>
      <w:spacing w:after="120"/>
    </w:pPr>
    <w:rPr>
      <w:sz w:val="24"/>
      <w:szCs w:val="24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qFormat/>
    <w:pPr>
      <w:jc w:val="center"/>
    </w:pPr>
    <w:rPr>
      <w:b/>
      <w:bCs/>
      <w:sz w:val="24"/>
    </w:rPr>
  </w:style>
  <w:style w:type="paragraph" w:styleId="Stopka">
    <w:name w:val="footer"/>
    <w:basedOn w:val="Normalny"/>
    <w:link w:val="StopkaZnak"/>
    <w:uiPriority w:val="99"/>
    <w:rsid w:val="009804A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1042D4"/>
    <w:pPr>
      <w:tabs>
        <w:tab w:val="left" w:pos="426"/>
      </w:tabs>
    </w:pPr>
    <w:rPr>
      <w:sz w:val="22"/>
      <w:szCs w:val="24"/>
    </w:rPr>
  </w:style>
  <w:style w:type="paragraph" w:styleId="Tekstdymka">
    <w:name w:val="Balloon Text"/>
    <w:basedOn w:val="Normalny"/>
    <w:semiHidden/>
    <w:qFormat/>
    <w:rsid w:val="00797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5A5EB8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numbering" w:styleId="111111">
    <w:name w:val="Outline List 2"/>
    <w:qFormat/>
    <w:rsid w:val="00524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PWiK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Techniczny</dc:creator>
  <dc:description/>
  <cp:lastModifiedBy>Iwona Rother</cp:lastModifiedBy>
  <cp:revision>8</cp:revision>
  <cp:lastPrinted>2024-04-12T10:55:00Z</cp:lastPrinted>
  <dcterms:created xsi:type="dcterms:W3CDTF">2024-08-13T09:54:00Z</dcterms:created>
  <dcterms:modified xsi:type="dcterms:W3CDTF">2024-08-21T10:43:00Z</dcterms:modified>
  <dc:language>pl-PL</dc:language>
</cp:coreProperties>
</file>