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30" w:rsidRPr="00594930" w:rsidRDefault="00594930" w:rsidP="00594930">
      <w:pPr>
        <w:rPr>
          <w:b/>
          <w:sz w:val="28"/>
        </w:rPr>
      </w:pPr>
      <w:r w:rsidRPr="00594930">
        <w:rPr>
          <w:b/>
          <w:sz w:val="28"/>
        </w:rPr>
        <w:t>D-05.02.01 POBOCZE  UTWARDZONE  KRUSZYWEM  ŁAMANYM</w:t>
      </w:r>
    </w:p>
    <w:p w:rsidR="00594930" w:rsidRPr="00594930" w:rsidRDefault="00594930" w:rsidP="00594930">
      <w:pPr>
        <w:pStyle w:val="Nagwek1"/>
        <w:spacing w:before="0" w:after="0"/>
      </w:pPr>
      <w:bookmarkStart w:id="0" w:name="_Toc211316612"/>
    </w:p>
    <w:p w:rsidR="00594930" w:rsidRPr="00594930" w:rsidRDefault="00594930" w:rsidP="00594930">
      <w:pPr>
        <w:pStyle w:val="Nagwek1"/>
        <w:spacing w:before="0" w:after="0"/>
      </w:pPr>
      <w:r w:rsidRPr="00594930">
        <w:t>1. WSTĘP</w:t>
      </w:r>
      <w:bookmarkEnd w:id="0"/>
    </w:p>
    <w:p w:rsidR="00594930" w:rsidRPr="00594930" w:rsidRDefault="00594930" w:rsidP="00594930">
      <w:pPr>
        <w:pStyle w:val="Nagwek2"/>
        <w:spacing w:before="0" w:after="0"/>
      </w:pPr>
      <w:r w:rsidRPr="00594930">
        <w:t>1.1. Przedmiot STWIORB</w:t>
      </w:r>
    </w:p>
    <w:p w:rsidR="00594930" w:rsidRPr="00594930" w:rsidRDefault="00594930" w:rsidP="00594930">
      <w:pPr>
        <w:pStyle w:val="Standardowytekst"/>
      </w:pPr>
      <w:r w:rsidRPr="00594930">
        <w:tab/>
        <w:t>Przedmiotem niniejszej szczegółowej Specyfikacji Technicznej Wykonania i Odbioru Robót Budowlanych (</w:t>
      </w:r>
      <w:proofErr w:type="spellStart"/>
      <w:r w:rsidRPr="00594930">
        <w:t>STWiORB</w:t>
      </w:r>
      <w:proofErr w:type="spellEnd"/>
      <w:r w:rsidRPr="00594930">
        <w:t xml:space="preserve">) są wymagania dotyczące wykonania i odbioru robót związanych z utwardzeniem pobocza kruszywem łamanym dla zadania: </w:t>
      </w:r>
      <w:r w:rsidR="00487E2D">
        <w:rPr>
          <w:b/>
        </w:rPr>
        <w:t>Rozbudowa drogi wojewódzkiej nr 409 na odcinku Rożniątów – Strzelce Opolskie w km 40+078 ÷ 42+782</w:t>
      </w:r>
      <w:r w:rsidRPr="00594930">
        <w:rPr>
          <w:b/>
        </w:rPr>
        <w:t>.</w:t>
      </w:r>
    </w:p>
    <w:p w:rsidR="00594930" w:rsidRPr="00594930" w:rsidRDefault="00594930" w:rsidP="00594930">
      <w:pPr>
        <w:pStyle w:val="Nagwek2"/>
        <w:spacing w:before="0" w:after="0"/>
      </w:pPr>
      <w:r w:rsidRPr="00594930">
        <w:t>1.2. Zakres stosowania STWIORB</w:t>
      </w:r>
    </w:p>
    <w:p w:rsidR="00594930" w:rsidRPr="00594930" w:rsidRDefault="00594930" w:rsidP="00594930">
      <w:pPr>
        <w:ind w:right="-1" w:firstLine="708"/>
      </w:pPr>
      <w:r w:rsidRPr="00594930">
        <w:t xml:space="preserve">Specyfikacja Techniczna Wykonania i Odbioru Robót Budowlanych – </w:t>
      </w:r>
      <w:proofErr w:type="spellStart"/>
      <w:r w:rsidRPr="00594930">
        <w:t>STWiORB</w:t>
      </w:r>
      <w:proofErr w:type="spellEnd"/>
      <w:r w:rsidRPr="00594930">
        <w:t xml:space="preserve"> jest stosowana jako dokument przetargowy i kontraktowy przy zlecaniu i realizacji robót wymienionych w punkcie 1.1.</w:t>
      </w:r>
    </w:p>
    <w:p w:rsidR="00594930" w:rsidRPr="00594930" w:rsidRDefault="00594930" w:rsidP="00594930">
      <w:pPr>
        <w:pStyle w:val="Nagwek2"/>
        <w:numPr>
          <w:ilvl w:val="1"/>
          <w:numId w:val="0"/>
        </w:numPr>
        <w:tabs>
          <w:tab w:val="num" w:pos="567"/>
        </w:tabs>
        <w:spacing w:before="0" w:after="0"/>
        <w:ind w:left="907" w:hanging="907"/>
      </w:pPr>
      <w:r w:rsidRPr="00594930">
        <w:t>1.3. Zakres robót objętych STWIORB</w:t>
      </w:r>
    </w:p>
    <w:p w:rsidR="00594930" w:rsidRPr="00594930" w:rsidRDefault="00594930" w:rsidP="00594930">
      <w:pPr>
        <w:pStyle w:val="Nagwek2"/>
        <w:spacing w:before="0" w:after="0"/>
        <w:rPr>
          <w:b w:val="0"/>
        </w:rPr>
      </w:pPr>
      <w:r w:rsidRPr="00594930">
        <w:rPr>
          <w:b w:val="0"/>
        </w:rPr>
        <w:t>Specyfikacja techniczna stosowana jest jako dokument przetargowy i kontraktowy przy zlecaniu i realizacji robót związanych z umocnieniem poboczy.</w:t>
      </w:r>
    </w:p>
    <w:p w:rsidR="00594930" w:rsidRPr="00594930" w:rsidRDefault="00594930" w:rsidP="00594930">
      <w:pPr>
        <w:pStyle w:val="Nagwek2"/>
        <w:numPr>
          <w:ilvl w:val="1"/>
          <w:numId w:val="0"/>
        </w:numPr>
        <w:tabs>
          <w:tab w:val="num" w:pos="567"/>
        </w:tabs>
        <w:spacing w:before="0" w:after="0"/>
        <w:ind w:left="907" w:hanging="907"/>
      </w:pPr>
      <w:r w:rsidRPr="00594930">
        <w:t>1.4.Określenia podstawowe</w:t>
      </w:r>
    </w:p>
    <w:p w:rsidR="00594930" w:rsidRPr="00594930" w:rsidRDefault="00594930" w:rsidP="00594930">
      <w:pPr>
        <w:pStyle w:val="Nagwek3"/>
        <w:widowControl w:val="0"/>
        <w:numPr>
          <w:ilvl w:val="2"/>
          <w:numId w:val="0"/>
        </w:numPr>
        <w:tabs>
          <w:tab w:val="num" w:pos="680"/>
          <w:tab w:val="num" w:pos="2381"/>
        </w:tabs>
        <w:spacing w:after="0"/>
        <w:ind w:left="709" w:hanging="709"/>
        <w:rPr>
          <w:sz w:val="18"/>
        </w:rPr>
      </w:pPr>
      <w:r w:rsidRPr="00594930">
        <w:rPr>
          <w:sz w:val="18"/>
        </w:rPr>
        <w:t>Pobocze gruntowe - część korony drogi przeznaczona do chwilowego zatrzymania się pojazdów, umieszczenia urządzeń bezpieczeństwa ruchu i wykorzystywana do ruchu pieszych, służąca jednocześnie do bocznego oparcia konstrukcji nawierzchni.</w:t>
      </w:r>
    </w:p>
    <w:p w:rsidR="00594930" w:rsidRPr="00594930" w:rsidRDefault="00594930" w:rsidP="00594930">
      <w:pPr>
        <w:rPr>
          <w:rFonts w:cs="Arial"/>
          <w:sz w:val="18"/>
          <w:szCs w:val="18"/>
        </w:rPr>
      </w:pPr>
      <w:r w:rsidRPr="00594930">
        <w:rPr>
          <w:rFonts w:cs="Arial"/>
          <w:sz w:val="18"/>
          <w:szCs w:val="18"/>
        </w:rPr>
        <w:t>Pozostałe określenia podstawowe są zgodne z odpowiednimi polskimi normami i z definicjami podanymi w STWIORB D-M-00.00.00 „Wymagania ogólne” pkt 1.4.</w:t>
      </w:r>
    </w:p>
    <w:p w:rsidR="00594930" w:rsidRPr="00594930" w:rsidRDefault="00594930" w:rsidP="00594930">
      <w:pPr>
        <w:pStyle w:val="Nagwek2"/>
        <w:numPr>
          <w:ilvl w:val="1"/>
          <w:numId w:val="0"/>
        </w:numPr>
        <w:tabs>
          <w:tab w:val="num" w:pos="567"/>
        </w:tabs>
        <w:spacing w:before="0" w:after="0"/>
        <w:ind w:left="907" w:hanging="907"/>
      </w:pPr>
      <w:r w:rsidRPr="00594930">
        <w:t>1.5.Ogólne wymagania dotyczące robót</w:t>
      </w:r>
    </w:p>
    <w:p w:rsidR="00594930" w:rsidRPr="00594930" w:rsidRDefault="00594930" w:rsidP="00594930">
      <w:pPr>
        <w:rPr>
          <w:rFonts w:cs="Arial"/>
          <w:sz w:val="18"/>
          <w:szCs w:val="18"/>
        </w:rPr>
      </w:pPr>
      <w:r w:rsidRPr="00594930">
        <w:rPr>
          <w:rFonts w:cs="Arial"/>
          <w:sz w:val="18"/>
          <w:szCs w:val="18"/>
        </w:rPr>
        <w:t>Ogólne wymagania dotyczące robót podano w STWIORB D-M-00.00.00 „Wymagania ogólne” pkt 1.5.</w:t>
      </w:r>
    </w:p>
    <w:p w:rsidR="00594930" w:rsidRPr="00594930" w:rsidRDefault="00594930" w:rsidP="00594930">
      <w:pPr>
        <w:pStyle w:val="Nagwek1"/>
        <w:tabs>
          <w:tab w:val="num" w:pos="567"/>
        </w:tabs>
        <w:spacing w:before="0" w:after="0"/>
        <w:ind w:left="907" w:hanging="907"/>
      </w:pPr>
    </w:p>
    <w:p w:rsidR="00594930" w:rsidRPr="00594930" w:rsidRDefault="00594930" w:rsidP="00594930">
      <w:pPr>
        <w:pStyle w:val="Nagwek1"/>
        <w:tabs>
          <w:tab w:val="num" w:pos="567"/>
        </w:tabs>
        <w:spacing w:before="0" w:after="0"/>
        <w:ind w:left="907" w:hanging="907"/>
      </w:pPr>
      <w:r w:rsidRPr="00594930">
        <w:t>2.MATERIAŁY</w:t>
      </w:r>
    </w:p>
    <w:p w:rsidR="00594930" w:rsidRPr="00594930" w:rsidRDefault="00594930" w:rsidP="00594930">
      <w:pPr>
        <w:pStyle w:val="Nagwek2"/>
        <w:numPr>
          <w:ilvl w:val="1"/>
          <w:numId w:val="0"/>
        </w:numPr>
        <w:tabs>
          <w:tab w:val="num" w:pos="567"/>
        </w:tabs>
        <w:spacing w:before="0" w:after="0"/>
        <w:ind w:left="907" w:hanging="907"/>
      </w:pPr>
      <w:r w:rsidRPr="00594930">
        <w:t>2.1.Ogólne wymagania dotyczące materiałów</w:t>
      </w:r>
    </w:p>
    <w:p w:rsidR="00594930" w:rsidRPr="00594930" w:rsidRDefault="00594930" w:rsidP="00594930">
      <w:pPr>
        <w:rPr>
          <w:rFonts w:cs="Arial"/>
          <w:sz w:val="18"/>
          <w:szCs w:val="18"/>
        </w:rPr>
      </w:pPr>
      <w:r w:rsidRPr="00594930">
        <w:rPr>
          <w:rFonts w:cs="Arial"/>
          <w:sz w:val="18"/>
          <w:szCs w:val="18"/>
        </w:rPr>
        <w:t>Ogólne wymagania dotyczące materiałów, ich pozyskiwania i składowania, podano w STWIORB D-M-00.00.00 „Wymagania ogólne” pkt 2.</w:t>
      </w:r>
    </w:p>
    <w:p w:rsidR="00594930" w:rsidRPr="00594930" w:rsidRDefault="00594930" w:rsidP="00594930">
      <w:pPr>
        <w:pStyle w:val="Nagwek2"/>
        <w:numPr>
          <w:ilvl w:val="1"/>
          <w:numId w:val="0"/>
        </w:numPr>
        <w:tabs>
          <w:tab w:val="num" w:pos="567"/>
        </w:tabs>
        <w:spacing w:before="0" w:after="0"/>
        <w:ind w:left="907" w:hanging="907"/>
      </w:pPr>
      <w:r w:rsidRPr="00594930">
        <w:t>2.2.Kruszywo</w:t>
      </w:r>
    </w:p>
    <w:p w:rsidR="00594930" w:rsidRPr="00594930" w:rsidRDefault="00594930" w:rsidP="00594930">
      <w:pPr>
        <w:rPr>
          <w:rFonts w:cs="Arial"/>
          <w:iCs/>
          <w:sz w:val="18"/>
          <w:szCs w:val="18"/>
        </w:rPr>
      </w:pPr>
      <w:r w:rsidRPr="00594930">
        <w:rPr>
          <w:rFonts w:cs="Arial"/>
          <w:iCs/>
          <w:sz w:val="18"/>
          <w:szCs w:val="18"/>
        </w:rPr>
        <w:t xml:space="preserve">Materiałem do wykonania uzupełnienia pobocza z kruszyw łamanych stabilizowanych mechanicznie powinno być kruszywo łamane </w:t>
      </w:r>
      <w:r w:rsidRPr="00594930">
        <w:rPr>
          <w:rFonts w:cs="Arial"/>
          <w:b/>
          <w:iCs/>
          <w:sz w:val="18"/>
          <w:szCs w:val="18"/>
        </w:rPr>
        <w:t>Gabro</w:t>
      </w:r>
      <w:r w:rsidRPr="00594930">
        <w:rPr>
          <w:rFonts w:cs="Arial"/>
          <w:iCs/>
          <w:sz w:val="18"/>
          <w:szCs w:val="18"/>
        </w:rPr>
        <w:t xml:space="preserve">, niezwiązane o uziarnieniu 0/31,5mm uzyskane w wyniku </w:t>
      </w:r>
      <w:proofErr w:type="spellStart"/>
      <w:r w:rsidRPr="00594930">
        <w:rPr>
          <w:rFonts w:cs="Arial"/>
          <w:iCs/>
          <w:sz w:val="18"/>
          <w:szCs w:val="18"/>
        </w:rPr>
        <w:t>przekruszenia</w:t>
      </w:r>
      <w:proofErr w:type="spellEnd"/>
      <w:r w:rsidRPr="00594930">
        <w:rPr>
          <w:rFonts w:cs="Arial"/>
          <w:iCs/>
          <w:sz w:val="18"/>
          <w:szCs w:val="18"/>
        </w:rPr>
        <w:t xml:space="preserve"> surowca skalnego lub kamieni narzutowych i otoczaków albo </w:t>
      </w:r>
      <w:proofErr w:type="spellStart"/>
      <w:r w:rsidRPr="00594930">
        <w:rPr>
          <w:rFonts w:cs="Arial"/>
          <w:iCs/>
          <w:sz w:val="18"/>
          <w:szCs w:val="18"/>
        </w:rPr>
        <w:t>ziarn</w:t>
      </w:r>
      <w:proofErr w:type="spellEnd"/>
      <w:r w:rsidRPr="00594930">
        <w:rPr>
          <w:rFonts w:cs="Arial"/>
          <w:iCs/>
          <w:sz w:val="18"/>
          <w:szCs w:val="18"/>
        </w:rPr>
        <w:t xml:space="preserve"> żwiru większych od 8 mm.</w:t>
      </w:r>
    </w:p>
    <w:p w:rsidR="00594930" w:rsidRPr="00594930" w:rsidRDefault="00594930" w:rsidP="00594930">
      <w:pPr>
        <w:rPr>
          <w:rFonts w:cs="Arial"/>
          <w:iCs/>
        </w:rPr>
      </w:pPr>
      <w:r w:rsidRPr="00594930">
        <w:rPr>
          <w:rFonts w:cs="Arial"/>
          <w:iCs/>
        </w:rPr>
        <w:t>Kruszywo powinno być jednorodne bez zanieczyszczeń obcych i bez domieszek gliny. Barwa kruszywa – jasna.</w:t>
      </w:r>
    </w:p>
    <w:p w:rsidR="00594930" w:rsidRPr="00594930" w:rsidRDefault="00594930" w:rsidP="00594930">
      <w:pPr>
        <w:rPr>
          <w:rFonts w:cs="Arial"/>
          <w:iCs/>
        </w:rPr>
      </w:pPr>
      <w:r w:rsidRPr="00594930">
        <w:rPr>
          <w:rFonts w:cs="Arial"/>
          <w:iCs/>
        </w:rPr>
        <w:t xml:space="preserve">Krzywa uziarnienia kruszywa, określona według </w:t>
      </w:r>
      <w:r w:rsidRPr="00594930">
        <w:t>PN-EN 933-1:2000/A1 2006</w:t>
      </w:r>
      <w:r w:rsidRPr="00594930">
        <w:rPr>
          <w:rFonts w:cs="Arial"/>
          <w:iCs/>
        </w:rPr>
        <w:t xml:space="preserve"> powinna leżeć między krzywymi granicznymi o rzędnych podanych w tablicy 1</w:t>
      </w:r>
    </w:p>
    <w:p w:rsidR="00594930" w:rsidRPr="00594930" w:rsidRDefault="00594930" w:rsidP="00594930">
      <w:pPr>
        <w:rPr>
          <w:rFonts w:cs="Arial"/>
          <w:iCs/>
          <w:sz w:val="18"/>
          <w:szCs w:val="18"/>
        </w:rPr>
      </w:pPr>
    </w:p>
    <w:p w:rsidR="00594930" w:rsidRPr="00594930" w:rsidRDefault="00594930" w:rsidP="00594930">
      <w:pPr>
        <w:rPr>
          <w:rFonts w:cs="Arial"/>
          <w:iCs/>
          <w:sz w:val="18"/>
          <w:szCs w:val="18"/>
        </w:rPr>
      </w:pPr>
      <w:r w:rsidRPr="00594930">
        <w:rPr>
          <w:rFonts w:cs="Arial"/>
          <w:iCs/>
          <w:sz w:val="18"/>
          <w:szCs w:val="18"/>
        </w:rPr>
        <w:t>Tablica 1.  Uziarnienie mieszanki kruszywa niezwiązanego 0/31,5 mm na umocnienie pobocza</w:t>
      </w:r>
    </w:p>
    <w:p w:rsidR="00594930" w:rsidRPr="00594930" w:rsidRDefault="00594930" w:rsidP="00594930">
      <w:pPr>
        <w:rPr>
          <w:rFonts w:cs="Arial"/>
          <w:sz w:val="18"/>
          <w:szCs w:val="18"/>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552"/>
      </w:tblGrid>
      <w:tr w:rsidR="00594930" w:rsidRPr="00594930" w:rsidTr="00182D13">
        <w:trPr>
          <w:trHeight w:val="331"/>
        </w:trPr>
        <w:tc>
          <w:tcPr>
            <w:tcW w:w="2693" w:type="dxa"/>
            <w:vAlign w:val="center"/>
          </w:tcPr>
          <w:p w:rsidR="00594930" w:rsidRPr="00594930" w:rsidRDefault="00594930" w:rsidP="00182D13">
            <w:pPr>
              <w:jc w:val="center"/>
              <w:rPr>
                <w:sz w:val="18"/>
              </w:rPr>
            </w:pPr>
            <w:r w:rsidRPr="00594930">
              <w:rPr>
                <w:sz w:val="18"/>
              </w:rPr>
              <w:t>Sito kwadratowe [mm]</w:t>
            </w:r>
          </w:p>
        </w:tc>
        <w:tc>
          <w:tcPr>
            <w:tcW w:w="2552" w:type="dxa"/>
            <w:vAlign w:val="center"/>
          </w:tcPr>
          <w:p w:rsidR="00594930" w:rsidRPr="00594930" w:rsidRDefault="00594930" w:rsidP="00182D13">
            <w:pPr>
              <w:jc w:val="center"/>
              <w:rPr>
                <w:sz w:val="18"/>
              </w:rPr>
            </w:pPr>
            <w:r w:rsidRPr="00594930">
              <w:rPr>
                <w:sz w:val="18"/>
              </w:rPr>
              <w:t>Przechodzi przez sito [%]</w:t>
            </w:r>
          </w:p>
        </w:tc>
      </w:tr>
      <w:tr w:rsidR="00594930" w:rsidRPr="00594930" w:rsidTr="00182D13">
        <w:trPr>
          <w:trHeight w:val="278"/>
        </w:trPr>
        <w:tc>
          <w:tcPr>
            <w:tcW w:w="2693" w:type="dxa"/>
            <w:vAlign w:val="center"/>
          </w:tcPr>
          <w:p w:rsidR="00594930" w:rsidRPr="00594930" w:rsidRDefault="00594930" w:rsidP="00182D13">
            <w:pPr>
              <w:rPr>
                <w:rFonts w:cs="Arial"/>
                <w:iCs/>
                <w:sz w:val="18"/>
              </w:rPr>
            </w:pPr>
            <w:r w:rsidRPr="00594930">
              <w:rPr>
                <w:rFonts w:cs="Arial"/>
                <w:iCs/>
                <w:sz w:val="18"/>
              </w:rPr>
              <w:t>Przechodzi przez:</w:t>
            </w:r>
          </w:p>
          <w:p w:rsidR="00594930" w:rsidRPr="00594930" w:rsidRDefault="00594930" w:rsidP="00182D13">
            <w:pPr>
              <w:jc w:val="center"/>
              <w:rPr>
                <w:rFonts w:cs="Arial"/>
                <w:iCs/>
                <w:sz w:val="18"/>
              </w:rPr>
            </w:pPr>
            <w:r w:rsidRPr="00594930">
              <w:rPr>
                <w:rFonts w:cs="Arial"/>
                <w:iCs/>
                <w:sz w:val="18"/>
              </w:rPr>
              <w:t>45</w:t>
            </w:r>
          </w:p>
          <w:p w:rsidR="00594930" w:rsidRPr="00594930" w:rsidRDefault="00594930" w:rsidP="00182D13">
            <w:pPr>
              <w:jc w:val="center"/>
              <w:rPr>
                <w:rFonts w:cs="Arial"/>
                <w:iCs/>
                <w:sz w:val="18"/>
              </w:rPr>
            </w:pPr>
            <w:r w:rsidRPr="00594930">
              <w:rPr>
                <w:rFonts w:cs="Arial"/>
                <w:iCs/>
                <w:sz w:val="18"/>
              </w:rPr>
              <w:t>31,5</w:t>
            </w:r>
          </w:p>
          <w:p w:rsidR="00594930" w:rsidRPr="00594930" w:rsidRDefault="00594930" w:rsidP="00182D13">
            <w:pPr>
              <w:jc w:val="center"/>
              <w:rPr>
                <w:rFonts w:cs="Arial"/>
                <w:iCs/>
                <w:sz w:val="18"/>
              </w:rPr>
            </w:pPr>
            <w:r w:rsidRPr="00594930">
              <w:rPr>
                <w:rFonts w:cs="Arial"/>
                <w:iCs/>
                <w:sz w:val="18"/>
              </w:rPr>
              <w:t>16</w:t>
            </w:r>
          </w:p>
          <w:p w:rsidR="00594930" w:rsidRPr="00594930" w:rsidRDefault="00594930" w:rsidP="00182D13">
            <w:pPr>
              <w:jc w:val="center"/>
              <w:rPr>
                <w:rFonts w:cs="Arial"/>
                <w:iCs/>
                <w:sz w:val="18"/>
              </w:rPr>
            </w:pPr>
            <w:r w:rsidRPr="00594930">
              <w:rPr>
                <w:rFonts w:cs="Arial"/>
                <w:iCs/>
                <w:sz w:val="18"/>
              </w:rPr>
              <w:t>8</w:t>
            </w:r>
          </w:p>
          <w:p w:rsidR="00594930" w:rsidRPr="00594930" w:rsidRDefault="00594930" w:rsidP="00182D13">
            <w:pPr>
              <w:jc w:val="center"/>
              <w:rPr>
                <w:rFonts w:cs="Arial"/>
                <w:iCs/>
                <w:sz w:val="18"/>
              </w:rPr>
            </w:pPr>
            <w:r w:rsidRPr="00594930">
              <w:rPr>
                <w:rFonts w:cs="Arial"/>
                <w:iCs/>
                <w:sz w:val="18"/>
              </w:rPr>
              <w:t>4</w:t>
            </w:r>
          </w:p>
          <w:p w:rsidR="00594930" w:rsidRPr="00594930" w:rsidRDefault="00594930" w:rsidP="00182D13">
            <w:pPr>
              <w:jc w:val="center"/>
              <w:rPr>
                <w:rFonts w:cs="Arial"/>
                <w:iCs/>
                <w:sz w:val="18"/>
              </w:rPr>
            </w:pPr>
            <w:r w:rsidRPr="00594930">
              <w:rPr>
                <w:rFonts w:cs="Arial"/>
                <w:iCs/>
                <w:sz w:val="18"/>
              </w:rPr>
              <w:t>2</w:t>
            </w:r>
          </w:p>
          <w:p w:rsidR="00594930" w:rsidRPr="00594930" w:rsidRDefault="00594930" w:rsidP="00182D13">
            <w:pPr>
              <w:jc w:val="center"/>
              <w:rPr>
                <w:rFonts w:cs="Arial"/>
                <w:iCs/>
                <w:sz w:val="18"/>
              </w:rPr>
            </w:pPr>
            <w:r w:rsidRPr="00594930">
              <w:rPr>
                <w:rFonts w:cs="Arial"/>
                <w:iCs/>
                <w:sz w:val="18"/>
              </w:rPr>
              <w:t>1</w:t>
            </w:r>
          </w:p>
          <w:p w:rsidR="00594930" w:rsidRPr="00594930" w:rsidRDefault="00594930" w:rsidP="00182D13">
            <w:pPr>
              <w:jc w:val="center"/>
              <w:rPr>
                <w:rFonts w:cs="Arial"/>
                <w:iCs/>
                <w:sz w:val="18"/>
              </w:rPr>
            </w:pPr>
            <w:r w:rsidRPr="00594930">
              <w:rPr>
                <w:rFonts w:cs="Arial"/>
                <w:iCs/>
                <w:sz w:val="18"/>
              </w:rPr>
              <w:t>0,5</w:t>
            </w:r>
          </w:p>
          <w:p w:rsidR="00594930" w:rsidRPr="00594930" w:rsidRDefault="00594930" w:rsidP="00182D13">
            <w:pPr>
              <w:jc w:val="center"/>
              <w:rPr>
                <w:sz w:val="18"/>
              </w:rPr>
            </w:pPr>
            <w:r w:rsidRPr="00594930">
              <w:rPr>
                <w:rFonts w:cs="Arial"/>
                <w:iCs/>
                <w:sz w:val="18"/>
              </w:rPr>
              <w:t>0,063</w:t>
            </w:r>
          </w:p>
        </w:tc>
        <w:tc>
          <w:tcPr>
            <w:tcW w:w="2552" w:type="dxa"/>
            <w:vAlign w:val="center"/>
          </w:tcPr>
          <w:p w:rsidR="00594930" w:rsidRPr="00594930" w:rsidRDefault="00594930" w:rsidP="00182D13">
            <w:pPr>
              <w:jc w:val="center"/>
              <w:rPr>
                <w:rFonts w:cs="Arial"/>
                <w:iCs/>
                <w:sz w:val="18"/>
              </w:rPr>
            </w:pPr>
          </w:p>
          <w:p w:rsidR="00594930" w:rsidRPr="00594930" w:rsidRDefault="00594930" w:rsidP="00182D13">
            <w:pPr>
              <w:jc w:val="center"/>
              <w:rPr>
                <w:rFonts w:cs="Arial"/>
                <w:iCs/>
                <w:sz w:val="18"/>
              </w:rPr>
            </w:pPr>
            <w:r w:rsidRPr="00594930">
              <w:rPr>
                <w:rFonts w:cs="Arial"/>
                <w:iCs/>
                <w:sz w:val="18"/>
              </w:rPr>
              <w:t>100</w:t>
            </w:r>
          </w:p>
          <w:p w:rsidR="00594930" w:rsidRPr="00594930" w:rsidRDefault="00594930" w:rsidP="00182D13">
            <w:pPr>
              <w:jc w:val="center"/>
              <w:rPr>
                <w:rFonts w:cs="Arial"/>
                <w:iCs/>
                <w:sz w:val="18"/>
              </w:rPr>
            </w:pPr>
            <w:r w:rsidRPr="00594930">
              <w:rPr>
                <w:rFonts w:cs="Arial"/>
                <w:iCs/>
                <w:sz w:val="18"/>
              </w:rPr>
              <w:t>90  - 100</w:t>
            </w:r>
          </w:p>
          <w:p w:rsidR="00594930" w:rsidRPr="00594930" w:rsidRDefault="00594930" w:rsidP="00182D13">
            <w:pPr>
              <w:jc w:val="center"/>
              <w:rPr>
                <w:rFonts w:cs="Arial"/>
                <w:iCs/>
                <w:sz w:val="18"/>
              </w:rPr>
            </w:pPr>
            <w:r w:rsidRPr="00594930">
              <w:rPr>
                <w:rFonts w:cs="Arial"/>
                <w:iCs/>
                <w:sz w:val="18"/>
              </w:rPr>
              <w:t>55  -  85</w:t>
            </w:r>
          </w:p>
          <w:p w:rsidR="00594930" w:rsidRPr="00594930" w:rsidRDefault="00594930" w:rsidP="00182D13">
            <w:pPr>
              <w:jc w:val="center"/>
              <w:rPr>
                <w:rFonts w:cs="Arial"/>
                <w:iCs/>
                <w:sz w:val="18"/>
              </w:rPr>
            </w:pPr>
            <w:r w:rsidRPr="00594930">
              <w:rPr>
                <w:rFonts w:cs="Arial"/>
                <w:iCs/>
                <w:sz w:val="18"/>
              </w:rPr>
              <w:t>35  -  68</w:t>
            </w:r>
          </w:p>
          <w:p w:rsidR="00594930" w:rsidRPr="00594930" w:rsidRDefault="00594930" w:rsidP="00182D13">
            <w:pPr>
              <w:jc w:val="center"/>
              <w:rPr>
                <w:rFonts w:cs="Arial"/>
                <w:iCs/>
                <w:sz w:val="18"/>
              </w:rPr>
            </w:pPr>
            <w:r w:rsidRPr="00594930">
              <w:rPr>
                <w:rFonts w:cs="Arial"/>
                <w:iCs/>
                <w:sz w:val="18"/>
              </w:rPr>
              <w:t>22  -  60</w:t>
            </w:r>
          </w:p>
          <w:p w:rsidR="00594930" w:rsidRPr="00594930" w:rsidRDefault="00594930" w:rsidP="00182D13">
            <w:pPr>
              <w:jc w:val="center"/>
              <w:rPr>
                <w:rFonts w:cs="Arial"/>
                <w:iCs/>
                <w:sz w:val="18"/>
              </w:rPr>
            </w:pPr>
            <w:r w:rsidRPr="00594930">
              <w:rPr>
                <w:rFonts w:cs="Arial"/>
                <w:iCs/>
                <w:sz w:val="18"/>
              </w:rPr>
              <w:t>16  -  47</w:t>
            </w:r>
          </w:p>
          <w:p w:rsidR="00594930" w:rsidRPr="00594930" w:rsidRDefault="00594930" w:rsidP="00182D13">
            <w:pPr>
              <w:jc w:val="center"/>
              <w:rPr>
                <w:rFonts w:cs="Arial"/>
                <w:iCs/>
                <w:sz w:val="18"/>
              </w:rPr>
            </w:pPr>
            <w:r w:rsidRPr="00594930">
              <w:rPr>
                <w:rFonts w:cs="Arial"/>
                <w:iCs/>
                <w:sz w:val="18"/>
              </w:rPr>
              <w:t>9  -  40</w:t>
            </w:r>
          </w:p>
          <w:p w:rsidR="00594930" w:rsidRPr="00594930" w:rsidRDefault="00594930" w:rsidP="00182D13">
            <w:pPr>
              <w:jc w:val="center"/>
              <w:rPr>
                <w:rFonts w:cs="Arial"/>
                <w:iCs/>
                <w:sz w:val="18"/>
              </w:rPr>
            </w:pPr>
            <w:r w:rsidRPr="00594930">
              <w:rPr>
                <w:rFonts w:cs="Arial"/>
                <w:iCs/>
                <w:sz w:val="18"/>
              </w:rPr>
              <w:t>5  -  35</w:t>
            </w:r>
          </w:p>
          <w:p w:rsidR="00594930" w:rsidRPr="00594930" w:rsidRDefault="00594930" w:rsidP="00182D13">
            <w:pPr>
              <w:jc w:val="center"/>
              <w:rPr>
                <w:rFonts w:ascii="ArialNarrow-Italic" w:hAnsi="ArialNarrow-Italic" w:cs="ArialNarrow-Italic"/>
                <w:i/>
                <w:iCs/>
              </w:rPr>
            </w:pPr>
            <w:r w:rsidRPr="00594930">
              <w:rPr>
                <w:rFonts w:cs="Arial"/>
                <w:iCs/>
                <w:sz w:val="18"/>
              </w:rPr>
              <w:t>0  -  9</w:t>
            </w:r>
          </w:p>
        </w:tc>
      </w:tr>
    </w:tbl>
    <w:p w:rsidR="00594930" w:rsidRPr="00594930" w:rsidRDefault="00594930" w:rsidP="00594930">
      <w:pPr>
        <w:rPr>
          <w:sz w:val="18"/>
        </w:rPr>
      </w:pPr>
    </w:p>
    <w:p w:rsidR="00594930" w:rsidRPr="00594930" w:rsidRDefault="00594930" w:rsidP="00594930">
      <w:pPr>
        <w:rPr>
          <w:rFonts w:cs="Arial"/>
          <w:iCs/>
          <w:sz w:val="18"/>
          <w:szCs w:val="18"/>
        </w:rPr>
      </w:pPr>
    </w:p>
    <w:p w:rsidR="00594930" w:rsidRPr="00594930" w:rsidRDefault="00594930" w:rsidP="00594930">
      <w:pPr>
        <w:rPr>
          <w:rFonts w:cs="Arial"/>
          <w:iCs/>
          <w:sz w:val="18"/>
          <w:szCs w:val="18"/>
        </w:rPr>
      </w:pPr>
    </w:p>
    <w:p w:rsidR="00594930" w:rsidRPr="00594930" w:rsidRDefault="00594930" w:rsidP="00594930">
      <w:pPr>
        <w:rPr>
          <w:rFonts w:cs="Arial"/>
          <w:iCs/>
          <w:sz w:val="18"/>
          <w:szCs w:val="18"/>
        </w:rPr>
      </w:pPr>
      <w:r w:rsidRPr="00594930">
        <w:rPr>
          <w:rFonts w:cs="Arial"/>
          <w:noProof/>
          <w:sz w:val="18"/>
          <w:szCs w:val="18"/>
        </w:rPr>
        <w:lastRenderedPageBreak/>
        <w:drawing>
          <wp:inline distT="0" distB="0" distL="0" distR="0">
            <wp:extent cx="5300345" cy="28689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0345" cy="2868930"/>
                    </a:xfrm>
                    <a:prstGeom prst="rect">
                      <a:avLst/>
                    </a:prstGeom>
                    <a:noFill/>
                    <a:ln>
                      <a:noFill/>
                    </a:ln>
                  </pic:spPr>
                </pic:pic>
              </a:graphicData>
            </a:graphic>
          </wp:inline>
        </w:drawing>
      </w:r>
    </w:p>
    <w:p w:rsidR="00594930" w:rsidRPr="00594930" w:rsidRDefault="00594930" w:rsidP="00594930">
      <w:pPr>
        <w:rPr>
          <w:rFonts w:cs="Arial"/>
          <w:iCs/>
          <w:sz w:val="18"/>
          <w:szCs w:val="18"/>
        </w:rPr>
      </w:pPr>
    </w:p>
    <w:p w:rsidR="00594930" w:rsidRPr="00594930" w:rsidRDefault="00594930" w:rsidP="00594930">
      <w:pPr>
        <w:rPr>
          <w:rFonts w:cs="Arial"/>
          <w:iCs/>
          <w:sz w:val="18"/>
          <w:szCs w:val="18"/>
        </w:rPr>
      </w:pPr>
      <w:r w:rsidRPr="00594930">
        <w:rPr>
          <w:rFonts w:cs="Arial"/>
          <w:iCs/>
          <w:sz w:val="18"/>
          <w:szCs w:val="18"/>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594930" w:rsidRPr="00594930" w:rsidRDefault="00594930" w:rsidP="00594930">
      <w:pPr>
        <w:rPr>
          <w:rFonts w:cs="Arial"/>
          <w:iCs/>
          <w:sz w:val="18"/>
          <w:szCs w:val="18"/>
        </w:rPr>
      </w:pPr>
    </w:p>
    <w:p w:rsidR="00594930" w:rsidRPr="00594930" w:rsidRDefault="00594930" w:rsidP="00594930">
      <w:pPr>
        <w:shd w:val="clear" w:color="auto" w:fill="FFFFFF"/>
        <w:ind w:left="77"/>
        <w:rPr>
          <w:rFonts w:cs="Arial"/>
          <w:sz w:val="18"/>
          <w:szCs w:val="18"/>
        </w:rPr>
      </w:pPr>
      <w:r w:rsidRPr="00594930">
        <w:rPr>
          <w:rFonts w:cs="Arial"/>
          <w:sz w:val="18"/>
          <w:szCs w:val="18"/>
        </w:rPr>
        <w:t>Tablica 2 Wymagania wobec mieszanek niezwiązanych do warstw podbudowy i nawierzchni wg WT-4 2010 – odniesienia podane w tablicy dotyczą numeracji w WT-4</w:t>
      </w:r>
    </w:p>
    <w:p w:rsidR="00594930" w:rsidRPr="00594930" w:rsidRDefault="00594930" w:rsidP="00594930">
      <w:pPr>
        <w:rPr>
          <w:rFonts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253"/>
        <w:gridCol w:w="1701"/>
        <w:gridCol w:w="1276"/>
        <w:gridCol w:w="1276"/>
      </w:tblGrid>
      <w:tr w:rsidR="00594930" w:rsidRPr="00594930" w:rsidTr="00182D13">
        <w:trPr>
          <w:trHeight w:hRule="exact" w:val="67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jc w:val="center"/>
              <w:rPr>
                <w:rFonts w:cs="Arial"/>
                <w:color w:val="000000"/>
                <w:spacing w:val="-1"/>
                <w:sz w:val="16"/>
                <w:szCs w:val="16"/>
              </w:rPr>
            </w:pPr>
            <w:r w:rsidRPr="00594930">
              <w:rPr>
                <w:rFonts w:cs="Arial"/>
                <w:color w:val="000000"/>
                <w:spacing w:val="-1"/>
                <w:sz w:val="16"/>
                <w:szCs w:val="16"/>
              </w:rPr>
              <w:t>Lp.</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2"/>
                <w:sz w:val="16"/>
                <w:szCs w:val="16"/>
              </w:rPr>
              <w:t>Właściwość</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Pobocze drogi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Rozdz. w PN-</w:t>
            </w:r>
          </w:p>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EN 13285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sz w:val="16"/>
                <w:szCs w:val="16"/>
              </w:rPr>
            </w:pPr>
            <w:r w:rsidRPr="00594930">
              <w:rPr>
                <w:rFonts w:cs="Arial"/>
                <w:color w:val="000000"/>
                <w:spacing w:val="-1"/>
                <w:sz w:val="16"/>
                <w:szCs w:val="16"/>
              </w:rPr>
              <w:t>Odniesienie do tablicy w PN-EN 13285</w:t>
            </w:r>
          </w:p>
          <w:p w:rsidR="00594930" w:rsidRPr="00594930" w:rsidRDefault="00594930" w:rsidP="00182D13">
            <w:pPr>
              <w:shd w:val="clear" w:color="auto" w:fill="FFFFFF"/>
              <w:jc w:val="center"/>
              <w:rPr>
                <w:rFonts w:cs="Arial"/>
                <w:color w:val="000000"/>
                <w:spacing w:val="-1"/>
                <w:sz w:val="16"/>
                <w:szCs w:val="16"/>
              </w:rPr>
            </w:pPr>
          </w:p>
        </w:tc>
      </w:tr>
      <w:tr w:rsidR="00594930" w:rsidRPr="00594930" w:rsidTr="00182D13">
        <w:trPr>
          <w:trHeight w:hRule="exact" w:val="4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rPr>
                <w:rFonts w:cs="Arial"/>
                <w:color w:val="000000"/>
                <w:spacing w:val="-1"/>
                <w:sz w:val="16"/>
                <w:szCs w:val="16"/>
              </w:rPr>
            </w:pPr>
            <w:proofErr w:type="spellStart"/>
            <w:r w:rsidRPr="00594930">
              <w:rPr>
                <w:rFonts w:cs="Arial"/>
                <w:color w:val="000000"/>
                <w:spacing w:val="-1"/>
                <w:sz w:val="16"/>
                <w:szCs w:val="16"/>
              </w:rPr>
              <w:t>Uziamienie</w:t>
            </w:r>
            <w:proofErr w:type="spellEnd"/>
            <w:r w:rsidRPr="00594930">
              <w:rPr>
                <w:rFonts w:cs="Arial"/>
                <w:color w:val="000000"/>
                <w:spacing w:val="-1"/>
                <w:sz w:val="16"/>
                <w:szCs w:val="16"/>
              </w:rPr>
              <w:t xml:space="preserve"> mieszanek</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8"/>
                <w:szCs w:val="16"/>
              </w:rPr>
            </w:pPr>
            <w:r w:rsidRPr="00594930">
              <w:rPr>
                <w:rFonts w:cs="Arial"/>
                <w:color w:val="000000"/>
                <w:spacing w:val="-1"/>
                <w:sz w:val="18"/>
                <w:szCs w:val="16"/>
              </w:rPr>
              <w:t>0/31,5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4.3.1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Tabl.4</w:t>
            </w:r>
          </w:p>
        </w:tc>
      </w:tr>
      <w:tr w:rsidR="00594930" w:rsidRPr="00594930" w:rsidTr="00182D13">
        <w:trPr>
          <w:trHeight w:hRule="exact" w:val="46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rPr>
                <w:rFonts w:cs="Arial"/>
                <w:color w:val="000000"/>
                <w:spacing w:val="-1"/>
                <w:sz w:val="16"/>
                <w:szCs w:val="16"/>
              </w:rPr>
            </w:pPr>
            <w:r w:rsidRPr="00594930">
              <w:rPr>
                <w:rFonts w:cs="Arial"/>
                <w:color w:val="000000"/>
                <w:spacing w:val="-1"/>
                <w:sz w:val="16"/>
                <w:szCs w:val="16"/>
              </w:rPr>
              <w:t>Maksymalna zawartość pyłów: kategoria UF</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sz w:val="18"/>
                <w:szCs w:val="16"/>
              </w:rPr>
            </w:pPr>
            <w:r w:rsidRPr="00594930">
              <w:rPr>
                <w:rFonts w:cs="Arial"/>
                <w:i/>
                <w:sz w:val="18"/>
                <w:szCs w:val="16"/>
              </w:rPr>
              <w:t>UF</w:t>
            </w:r>
            <w:r w:rsidRPr="00594930">
              <w:rPr>
                <w:rFonts w:cs="Arial"/>
                <w:sz w:val="18"/>
                <w:szCs w:val="16"/>
                <w:vertAlign w:val="subscript"/>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4.3.2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Tabl. 2</w:t>
            </w:r>
          </w:p>
        </w:tc>
      </w:tr>
      <w:tr w:rsidR="00594930" w:rsidRPr="00594930" w:rsidTr="00182D13">
        <w:trPr>
          <w:trHeight w:hRule="exact" w:val="42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ind w:right="72"/>
              <w:rPr>
                <w:rFonts w:cs="Arial"/>
                <w:color w:val="000000"/>
                <w:spacing w:val="-1"/>
                <w:sz w:val="16"/>
                <w:szCs w:val="16"/>
              </w:rPr>
            </w:pPr>
            <w:r w:rsidRPr="00594930">
              <w:rPr>
                <w:rFonts w:cs="Arial"/>
                <w:color w:val="000000"/>
                <w:spacing w:val="-1"/>
                <w:sz w:val="16"/>
                <w:szCs w:val="16"/>
              </w:rPr>
              <w:t>Minimalna zawartość pyłów: kategoria LF</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sz w:val="18"/>
                <w:szCs w:val="16"/>
              </w:rPr>
            </w:pPr>
            <w:r w:rsidRPr="00594930">
              <w:rPr>
                <w:rFonts w:cs="Arial"/>
                <w:i/>
                <w:sz w:val="18"/>
                <w:szCs w:val="16"/>
              </w:rPr>
              <w:t>LF</w:t>
            </w:r>
            <w:r w:rsidRPr="00594930">
              <w:rPr>
                <w:rFonts w:cs="Arial"/>
                <w:sz w:val="18"/>
                <w:szCs w:val="16"/>
                <w:vertAlign w:val="subscript"/>
              </w:rPr>
              <w:t>NR</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4.3.2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Tab. 3</w:t>
            </w:r>
          </w:p>
        </w:tc>
      </w:tr>
      <w:tr w:rsidR="00594930" w:rsidRPr="00594930" w:rsidTr="00182D13">
        <w:trPr>
          <w:trHeight w:hRule="exact" w:val="41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rPr>
                <w:rFonts w:cs="Arial"/>
                <w:color w:val="000000"/>
                <w:spacing w:val="-1"/>
                <w:sz w:val="16"/>
                <w:szCs w:val="16"/>
              </w:rPr>
            </w:pPr>
            <w:r w:rsidRPr="00594930">
              <w:rPr>
                <w:rFonts w:cs="Arial"/>
                <w:color w:val="000000"/>
                <w:spacing w:val="-1"/>
                <w:sz w:val="16"/>
                <w:szCs w:val="16"/>
              </w:rPr>
              <w:t>Zawartość nadziarna: kategoria OC</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sz w:val="18"/>
                <w:szCs w:val="16"/>
              </w:rPr>
            </w:pPr>
            <w:r w:rsidRPr="00594930">
              <w:rPr>
                <w:rFonts w:cs="Arial"/>
                <w:i/>
                <w:sz w:val="18"/>
                <w:szCs w:val="16"/>
              </w:rPr>
              <w:t>OC</w:t>
            </w:r>
            <w:r w:rsidRPr="00594930">
              <w:rPr>
                <w:rFonts w:cs="Arial"/>
                <w:sz w:val="18"/>
                <w:szCs w:val="16"/>
                <w:vertAlign w:val="subscript"/>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4.3.3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Tabl.4 i 6</w:t>
            </w:r>
          </w:p>
        </w:tc>
      </w:tr>
      <w:tr w:rsidR="00594930" w:rsidRPr="00617244" w:rsidTr="00182D13">
        <w:trPr>
          <w:trHeight w:hRule="exact" w:val="42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rPr>
                <w:rFonts w:cs="Arial"/>
                <w:color w:val="000000"/>
                <w:spacing w:val="-1"/>
                <w:sz w:val="16"/>
                <w:szCs w:val="16"/>
              </w:rPr>
            </w:pPr>
            <w:r w:rsidRPr="00594930">
              <w:rPr>
                <w:rFonts w:cs="Arial"/>
                <w:color w:val="000000"/>
                <w:spacing w:val="-1"/>
                <w:sz w:val="16"/>
                <w:szCs w:val="16"/>
              </w:rPr>
              <w:t>Wrażliwość na mróz: wskaźnik piaskowy SE**) co najmniej</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sz w:val="18"/>
                <w:szCs w:val="16"/>
              </w:rPr>
            </w:pPr>
            <w:r w:rsidRPr="00594930">
              <w:rPr>
                <w:rFonts w:cs="Arial"/>
                <w:color w:val="000000"/>
                <w:sz w:val="18"/>
                <w:szCs w:val="16"/>
              </w:rPr>
              <w:t>45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594930"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4.6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sidRPr="00594930">
              <w:rPr>
                <w:rFonts w:cs="Arial"/>
                <w:color w:val="000000"/>
                <w:spacing w:val="-1"/>
                <w:sz w:val="16"/>
                <w:szCs w:val="16"/>
              </w:rPr>
              <w:t>-</w:t>
            </w:r>
          </w:p>
        </w:tc>
      </w:tr>
      <w:tr w:rsidR="00594930" w:rsidRPr="00617244" w:rsidTr="00182D13">
        <w:trPr>
          <w:trHeight w:hRule="exact" w:val="6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rPr>
                <w:rFonts w:cs="Arial"/>
                <w:color w:val="000000"/>
                <w:spacing w:val="-1"/>
                <w:sz w:val="16"/>
                <w:szCs w:val="16"/>
              </w:rPr>
            </w:pPr>
            <w:r w:rsidRPr="004336FE">
              <w:rPr>
                <w:rFonts w:cs="Arial"/>
                <w:color w:val="000000"/>
                <w:spacing w:val="-1"/>
                <w:sz w:val="16"/>
                <w:szCs w:val="16"/>
              </w:rPr>
              <w:t>Odporność na rozdrabnianie (dotyczy frakcji 10/14 odsianej z mieszanki) wg PN-EN 1097-1. kategoria nie wyższa niż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D02E9C" w:rsidRDefault="00594930" w:rsidP="00182D13">
            <w:pPr>
              <w:shd w:val="clear" w:color="auto" w:fill="FFFFFF"/>
              <w:jc w:val="center"/>
              <w:rPr>
                <w:rFonts w:cs="Arial"/>
                <w:sz w:val="18"/>
                <w:szCs w:val="16"/>
              </w:rPr>
            </w:pPr>
            <w:r w:rsidRPr="00D02E9C">
              <w:rPr>
                <w:rFonts w:cs="Arial"/>
                <w:color w:val="000000"/>
                <w:spacing w:val="5"/>
                <w:w w:val="95"/>
                <w:sz w:val="18"/>
                <w:szCs w:val="16"/>
              </w:rPr>
              <w:t>LA</w:t>
            </w:r>
            <w:r w:rsidRPr="00D02E9C">
              <w:rPr>
                <w:rFonts w:cs="Arial"/>
                <w:color w:val="000000"/>
                <w:spacing w:val="5"/>
                <w:w w:val="95"/>
                <w:sz w:val="18"/>
                <w:szCs w:val="16"/>
                <w:vertAlign w:val="subscript"/>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sidRPr="004336FE">
              <w:rPr>
                <w:rFonts w:cs="Arial"/>
                <w:color w:val="000000"/>
                <w:spacing w:val="-1"/>
                <w:sz w:val="16"/>
                <w:szCs w:val="16"/>
              </w:rPr>
              <w:t>-</w:t>
            </w:r>
          </w:p>
        </w:tc>
      </w:tr>
      <w:tr w:rsidR="00594930" w:rsidRPr="00617244" w:rsidTr="00182D13">
        <w:trPr>
          <w:trHeight w:hRule="exact" w:val="568"/>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7</w:t>
            </w:r>
          </w:p>
        </w:tc>
        <w:tc>
          <w:tcPr>
            <w:tcW w:w="4253" w:type="dxa"/>
            <w:tcBorders>
              <w:top w:val="single" w:sz="6" w:space="0" w:color="auto"/>
              <w:left w:val="single" w:sz="6" w:space="0" w:color="auto"/>
              <w:bottom w:val="single" w:sz="4" w:space="0" w:color="auto"/>
              <w:right w:val="single" w:sz="6" w:space="0" w:color="auto"/>
            </w:tcBorders>
            <w:shd w:val="clear" w:color="auto" w:fill="FFFFFF"/>
            <w:vAlign w:val="center"/>
          </w:tcPr>
          <w:p w:rsidR="00594930" w:rsidRPr="004336FE" w:rsidRDefault="00594930" w:rsidP="00182D13">
            <w:pPr>
              <w:shd w:val="clear" w:color="auto" w:fill="FFFFFF"/>
              <w:ind w:hanging="5"/>
              <w:rPr>
                <w:rFonts w:cs="Arial"/>
                <w:color w:val="000000"/>
                <w:spacing w:val="-1"/>
                <w:sz w:val="16"/>
                <w:szCs w:val="16"/>
              </w:rPr>
            </w:pPr>
            <w:r w:rsidRPr="004336FE">
              <w:rPr>
                <w:rFonts w:cs="Arial"/>
                <w:color w:val="000000"/>
                <w:spacing w:val="-1"/>
                <w:sz w:val="16"/>
                <w:szCs w:val="16"/>
              </w:rPr>
              <w:t>Odporność na ścieranie (dotyczy frakcji 10/14 odsianej z mieszanki) wg PN-EN 1097-1, kategoria M</w:t>
            </w:r>
            <w:r w:rsidRPr="004336FE">
              <w:rPr>
                <w:rFonts w:cs="Arial"/>
                <w:color w:val="000000"/>
                <w:spacing w:val="-1"/>
                <w:sz w:val="16"/>
                <w:szCs w:val="16"/>
                <w:vertAlign w:val="subscript"/>
              </w:rPr>
              <w:t>DE</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sz w:val="16"/>
                <w:szCs w:val="16"/>
              </w:rPr>
            </w:pPr>
            <w:r w:rsidRPr="004336FE">
              <w:rPr>
                <w:rFonts w:cs="Arial"/>
                <w:color w:val="000000"/>
                <w:spacing w:val="1"/>
                <w:sz w:val="16"/>
                <w:szCs w:val="16"/>
              </w:rPr>
              <w:t>deklarowana</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4.6</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p>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w:t>
            </w:r>
          </w:p>
          <w:p w:rsidR="00594930" w:rsidRPr="004336FE" w:rsidRDefault="00594930" w:rsidP="00182D13">
            <w:pPr>
              <w:shd w:val="clear" w:color="auto" w:fill="FFFFFF"/>
              <w:jc w:val="center"/>
              <w:rPr>
                <w:rFonts w:cs="Arial"/>
                <w:color w:val="000000"/>
                <w:spacing w:val="-1"/>
                <w:sz w:val="16"/>
                <w:szCs w:val="16"/>
              </w:rPr>
            </w:pPr>
          </w:p>
          <w:p w:rsidR="00594930" w:rsidRPr="004336FE" w:rsidRDefault="00594930" w:rsidP="00182D13">
            <w:pPr>
              <w:shd w:val="clear" w:color="auto" w:fill="FFFFFF"/>
              <w:jc w:val="center"/>
              <w:rPr>
                <w:rFonts w:cs="Arial"/>
                <w:color w:val="000000"/>
                <w:spacing w:val="-1"/>
                <w:sz w:val="16"/>
                <w:szCs w:val="16"/>
              </w:rPr>
            </w:pPr>
            <w:r w:rsidRPr="004336FE">
              <w:rPr>
                <w:rFonts w:cs="Arial"/>
                <w:color w:val="000000"/>
                <w:spacing w:val="-1"/>
                <w:sz w:val="16"/>
                <w:szCs w:val="16"/>
              </w:rPr>
              <w:t>-</w:t>
            </w:r>
          </w:p>
        </w:tc>
      </w:tr>
      <w:tr w:rsidR="00594930" w:rsidRPr="00617244" w:rsidTr="00182D13">
        <w:trPr>
          <w:trHeight w:hRule="exact" w:val="573"/>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8</w:t>
            </w:r>
          </w:p>
        </w:tc>
        <w:tc>
          <w:tcPr>
            <w:tcW w:w="4253" w:type="dxa"/>
            <w:tcBorders>
              <w:top w:val="single" w:sz="4"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ind w:hanging="5"/>
              <w:rPr>
                <w:rFonts w:cs="Arial"/>
                <w:color w:val="000000"/>
                <w:spacing w:val="-1"/>
                <w:sz w:val="16"/>
                <w:szCs w:val="16"/>
              </w:rPr>
            </w:pPr>
            <w:r w:rsidRPr="004336FE">
              <w:rPr>
                <w:rFonts w:cs="Arial"/>
                <w:color w:val="000000"/>
                <w:spacing w:val="-1"/>
                <w:sz w:val="16"/>
                <w:szCs w:val="16"/>
              </w:rPr>
              <w:t>Mrozoodporność (dotyczy frakcji kruszywa 8/16 odsianej z mieszanki) wg PN-EN 1367-1</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594930" w:rsidRPr="00D02E9C" w:rsidRDefault="00594930" w:rsidP="00182D13">
            <w:pPr>
              <w:shd w:val="clear" w:color="auto" w:fill="FFFFFF"/>
              <w:jc w:val="center"/>
              <w:rPr>
                <w:rFonts w:cs="Arial"/>
                <w:sz w:val="18"/>
                <w:szCs w:val="16"/>
              </w:rPr>
            </w:pPr>
            <w:r w:rsidRPr="00D02E9C">
              <w:rPr>
                <w:rFonts w:cs="Arial"/>
                <w:color w:val="000000"/>
                <w:sz w:val="18"/>
                <w:szCs w:val="16"/>
              </w:rPr>
              <w:t>F4</w:t>
            </w: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p>
        </w:tc>
        <w:tc>
          <w:tcPr>
            <w:tcW w:w="1276" w:type="dxa"/>
            <w:tcBorders>
              <w:top w:val="single" w:sz="4"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sidRPr="004336FE">
              <w:rPr>
                <w:rFonts w:cs="Arial"/>
                <w:color w:val="000000"/>
                <w:spacing w:val="-1"/>
                <w:sz w:val="16"/>
                <w:szCs w:val="16"/>
              </w:rPr>
              <w:t>-</w:t>
            </w:r>
          </w:p>
        </w:tc>
      </w:tr>
      <w:tr w:rsidR="00594930" w:rsidRPr="00617244" w:rsidTr="00182D13">
        <w:trPr>
          <w:trHeight w:hRule="exact" w:val="5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9</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ind w:hanging="5"/>
              <w:rPr>
                <w:rFonts w:cs="Arial"/>
                <w:color w:val="000000"/>
                <w:spacing w:val="-1"/>
                <w:sz w:val="16"/>
                <w:szCs w:val="16"/>
              </w:rPr>
            </w:pPr>
            <w:r w:rsidRPr="004336FE">
              <w:rPr>
                <w:rFonts w:cs="Arial"/>
                <w:color w:val="000000"/>
                <w:spacing w:val="-1"/>
                <w:sz w:val="16"/>
                <w:szCs w:val="16"/>
              </w:rPr>
              <w:t xml:space="preserve">Wartość CBR po zagęszczeniu do </w:t>
            </w:r>
            <w:r w:rsidRPr="00CE542C">
              <w:rPr>
                <w:rFonts w:cs="Arial"/>
                <w:spacing w:val="-1"/>
                <w:sz w:val="16"/>
                <w:szCs w:val="16"/>
              </w:rPr>
              <w:t xml:space="preserve">wskaźnika zagęszczenia </w:t>
            </w:r>
            <w:proofErr w:type="spellStart"/>
            <w:r w:rsidRPr="00CE542C">
              <w:rPr>
                <w:rFonts w:cs="Arial"/>
                <w:spacing w:val="-1"/>
                <w:sz w:val="16"/>
                <w:szCs w:val="16"/>
              </w:rPr>
              <w:t>Is</w:t>
            </w:r>
            <w:proofErr w:type="spellEnd"/>
            <w:r w:rsidRPr="00CE542C">
              <w:rPr>
                <w:rFonts w:cs="Arial"/>
                <w:spacing w:val="-1"/>
                <w:sz w:val="16"/>
                <w:szCs w:val="16"/>
              </w:rPr>
              <w:t>=1,0 i moczeniu w wodzie 96 h, co najmniej</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D02E9C" w:rsidRDefault="00594930" w:rsidP="00182D13">
            <w:pPr>
              <w:shd w:val="clear" w:color="auto" w:fill="FFFFFF"/>
              <w:jc w:val="center"/>
              <w:rPr>
                <w:rFonts w:cs="Arial"/>
                <w:sz w:val="18"/>
                <w:szCs w:val="16"/>
              </w:rPr>
            </w:pPr>
            <w:r w:rsidRPr="00D02E9C">
              <w:rPr>
                <w:rFonts w:cs="Arial"/>
                <w:color w:val="000000"/>
                <w:sz w:val="18"/>
                <w:szCs w:val="16"/>
              </w:rPr>
              <w:t>≥ 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p>
          <w:p w:rsidR="00594930" w:rsidRPr="004336FE" w:rsidRDefault="00594930" w:rsidP="00182D13">
            <w:pPr>
              <w:shd w:val="clear" w:color="auto" w:fill="FFFFFF"/>
              <w:jc w:val="center"/>
              <w:rPr>
                <w:rFonts w:cs="Arial"/>
                <w:color w:val="000000"/>
                <w:spacing w:val="-1"/>
                <w:sz w:val="16"/>
                <w:szCs w:val="16"/>
              </w:rPr>
            </w:pPr>
          </w:p>
          <w:p w:rsidR="00594930" w:rsidRPr="004336FE" w:rsidRDefault="00594930" w:rsidP="00182D13">
            <w:pPr>
              <w:shd w:val="clear" w:color="auto" w:fill="FFFFFF"/>
              <w:jc w:val="center"/>
              <w:rPr>
                <w:rFonts w:cs="Arial"/>
                <w:color w:val="000000"/>
                <w:spacing w:val="-1"/>
                <w:sz w:val="16"/>
                <w:szCs w:val="16"/>
              </w:rPr>
            </w:pPr>
          </w:p>
          <w:p w:rsidR="00594930" w:rsidRPr="004336FE" w:rsidRDefault="00594930" w:rsidP="00182D13">
            <w:pPr>
              <w:shd w:val="clear" w:color="auto" w:fill="FFFFFF"/>
              <w:jc w:val="center"/>
              <w:rPr>
                <w:rFonts w:cs="Arial"/>
                <w:color w:val="000000"/>
                <w:spacing w:val="-1"/>
                <w:sz w:val="16"/>
                <w:szCs w:val="16"/>
              </w:rPr>
            </w:pPr>
            <w:r w:rsidRPr="004336FE">
              <w:rPr>
                <w:rFonts w:cs="Arial"/>
                <w:color w:val="000000"/>
                <w:spacing w:val="-1"/>
                <w:sz w:val="16"/>
                <w:szCs w:val="16"/>
              </w:rPr>
              <w:t>-</w:t>
            </w:r>
          </w:p>
        </w:tc>
      </w:tr>
      <w:tr w:rsidR="00594930" w:rsidRPr="00617244" w:rsidTr="00182D13">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r>
              <w:rPr>
                <w:rFonts w:cs="Arial"/>
                <w:color w:val="000000"/>
                <w:spacing w:val="-1"/>
                <w:sz w:val="16"/>
                <w:szCs w:val="16"/>
              </w:rPr>
              <w:t>10</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ind w:right="14"/>
              <w:rPr>
                <w:rFonts w:cs="Arial"/>
                <w:color w:val="000000"/>
                <w:spacing w:val="-1"/>
                <w:sz w:val="16"/>
                <w:szCs w:val="16"/>
              </w:rPr>
            </w:pPr>
            <w:r w:rsidRPr="004336FE">
              <w:rPr>
                <w:rFonts w:cs="Arial"/>
                <w:color w:val="000000"/>
                <w:spacing w:val="-1"/>
                <w:sz w:val="16"/>
                <w:szCs w:val="16"/>
              </w:rPr>
              <w:t xml:space="preserve">Zawartość wody w mieszance zagęszczanej, % (m/m) wilgotności optymalnej wg metody </w:t>
            </w:r>
            <w:proofErr w:type="spellStart"/>
            <w:r w:rsidRPr="004336FE">
              <w:rPr>
                <w:rFonts w:cs="Arial"/>
                <w:color w:val="000000"/>
                <w:spacing w:val="-1"/>
                <w:sz w:val="16"/>
                <w:szCs w:val="16"/>
              </w:rPr>
              <w:t>Proctora</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D02E9C" w:rsidRDefault="00594930" w:rsidP="00182D13">
            <w:pPr>
              <w:shd w:val="clear" w:color="auto" w:fill="FFFFFF"/>
              <w:jc w:val="center"/>
              <w:rPr>
                <w:rFonts w:cs="Arial"/>
                <w:sz w:val="18"/>
                <w:szCs w:val="16"/>
              </w:rPr>
            </w:pPr>
            <w:r w:rsidRPr="00D02E9C">
              <w:rPr>
                <w:rFonts w:cs="Arial"/>
                <w:color w:val="000000"/>
                <w:spacing w:val="1"/>
                <w:sz w:val="18"/>
                <w:szCs w:val="16"/>
              </w:rPr>
              <w:t>80-100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4930" w:rsidRPr="004336FE" w:rsidRDefault="00594930" w:rsidP="00182D13">
            <w:pPr>
              <w:shd w:val="clear" w:color="auto" w:fill="FFFFFF"/>
              <w:jc w:val="center"/>
              <w:rPr>
                <w:rFonts w:cs="Arial"/>
                <w:color w:val="000000"/>
                <w:spacing w:val="-1"/>
                <w:sz w:val="16"/>
                <w:szCs w:val="16"/>
              </w:rPr>
            </w:pPr>
          </w:p>
          <w:p w:rsidR="00594930" w:rsidRPr="004336FE" w:rsidRDefault="00594930" w:rsidP="00182D13">
            <w:pPr>
              <w:shd w:val="clear" w:color="auto" w:fill="FFFFFF"/>
              <w:jc w:val="center"/>
              <w:rPr>
                <w:rFonts w:cs="Arial"/>
                <w:color w:val="000000"/>
                <w:spacing w:val="-1"/>
                <w:sz w:val="16"/>
                <w:szCs w:val="16"/>
              </w:rPr>
            </w:pPr>
            <w:r w:rsidRPr="004336FE">
              <w:rPr>
                <w:rFonts w:cs="Arial"/>
                <w:color w:val="000000"/>
                <w:spacing w:val="-1"/>
                <w:sz w:val="16"/>
                <w:szCs w:val="16"/>
              </w:rPr>
              <w:t>-</w:t>
            </w:r>
          </w:p>
        </w:tc>
      </w:tr>
    </w:tbl>
    <w:p w:rsidR="00594930" w:rsidRDefault="00594930" w:rsidP="00594930">
      <w:pPr>
        <w:shd w:val="clear" w:color="auto" w:fill="FFFFFF"/>
        <w:ind w:left="77"/>
        <w:rPr>
          <w:rFonts w:cs="Arial"/>
          <w:sz w:val="18"/>
          <w:szCs w:val="18"/>
        </w:rPr>
      </w:pPr>
    </w:p>
    <w:p w:rsidR="00594930" w:rsidRDefault="00594930" w:rsidP="00594930">
      <w:pPr>
        <w:shd w:val="clear" w:color="auto" w:fill="FFFFFF"/>
        <w:rPr>
          <w:rFonts w:cs="Arial"/>
          <w:color w:val="000000"/>
          <w:spacing w:val="-1"/>
          <w:sz w:val="18"/>
          <w:szCs w:val="18"/>
        </w:rPr>
      </w:pPr>
      <w:r w:rsidRPr="00E32F68">
        <w:rPr>
          <w:rFonts w:cs="Arial"/>
          <w:color w:val="000000"/>
          <w:spacing w:val="-1"/>
          <w:sz w:val="18"/>
          <w:szCs w:val="18"/>
        </w:rPr>
        <w:t xml:space="preserve">**) Badanie wskaźnika piaskowego SE należy wykonać na mieszance po pięciokrotnym zagęszczeniu metodą </w:t>
      </w:r>
      <w:proofErr w:type="spellStart"/>
      <w:r w:rsidRPr="00E32F68">
        <w:rPr>
          <w:rFonts w:cs="Arial"/>
          <w:color w:val="000000"/>
          <w:spacing w:val="-1"/>
          <w:sz w:val="18"/>
          <w:szCs w:val="18"/>
        </w:rPr>
        <w:t>Proctora</w:t>
      </w:r>
      <w:proofErr w:type="spellEnd"/>
      <w:r w:rsidRPr="00E32F68">
        <w:rPr>
          <w:rFonts w:cs="Arial"/>
          <w:color w:val="000000"/>
          <w:spacing w:val="-1"/>
          <w:sz w:val="18"/>
          <w:szCs w:val="18"/>
        </w:rPr>
        <w:t xml:space="preserve"> wg PN-EN 13286-2.</w:t>
      </w:r>
    </w:p>
    <w:p w:rsidR="00594930" w:rsidRDefault="00594930" w:rsidP="00594930">
      <w:pPr>
        <w:pStyle w:val="Nagwek1"/>
        <w:spacing w:before="0" w:after="0"/>
      </w:pPr>
    </w:p>
    <w:p w:rsidR="00594930" w:rsidRPr="007145A5" w:rsidRDefault="00594930" w:rsidP="00594930">
      <w:pPr>
        <w:pStyle w:val="Nagwek1"/>
        <w:spacing w:before="0" w:after="0"/>
      </w:pPr>
      <w:r>
        <w:t>3.</w:t>
      </w:r>
      <w:r w:rsidRPr="007145A5">
        <w:t>SPRZĘT</w:t>
      </w:r>
    </w:p>
    <w:p w:rsidR="00594930" w:rsidRPr="007145A5" w:rsidRDefault="00594930" w:rsidP="00594930">
      <w:pPr>
        <w:pStyle w:val="Nagwek2"/>
        <w:numPr>
          <w:ilvl w:val="1"/>
          <w:numId w:val="0"/>
        </w:numPr>
        <w:tabs>
          <w:tab w:val="num" w:pos="567"/>
        </w:tabs>
        <w:spacing w:before="0" w:after="0"/>
        <w:ind w:left="907" w:hanging="907"/>
      </w:pPr>
      <w:r>
        <w:t>3.1.</w:t>
      </w:r>
      <w:r w:rsidRPr="007145A5">
        <w:t>Ogólne wymagania dotyczące sprzętu</w:t>
      </w:r>
    </w:p>
    <w:p w:rsidR="00594930" w:rsidRPr="007145A5" w:rsidRDefault="00594930" w:rsidP="00594930">
      <w:pPr>
        <w:numPr>
          <w:ilvl w:val="12"/>
          <w:numId w:val="0"/>
        </w:numPr>
        <w:rPr>
          <w:rFonts w:cs="Arial"/>
          <w:sz w:val="18"/>
          <w:szCs w:val="18"/>
        </w:rPr>
      </w:pPr>
      <w:r w:rsidRPr="007145A5">
        <w:rPr>
          <w:rFonts w:cs="Arial"/>
          <w:sz w:val="18"/>
          <w:szCs w:val="18"/>
        </w:rPr>
        <w:t xml:space="preserve">Ogólne wymagania dotyczące sprzętu podano w </w:t>
      </w:r>
      <w:r>
        <w:rPr>
          <w:rFonts w:cs="Arial"/>
          <w:sz w:val="18"/>
          <w:szCs w:val="18"/>
        </w:rPr>
        <w:t>STWIORB</w:t>
      </w:r>
      <w:r w:rsidRPr="007145A5">
        <w:rPr>
          <w:rFonts w:cs="Arial"/>
          <w:sz w:val="18"/>
          <w:szCs w:val="18"/>
        </w:rPr>
        <w:t xml:space="preserve"> D-M-00.00.00 „Wymagania ogólne” pkt 3.</w:t>
      </w:r>
    </w:p>
    <w:p w:rsidR="00594930" w:rsidRPr="007145A5" w:rsidRDefault="00594930" w:rsidP="00594930">
      <w:pPr>
        <w:pStyle w:val="Nagwek2"/>
        <w:numPr>
          <w:ilvl w:val="1"/>
          <w:numId w:val="0"/>
        </w:numPr>
        <w:tabs>
          <w:tab w:val="num" w:pos="567"/>
        </w:tabs>
        <w:spacing w:before="0" w:after="0"/>
        <w:ind w:left="907" w:hanging="907"/>
      </w:pPr>
      <w:r>
        <w:lastRenderedPageBreak/>
        <w:t>3.2.</w:t>
      </w:r>
      <w:r w:rsidRPr="007145A5">
        <w:t>Sprzęt do wykonania robót</w:t>
      </w:r>
    </w:p>
    <w:p w:rsidR="00594930" w:rsidRDefault="00594930" w:rsidP="00594930">
      <w:pPr>
        <w:rPr>
          <w:rFonts w:cs="Arial"/>
          <w:sz w:val="18"/>
          <w:szCs w:val="18"/>
        </w:rPr>
      </w:pPr>
      <w:r w:rsidRPr="003B2DD6">
        <w:rPr>
          <w:rFonts w:cs="Arial"/>
          <w:sz w:val="18"/>
          <w:szCs w:val="18"/>
        </w:rPr>
        <w:t>Rozło</w:t>
      </w:r>
      <w:r>
        <w:rPr>
          <w:rFonts w:cs="Arial"/>
          <w:sz w:val="18"/>
          <w:szCs w:val="18"/>
        </w:rPr>
        <w:t>ż</w:t>
      </w:r>
      <w:r w:rsidRPr="003B2DD6">
        <w:rPr>
          <w:rFonts w:cs="Arial"/>
          <w:sz w:val="18"/>
          <w:szCs w:val="18"/>
        </w:rPr>
        <w:t xml:space="preserve">enie materiału </w:t>
      </w:r>
      <w:proofErr w:type="spellStart"/>
      <w:r w:rsidRPr="003B2DD6">
        <w:rPr>
          <w:rFonts w:cs="Arial"/>
          <w:sz w:val="18"/>
          <w:szCs w:val="18"/>
        </w:rPr>
        <w:t>pofrezowego</w:t>
      </w:r>
      <w:proofErr w:type="spellEnd"/>
      <w:r w:rsidRPr="003B2DD6">
        <w:rPr>
          <w:rFonts w:cs="Arial"/>
          <w:sz w:val="18"/>
          <w:szCs w:val="18"/>
        </w:rPr>
        <w:t xml:space="preserve"> wykona</w:t>
      </w:r>
      <w:r>
        <w:rPr>
          <w:rFonts w:cs="Arial"/>
          <w:sz w:val="18"/>
          <w:szCs w:val="18"/>
        </w:rPr>
        <w:t>ć</w:t>
      </w:r>
      <w:r w:rsidRPr="003B2DD6">
        <w:rPr>
          <w:rFonts w:cs="Arial"/>
          <w:sz w:val="18"/>
          <w:szCs w:val="18"/>
        </w:rPr>
        <w:t xml:space="preserve"> mechanicznie, np. roz</w:t>
      </w:r>
      <w:r>
        <w:rPr>
          <w:rFonts w:cs="Arial"/>
          <w:sz w:val="18"/>
          <w:szCs w:val="18"/>
        </w:rPr>
        <w:t>ś</w:t>
      </w:r>
      <w:r w:rsidRPr="003B2DD6">
        <w:rPr>
          <w:rFonts w:cs="Arial"/>
          <w:sz w:val="18"/>
          <w:szCs w:val="18"/>
        </w:rPr>
        <w:t>ciełaczem, równiark</w:t>
      </w:r>
      <w:r>
        <w:rPr>
          <w:rFonts w:cs="Arial"/>
          <w:sz w:val="18"/>
          <w:szCs w:val="18"/>
        </w:rPr>
        <w:t>ą</w:t>
      </w:r>
      <w:r w:rsidRPr="003B2DD6">
        <w:rPr>
          <w:rFonts w:cs="Arial"/>
          <w:sz w:val="18"/>
          <w:szCs w:val="18"/>
        </w:rPr>
        <w:t>. W miejscach</w:t>
      </w:r>
      <w:r>
        <w:rPr>
          <w:rFonts w:cs="Arial"/>
          <w:sz w:val="18"/>
          <w:szCs w:val="18"/>
        </w:rPr>
        <w:t xml:space="preserve"> </w:t>
      </w:r>
      <w:r w:rsidRPr="003B2DD6">
        <w:rPr>
          <w:rFonts w:cs="Arial"/>
          <w:sz w:val="18"/>
          <w:szCs w:val="18"/>
        </w:rPr>
        <w:t>niedost</w:t>
      </w:r>
      <w:r>
        <w:rPr>
          <w:rFonts w:cs="Arial"/>
          <w:sz w:val="18"/>
          <w:szCs w:val="18"/>
        </w:rPr>
        <w:t>ę</w:t>
      </w:r>
      <w:r w:rsidRPr="003B2DD6">
        <w:rPr>
          <w:rFonts w:cs="Arial"/>
          <w:sz w:val="18"/>
          <w:szCs w:val="18"/>
        </w:rPr>
        <w:t>pnych dla sprz</w:t>
      </w:r>
      <w:r>
        <w:rPr>
          <w:rFonts w:cs="Arial"/>
          <w:sz w:val="18"/>
          <w:szCs w:val="18"/>
        </w:rPr>
        <w:t>ę</w:t>
      </w:r>
      <w:r w:rsidRPr="003B2DD6">
        <w:rPr>
          <w:rFonts w:cs="Arial"/>
          <w:sz w:val="18"/>
          <w:szCs w:val="18"/>
        </w:rPr>
        <w:t>tu, na małych powierzchniach materiał mo</w:t>
      </w:r>
      <w:r>
        <w:rPr>
          <w:rFonts w:cs="Arial"/>
          <w:sz w:val="18"/>
          <w:szCs w:val="18"/>
        </w:rPr>
        <w:t>ż</w:t>
      </w:r>
      <w:r w:rsidRPr="003B2DD6">
        <w:rPr>
          <w:rFonts w:cs="Arial"/>
          <w:sz w:val="18"/>
          <w:szCs w:val="18"/>
        </w:rPr>
        <w:t>na rozło</w:t>
      </w:r>
      <w:r>
        <w:rPr>
          <w:rFonts w:cs="Arial"/>
          <w:sz w:val="18"/>
          <w:szCs w:val="18"/>
        </w:rPr>
        <w:t>ż</w:t>
      </w:r>
      <w:r w:rsidRPr="003B2DD6">
        <w:rPr>
          <w:rFonts w:cs="Arial"/>
          <w:sz w:val="18"/>
          <w:szCs w:val="18"/>
        </w:rPr>
        <w:t>y</w:t>
      </w:r>
      <w:r>
        <w:rPr>
          <w:rFonts w:cs="Arial"/>
          <w:sz w:val="18"/>
          <w:szCs w:val="18"/>
        </w:rPr>
        <w:t>ć</w:t>
      </w:r>
      <w:r w:rsidRPr="003B2DD6">
        <w:rPr>
          <w:rFonts w:cs="Arial"/>
          <w:sz w:val="18"/>
          <w:szCs w:val="18"/>
        </w:rPr>
        <w:t xml:space="preserve"> r</w:t>
      </w:r>
      <w:r>
        <w:rPr>
          <w:rFonts w:cs="Arial"/>
          <w:sz w:val="18"/>
          <w:szCs w:val="18"/>
        </w:rPr>
        <w:t>ę</w:t>
      </w:r>
      <w:r w:rsidRPr="003B2DD6">
        <w:rPr>
          <w:rFonts w:cs="Arial"/>
          <w:sz w:val="18"/>
          <w:szCs w:val="18"/>
        </w:rPr>
        <w:t>cznie. Do zag</w:t>
      </w:r>
      <w:r>
        <w:rPr>
          <w:rFonts w:cs="Arial"/>
          <w:sz w:val="18"/>
          <w:szCs w:val="18"/>
        </w:rPr>
        <w:t>ę</w:t>
      </w:r>
      <w:r w:rsidRPr="003B2DD6">
        <w:rPr>
          <w:rFonts w:cs="Arial"/>
          <w:sz w:val="18"/>
          <w:szCs w:val="18"/>
        </w:rPr>
        <w:t>szczenia stosowa</w:t>
      </w:r>
      <w:r>
        <w:rPr>
          <w:rFonts w:cs="Arial"/>
          <w:sz w:val="18"/>
          <w:szCs w:val="18"/>
        </w:rPr>
        <w:t>ć</w:t>
      </w:r>
      <w:r w:rsidRPr="003B2DD6">
        <w:rPr>
          <w:rFonts w:cs="Arial"/>
          <w:sz w:val="18"/>
          <w:szCs w:val="18"/>
        </w:rPr>
        <w:t xml:space="preserve"> nale</w:t>
      </w:r>
      <w:r>
        <w:rPr>
          <w:rFonts w:cs="Arial"/>
          <w:sz w:val="18"/>
          <w:szCs w:val="18"/>
        </w:rPr>
        <w:t>ż</w:t>
      </w:r>
      <w:r w:rsidRPr="003B2DD6">
        <w:rPr>
          <w:rFonts w:cs="Arial"/>
          <w:sz w:val="18"/>
          <w:szCs w:val="18"/>
        </w:rPr>
        <w:t>y walce stalowe lub ogumione. Na małych powierzchniach stosowa</w:t>
      </w:r>
      <w:r>
        <w:rPr>
          <w:rFonts w:cs="Arial"/>
          <w:sz w:val="18"/>
          <w:szCs w:val="18"/>
        </w:rPr>
        <w:t>ć</w:t>
      </w:r>
      <w:r w:rsidRPr="003B2DD6">
        <w:rPr>
          <w:rFonts w:cs="Arial"/>
          <w:sz w:val="18"/>
          <w:szCs w:val="18"/>
        </w:rPr>
        <w:t xml:space="preserve"> nale</w:t>
      </w:r>
      <w:r>
        <w:rPr>
          <w:rFonts w:cs="Arial"/>
          <w:sz w:val="18"/>
          <w:szCs w:val="18"/>
        </w:rPr>
        <w:t>ż</w:t>
      </w:r>
      <w:r w:rsidRPr="003B2DD6">
        <w:rPr>
          <w:rFonts w:cs="Arial"/>
          <w:sz w:val="18"/>
          <w:szCs w:val="18"/>
        </w:rPr>
        <w:t>y zag</w:t>
      </w:r>
      <w:r>
        <w:rPr>
          <w:rFonts w:cs="Arial"/>
          <w:sz w:val="18"/>
          <w:szCs w:val="18"/>
        </w:rPr>
        <w:t>ę</w:t>
      </w:r>
      <w:r w:rsidRPr="003B2DD6">
        <w:rPr>
          <w:rFonts w:cs="Arial"/>
          <w:sz w:val="18"/>
          <w:szCs w:val="18"/>
        </w:rPr>
        <w:t>szczarki płytowe.</w:t>
      </w:r>
    </w:p>
    <w:p w:rsidR="00594930" w:rsidRPr="007145A5" w:rsidRDefault="00594930" w:rsidP="00594930">
      <w:pPr>
        <w:pStyle w:val="Nagwek1"/>
        <w:tabs>
          <w:tab w:val="num" w:pos="567"/>
        </w:tabs>
        <w:spacing w:before="0" w:after="0"/>
        <w:ind w:left="907" w:hanging="907"/>
      </w:pPr>
      <w:r>
        <w:t>4.</w:t>
      </w:r>
      <w:r w:rsidRPr="007145A5">
        <w:t>TRANSPORT</w:t>
      </w:r>
    </w:p>
    <w:p w:rsidR="00594930" w:rsidRPr="007145A5" w:rsidRDefault="00594930" w:rsidP="00594930">
      <w:pPr>
        <w:pStyle w:val="Nagwek2"/>
        <w:numPr>
          <w:ilvl w:val="1"/>
          <w:numId w:val="0"/>
        </w:numPr>
        <w:tabs>
          <w:tab w:val="num" w:pos="567"/>
        </w:tabs>
        <w:spacing w:before="0" w:after="0"/>
        <w:ind w:left="907" w:hanging="907"/>
      </w:pPr>
      <w:r>
        <w:t>4.1.</w:t>
      </w:r>
      <w:r w:rsidRPr="007145A5">
        <w:t>Ogólne wymagania dotyczące transportu</w:t>
      </w:r>
    </w:p>
    <w:p w:rsidR="00594930" w:rsidRPr="007145A5" w:rsidRDefault="00594930" w:rsidP="00594930">
      <w:pPr>
        <w:rPr>
          <w:rFonts w:cs="Arial"/>
          <w:sz w:val="18"/>
          <w:szCs w:val="18"/>
        </w:rPr>
      </w:pPr>
      <w:r w:rsidRPr="007145A5">
        <w:rPr>
          <w:rFonts w:cs="Arial"/>
          <w:sz w:val="18"/>
          <w:szCs w:val="18"/>
        </w:rPr>
        <w:t xml:space="preserve">Ogólne wymagania dotyczące transportu podano w </w:t>
      </w:r>
      <w:r>
        <w:rPr>
          <w:rFonts w:cs="Arial"/>
          <w:sz w:val="18"/>
          <w:szCs w:val="18"/>
        </w:rPr>
        <w:t>STWIORB</w:t>
      </w:r>
      <w:r w:rsidRPr="007145A5">
        <w:rPr>
          <w:rFonts w:cs="Arial"/>
          <w:sz w:val="18"/>
          <w:szCs w:val="18"/>
        </w:rPr>
        <w:t xml:space="preserve"> D-M-00.00.00 „Wymagania ogólne” pkt 4.</w:t>
      </w:r>
    </w:p>
    <w:p w:rsidR="00594930" w:rsidRPr="00CD6601" w:rsidRDefault="00594930" w:rsidP="00594930">
      <w:pPr>
        <w:pStyle w:val="Nagwek2"/>
        <w:numPr>
          <w:ilvl w:val="1"/>
          <w:numId w:val="0"/>
        </w:numPr>
        <w:tabs>
          <w:tab w:val="num" w:pos="567"/>
        </w:tabs>
        <w:spacing w:before="0" w:after="0"/>
        <w:ind w:left="907" w:hanging="907"/>
      </w:pPr>
      <w:r>
        <w:t>4.2.</w:t>
      </w:r>
      <w:r w:rsidRPr="00CD6601">
        <w:t>Transport materiałów</w:t>
      </w:r>
    </w:p>
    <w:p w:rsidR="00594930" w:rsidRPr="00CD6601" w:rsidRDefault="00594930" w:rsidP="00594930">
      <w:pPr>
        <w:rPr>
          <w:rFonts w:cs="Arial"/>
          <w:sz w:val="18"/>
          <w:szCs w:val="18"/>
        </w:rPr>
      </w:pPr>
      <w:r>
        <w:rPr>
          <w:rFonts w:cs="Arial"/>
          <w:sz w:val="18"/>
          <w:szCs w:val="18"/>
        </w:rPr>
        <w:t xml:space="preserve">Materiały </w:t>
      </w:r>
      <w:r w:rsidRPr="00CD6601">
        <w:rPr>
          <w:rFonts w:cs="Arial"/>
          <w:sz w:val="18"/>
          <w:szCs w:val="18"/>
        </w:rPr>
        <w:t>można przewozić dowolnymi środkami transportu w warunkach zabezpieczających je przed zanieczyszczeniem, zmieszaniem z innymi kruszywami, nadmiernym wysuszenie i zawilgoceniem.</w:t>
      </w:r>
    </w:p>
    <w:p w:rsidR="00594930" w:rsidRDefault="00594930" w:rsidP="00594930">
      <w:pPr>
        <w:pStyle w:val="Nagwek1"/>
        <w:tabs>
          <w:tab w:val="num" w:pos="567"/>
        </w:tabs>
        <w:spacing w:before="0" w:after="0"/>
        <w:ind w:left="907" w:hanging="907"/>
      </w:pPr>
    </w:p>
    <w:p w:rsidR="00594930" w:rsidRPr="007145A5" w:rsidRDefault="00594930" w:rsidP="00594930">
      <w:pPr>
        <w:pStyle w:val="Nagwek1"/>
        <w:tabs>
          <w:tab w:val="num" w:pos="567"/>
        </w:tabs>
        <w:spacing w:before="0" w:after="0"/>
        <w:ind w:left="907" w:hanging="907"/>
      </w:pPr>
      <w:r>
        <w:t>5.</w:t>
      </w:r>
      <w:r w:rsidRPr="007145A5">
        <w:t>WYKONANIE ROBÓT</w:t>
      </w:r>
    </w:p>
    <w:p w:rsidR="00594930" w:rsidRPr="007145A5" w:rsidRDefault="00594930" w:rsidP="00594930">
      <w:pPr>
        <w:pStyle w:val="Nagwek2"/>
        <w:numPr>
          <w:ilvl w:val="1"/>
          <w:numId w:val="0"/>
        </w:numPr>
        <w:tabs>
          <w:tab w:val="num" w:pos="567"/>
        </w:tabs>
        <w:spacing w:before="0" w:after="0"/>
        <w:ind w:left="907" w:hanging="907"/>
      </w:pPr>
      <w:r>
        <w:t>5.1.</w:t>
      </w:r>
      <w:r w:rsidRPr="007145A5">
        <w:t>Ogólne zasady wykonania robót</w:t>
      </w:r>
    </w:p>
    <w:p w:rsidR="00594930" w:rsidRPr="007145A5" w:rsidRDefault="00594930" w:rsidP="00594930">
      <w:pPr>
        <w:rPr>
          <w:rFonts w:cs="Arial"/>
          <w:sz w:val="18"/>
          <w:szCs w:val="18"/>
        </w:rPr>
      </w:pPr>
      <w:r w:rsidRPr="007145A5">
        <w:rPr>
          <w:rFonts w:cs="Arial"/>
          <w:sz w:val="18"/>
          <w:szCs w:val="18"/>
        </w:rPr>
        <w:t xml:space="preserve">Ogólne zasady wykonania robót podano w </w:t>
      </w:r>
      <w:r>
        <w:rPr>
          <w:rFonts w:cs="Arial"/>
          <w:sz w:val="18"/>
          <w:szCs w:val="18"/>
        </w:rPr>
        <w:t>STWIORB</w:t>
      </w:r>
      <w:r w:rsidRPr="007145A5">
        <w:rPr>
          <w:rFonts w:cs="Arial"/>
          <w:sz w:val="18"/>
          <w:szCs w:val="18"/>
        </w:rPr>
        <w:t xml:space="preserve"> D-M-00.00.00 „Wymagania ogólne” pkt 5.</w:t>
      </w:r>
    </w:p>
    <w:p w:rsidR="00594930" w:rsidRPr="00F70337" w:rsidRDefault="00594930" w:rsidP="00594930">
      <w:pPr>
        <w:pStyle w:val="Nagwek2"/>
        <w:numPr>
          <w:ilvl w:val="1"/>
          <w:numId w:val="0"/>
        </w:numPr>
        <w:tabs>
          <w:tab w:val="num" w:pos="567"/>
        </w:tabs>
        <w:spacing w:before="0" w:after="0"/>
        <w:ind w:left="907" w:hanging="907"/>
      </w:pPr>
      <w:r>
        <w:t>5.2.</w:t>
      </w:r>
      <w:r w:rsidRPr="00F70337">
        <w:t>Przygotowanie podłoża</w:t>
      </w:r>
    </w:p>
    <w:p w:rsidR="00594930" w:rsidRPr="00F95298" w:rsidRDefault="00594930" w:rsidP="00594930">
      <w:pPr>
        <w:rPr>
          <w:rFonts w:cs="Arial"/>
          <w:sz w:val="18"/>
          <w:szCs w:val="18"/>
        </w:rPr>
      </w:pPr>
      <w:r w:rsidRPr="00F95298">
        <w:rPr>
          <w:rFonts w:cs="Arial"/>
          <w:sz w:val="18"/>
          <w:szCs w:val="18"/>
        </w:rPr>
        <w:t>W przypadku występowania ubytków (wgłębień) i zani</w:t>
      </w:r>
      <w:r>
        <w:rPr>
          <w:rFonts w:cs="Arial"/>
          <w:sz w:val="18"/>
          <w:szCs w:val="18"/>
        </w:rPr>
        <w:t>ż</w:t>
      </w:r>
      <w:r w:rsidRPr="00F95298">
        <w:rPr>
          <w:rFonts w:cs="Arial"/>
          <w:sz w:val="18"/>
          <w:szCs w:val="18"/>
        </w:rPr>
        <w:t>enia w poboczach nale</w:t>
      </w:r>
      <w:r>
        <w:rPr>
          <w:rFonts w:cs="Arial"/>
          <w:sz w:val="18"/>
          <w:szCs w:val="18"/>
        </w:rPr>
        <w:t>ż</w:t>
      </w:r>
      <w:r w:rsidRPr="00F95298">
        <w:rPr>
          <w:rFonts w:cs="Arial"/>
          <w:sz w:val="18"/>
          <w:szCs w:val="18"/>
        </w:rPr>
        <w:t>y je uzupełnić materiałem o właściwościach podobnych do materiału, z którego zostały pobocza wykonane.</w:t>
      </w:r>
    </w:p>
    <w:p w:rsidR="00594930" w:rsidRDefault="00594930" w:rsidP="00594930">
      <w:pPr>
        <w:rPr>
          <w:rFonts w:cs="Arial"/>
          <w:iCs/>
          <w:sz w:val="18"/>
          <w:szCs w:val="18"/>
        </w:rPr>
      </w:pPr>
      <w:r w:rsidRPr="00F95298">
        <w:rPr>
          <w:rFonts w:cs="Arial"/>
          <w:sz w:val="18"/>
          <w:szCs w:val="18"/>
        </w:rPr>
        <w:t>Podło</w:t>
      </w:r>
      <w:r>
        <w:rPr>
          <w:rFonts w:cs="Arial"/>
          <w:sz w:val="18"/>
          <w:szCs w:val="18"/>
        </w:rPr>
        <w:t>ż</w:t>
      </w:r>
      <w:r w:rsidRPr="00F95298">
        <w:rPr>
          <w:rFonts w:cs="Arial"/>
          <w:sz w:val="18"/>
          <w:szCs w:val="18"/>
        </w:rPr>
        <w:t>e pod warstwę umocnienia stanowią</w:t>
      </w:r>
      <w:r>
        <w:rPr>
          <w:rFonts w:cs="Arial"/>
          <w:sz w:val="18"/>
          <w:szCs w:val="18"/>
        </w:rPr>
        <w:t xml:space="preserve"> grunty rodzime lub nasypowe</w:t>
      </w:r>
      <w:r w:rsidRPr="00F95298">
        <w:rPr>
          <w:rFonts w:cs="Arial"/>
          <w:sz w:val="18"/>
          <w:szCs w:val="18"/>
        </w:rPr>
        <w:t xml:space="preserve">. </w:t>
      </w:r>
    </w:p>
    <w:p w:rsidR="00594930" w:rsidRPr="00F70337" w:rsidRDefault="00594930" w:rsidP="00594930">
      <w:pPr>
        <w:rPr>
          <w:rFonts w:cs="Arial"/>
          <w:iCs/>
          <w:sz w:val="18"/>
          <w:szCs w:val="18"/>
        </w:rPr>
      </w:pPr>
      <w:r w:rsidRPr="00F70337">
        <w:rPr>
          <w:rFonts w:cs="Arial"/>
          <w:iCs/>
          <w:sz w:val="18"/>
          <w:szCs w:val="18"/>
        </w:rPr>
        <w:t xml:space="preserve">Przygotowanie podłoża polega na wyprofilowaniu i zagęszczeniu podłoża do uzyskania wskaźnika zagęszczenia </w:t>
      </w:r>
      <w:proofErr w:type="spellStart"/>
      <w:r w:rsidRPr="00F95298">
        <w:rPr>
          <w:rFonts w:cs="Arial"/>
          <w:sz w:val="18"/>
          <w:szCs w:val="18"/>
        </w:rPr>
        <w:t>Is</w:t>
      </w:r>
      <w:proofErr w:type="spellEnd"/>
      <w:r w:rsidRPr="00F95298">
        <w:rPr>
          <w:rFonts w:cs="Arial"/>
          <w:sz w:val="18"/>
          <w:szCs w:val="18"/>
        </w:rPr>
        <w:t xml:space="preserve"> ≥ </w:t>
      </w:r>
      <w:r>
        <w:rPr>
          <w:rFonts w:cs="Arial"/>
          <w:iCs/>
          <w:sz w:val="18"/>
          <w:szCs w:val="18"/>
        </w:rPr>
        <w:t>0,98</w:t>
      </w:r>
      <w:r w:rsidRPr="00F70337">
        <w:rPr>
          <w:rFonts w:cs="Arial"/>
          <w:iCs/>
          <w:sz w:val="18"/>
          <w:szCs w:val="18"/>
        </w:rPr>
        <w:t>.</w:t>
      </w:r>
    </w:p>
    <w:p w:rsidR="00594930" w:rsidRPr="00F70337" w:rsidRDefault="00594930" w:rsidP="00594930">
      <w:pPr>
        <w:pStyle w:val="Nagwek2"/>
        <w:numPr>
          <w:ilvl w:val="1"/>
          <w:numId w:val="0"/>
        </w:numPr>
        <w:tabs>
          <w:tab w:val="num" w:pos="567"/>
        </w:tabs>
        <w:spacing w:before="0" w:after="0"/>
        <w:ind w:left="907" w:hanging="907"/>
      </w:pPr>
      <w:r>
        <w:t>5.3.</w:t>
      </w:r>
      <w:r w:rsidRPr="00F70337">
        <w:t>Wytwarzanie mieszanki kruszywa</w:t>
      </w:r>
    </w:p>
    <w:p w:rsidR="00594930" w:rsidRPr="00F70337" w:rsidRDefault="00594930" w:rsidP="00594930">
      <w:pPr>
        <w:rPr>
          <w:rFonts w:cs="Arial"/>
          <w:iCs/>
          <w:sz w:val="18"/>
          <w:szCs w:val="18"/>
        </w:rPr>
      </w:pPr>
      <w:r w:rsidRPr="00F70337">
        <w:rPr>
          <w:rFonts w:cs="Arial"/>
          <w:iCs/>
          <w:sz w:val="18"/>
          <w:szCs w:val="18"/>
        </w:rPr>
        <w:t>Mieszankę kruszywa o ściśle określonym uziarnieniu i wilgotności optymalnej należy wytwarzać w mieszarkach gwarantujących</w:t>
      </w:r>
      <w:r>
        <w:rPr>
          <w:rFonts w:cs="Arial"/>
          <w:iCs/>
          <w:sz w:val="18"/>
          <w:szCs w:val="18"/>
        </w:rPr>
        <w:t xml:space="preserve"> </w:t>
      </w:r>
      <w:r w:rsidRPr="00F70337">
        <w:rPr>
          <w:rFonts w:cs="Arial"/>
          <w:iCs/>
          <w:sz w:val="18"/>
          <w:szCs w:val="18"/>
        </w:rPr>
        <w:t>otrzymanie jednorodnej mieszanki. Ze względu na konieczność zapewnienia jednorodności nie dopuszcza się wytwarzania mieszanki</w:t>
      </w:r>
      <w:r>
        <w:rPr>
          <w:rFonts w:cs="Arial"/>
          <w:iCs/>
          <w:sz w:val="18"/>
          <w:szCs w:val="18"/>
        </w:rPr>
        <w:t xml:space="preserve"> </w:t>
      </w:r>
      <w:r w:rsidRPr="00F70337">
        <w:rPr>
          <w:rFonts w:cs="Arial"/>
          <w:iCs/>
          <w:sz w:val="18"/>
          <w:szCs w:val="18"/>
        </w:rPr>
        <w:t>przez mieszanie poszczególnych frakcji na drodze. Mieszanka po wyprodukowaniu powinna być od razu transportowana na miejsce</w:t>
      </w:r>
      <w:r>
        <w:rPr>
          <w:rFonts w:cs="Arial"/>
          <w:iCs/>
          <w:sz w:val="18"/>
          <w:szCs w:val="18"/>
        </w:rPr>
        <w:t xml:space="preserve"> </w:t>
      </w:r>
      <w:r w:rsidRPr="00F70337">
        <w:rPr>
          <w:rFonts w:cs="Arial"/>
          <w:iCs/>
          <w:sz w:val="18"/>
          <w:szCs w:val="18"/>
        </w:rPr>
        <w:t>wbudowania w taki sposób, aby nie uległa rozsegregowaniu i wysychaniu.</w:t>
      </w:r>
    </w:p>
    <w:p w:rsidR="00594930" w:rsidRPr="00F70337" w:rsidRDefault="00594930" w:rsidP="00594930">
      <w:pPr>
        <w:pStyle w:val="Nagwek2"/>
        <w:numPr>
          <w:ilvl w:val="1"/>
          <w:numId w:val="0"/>
        </w:numPr>
        <w:tabs>
          <w:tab w:val="num" w:pos="567"/>
        </w:tabs>
        <w:spacing w:before="0" w:after="0"/>
        <w:ind w:left="907" w:hanging="907"/>
      </w:pPr>
      <w:r>
        <w:t>5.4.</w:t>
      </w:r>
      <w:r w:rsidRPr="00F70337">
        <w:t>Wbudowywanie i zagęszczanie mieszanki</w:t>
      </w:r>
    </w:p>
    <w:p w:rsidR="00594930" w:rsidRPr="00F70337" w:rsidRDefault="00594930" w:rsidP="00594930">
      <w:pPr>
        <w:rPr>
          <w:rFonts w:cs="Arial"/>
          <w:iCs/>
          <w:sz w:val="18"/>
          <w:szCs w:val="18"/>
        </w:rPr>
      </w:pPr>
      <w:r w:rsidRPr="00F70337">
        <w:rPr>
          <w:rFonts w:cs="Arial"/>
          <w:iCs/>
          <w:sz w:val="18"/>
          <w:szCs w:val="18"/>
        </w:rPr>
        <w:t>Mieszanka kruszywa powinna być rozkładana w warstwie o jednakowej grubości, takiej, aby jej ostateczna grubość po zagęszczeniu</w:t>
      </w:r>
      <w:r>
        <w:rPr>
          <w:rFonts w:cs="Arial"/>
          <w:iCs/>
          <w:sz w:val="18"/>
          <w:szCs w:val="18"/>
        </w:rPr>
        <w:t xml:space="preserve"> </w:t>
      </w:r>
      <w:r w:rsidRPr="00F70337">
        <w:rPr>
          <w:rFonts w:cs="Arial"/>
          <w:iCs/>
          <w:sz w:val="18"/>
          <w:szCs w:val="18"/>
        </w:rPr>
        <w:t xml:space="preserve">była równa grubości projektowanej. Grubość pojedynczo układanej warstwy nie może przekraczać </w:t>
      </w:r>
      <w:r>
        <w:rPr>
          <w:rFonts w:cs="Arial"/>
          <w:iCs/>
          <w:sz w:val="18"/>
          <w:szCs w:val="18"/>
        </w:rPr>
        <w:t>1</w:t>
      </w:r>
      <w:r w:rsidRPr="00F70337">
        <w:rPr>
          <w:rFonts w:cs="Arial"/>
          <w:iCs/>
          <w:sz w:val="18"/>
          <w:szCs w:val="18"/>
        </w:rPr>
        <w:t>0 cm po zagęszczeniu. Warstwa</w:t>
      </w:r>
      <w:r>
        <w:rPr>
          <w:rFonts w:cs="Arial"/>
          <w:iCs/>
          <w:sz w:val="18"/>
          <w:szCs w:val="18"/>
        </w:rPr>
        <w:t xml:space="preserve"> </w:t>
      </w:r>
      <w:r w:rsidRPr="00F70337">
        <w:rPr>
          <w:rFonts w:cs="Arial"/>
          <w:iCs/>
          <w:sz w:val="18"/>
          <w:szCs w:val="18"/>
        </w:rPr>
        <w:t>kruszywa powinna być rozłożona w sposób zapewniający osiągnięcie wymaganych spadków i rzędnych wysokościowych. Jeżeli</w:t>
      </w:r>
      <w:r>
        <w:rPr>
          <w:rFonts w:cs="Arial"/>
          <w:iCs/>
          <w:sz w:val="18"/>
          <w:szCs w:val="18"/>
        </w:rPr>
        <w:t xml:space="preserve"> </w:t>
      </w:r>
      <w:r w:rsidRPr="00F70337">
        <w:rPr>
          <w:rFonts w:cs="Arial"/>
          <w:iCs/>
          <w:sz w:val="18"/>
          <w:szCs w:val="18"/>
        </w:rPr>
        <w:t>pobocze składa się z więcej niż jednej warstwy kruszywa, to każda warstwa powinna być wyprofilowana i zagęszczona z zachowaniem</w:t>
      </w:r>
      <w:r>
        <w:rPr>
          <w:rFonts w:cs="Arial"/>
          <w:iCs/>
          <w:sz w:val="18"/>
          <w:szCs w:val="18"/>
        </w:rPr>
        <w:t xml:space="preserve"> </w:t>
      </w:r>
      <w:r w:rsidRPr="00F70337">
        <w:rPr>
          <w:rFonts w:cs="Arial"/>
          <w:iCs/>
          <w:sz w:val="18"/>
          <w:szCs w:val="18"/>
        </w:rPr>
        <w:t>wymaganych spadków i rzędnych wysokościowych. Rozpoczęcie budowy każdej następnej warstwy może nastąpić po odbiorze</w:t>
      </w:r>
      <w:r>
        <w:rPr>
          <w:rFonts w:cs="Arial"/>
          <w:iCs/>
          <w:sz w:val="18"/>
          <w:szCs w:val="18"/>
        </w:rPr>
        <w:t xml:space="preserve"> </w:t>
      </w:r>
      <w:r w:rsidRPr="00F70337">
        <w:rPr>
          <w:rFonts w:cs="Arial"/>
          <w:iCs/>
          <w:sz w:val="18"/>
          <w:szCs w:val="18"/>
        </w:rPr>
        <w:t>poprzedniej warstwy przez Inżyniera.</w:t>
      </w:r>
    </w:p>
    <w:p w:rsidR="00594930" w:rsidRPr="00F70337" w:rsidRDefault="00594930" w:rsidP="00594930">
      <w:pPr>
        <w:rPr>
          <w:rFonts w:cs="Arial"/>
          <w:iCs/>
          <w:sz w:val="18"/>
          <w:szCs w:val="18"/>
        </w:rPr>
      </w:pPr>
      <w:r w:rsidRPr="00F70337">
        <w:rPr>
          <w:rFonts w:cs="Arial"/>
          <w:iCs/>
          <w:sz w:val="18"/>
          <w:szCs w:val="18"/>
        </w:rPr>
        <w:t xml:space="preserve">Wilgotność mieszanki kruszywa podczas zagęszczania powinna odpowiadać wilgotności optymalnej, określonej według próby </w:t>
      </w:r>
      <w:proofErr w:type="spellStart"/>
      <w:r w:rsidRPr="00F70337">
        <w:rPr>
          <w:rFonts w:cs="Arial"/>
          <w:iCs/>
          <w:sz w:val="18"/>
          <w:szCs w:val="18"/>
        </w:rPr>
        <w:t>Proctora</w:t>
      </w:r>
      <w:proofErr w:type="spellEnd"/>
      <w:r w:rsidRPr="00F70337">
        <w:rPr>
          <w:rFonts w:cs="Arial"/>
          <w:iCs/>
          <w:sz w:val="18"/>
          <w:szCs w:val="18"/>
        </w:rPr>
        <w:t>,</w:t>
      </w:r>
      <w:r>
        <w:rPr>
          <w:rFonts w:cs="Arial"/>
          <w:iCs/>
          <w:sz w:val="18"/>
          <w:szCs w:val="18"/>
        </w:rPr>
        <w:t xml:space="preserve"> </w:t>
      </w:r>
      <w:r w:rsidRPr="00F70337">
        <w:rPr>
          <w:rFonts w:cs="Arial"/>
          <w:iCs/>
          <w:sz w:val="18"/>
          <w:szCs w:val="18"/>
        </w:rPr>
        <w:t>zgodnie z PN-B-04481 (metoda II). Materiał nadmiernie nawilgocony, powinien zostać osuszony przez mieszanie i napowietrzanie.</w:t>
      </w:r>
    </w:p>
    <w:p w:rsidR="00594930" w:rsidRPr="00F70337" w:rsidRDefault="00594930" w:rsidP="00594930">
      <w:pPr>
        <w:rPr>
          <w:rFonts w:cs="Arial"/>
          <w:iCs/>
          <w:sz w:val="18"/>
          <w:szCs w:val="18"/>
        </w:rPr>
      </w:pPr>
      <w:r w:rsidRPr="00F70337">
        <w:rPr>
          <w:rFonts w:cs="Arial"/>
          <w:iCs/>
          <w:sz w:val="18"/>
          <w:szCs w:val="18"/>
        </w:rPr>
        <w:t>Jeżeli wilgotność mieszanki kruszywa jest niższa od optymalnej o 2</w:t>
      </w:r>
      <w:r>
        <w:rPr>
          <w:rFonts w:cs="Arial"/>
          <w:iCs/>
          <w:sz w:val="18"/>
          <w:szCs w:val="18"/>
        </w:rPr>
        <w:t>,</w:t>
      </w:r>
      <w:r w:rsidRPr="00F70337">
        <w:rPr>
          <w:rFonts w:cs="Arial"/>
          <w:iCs/>
          <w:sz w:val="18"/>
          <w:szCs w:val="18"/>
        </w:rPr>
        <w:t>0% jej wartości, mieszanka powinna być zwilżona określoną ilością</w:t>
      </w:r>
      <w:r>
        <w:rPr>
          <w:rFonts w:cs="Arial"/>
          <w:iCs/>
          <w:sz w:val="18"/>
          <w:szCs w:val="18"/>
        </w:rPr>
        <w:t xml:space="preserve"> </w:t>
      </w:r>
      <w:r w:rsidRPr="00F70337">
        <w:rPr>
          <w:rFonts w:cs="Arial"/>
          <w:iCs/>
          <w:sz w:val="18"/>
          <w:szCs w:val="18"/>
        </w:rPr>
        <w:t xml:space="preserve">wody i równomiernie wymieszana. W przypadku, gdy wilgotność mieszanki kruszywa jest wyższa od optymalnej </w:t>
      </w:r>
      <w:r>
        <w:rPr>
          <w:rFonts w:cs="Arial"/>
          <w:iCs/>
          <w:sz w:val="18"/>
          <w:szCs w:val="18"/>
        </w:rPr>
        <w:t>o</w:t>
      </w:r>
      <w:r w:rsidRPr="00F70337">
        <w:rPr>
          <w:rFonts w:cs="Arial"/>
          <w:iCs/>
          <w:sz w:val="18"/>
          <w:szCs w:val="18"/>
        </w:rPr>
        <w:t xml:space="preserve"> 1</w:t>
      </w:r>
      <w:r>
        <w:rPr>
          <w:rFonts w:cs="Arial"/>
          <w:iCs/>
          <w:sz w:val="18"/>
          <w:szCs w:val="18"/>
        </w:rPr>
        <w:t>,</w:t>
      </w:r>
      <w:r w:rsidRPr="00F70337">
        <w:rPr>
          <w:rFonts w:cs="Arial"/>
          <w:iCs/>
          <w:sz w:val="18"/>
          <w:szCs w:val="18"/>
        </w:rPr>
        <w:t>0% jej wartości,</w:t>
      </w:r>
      <w:r>
        <w:rPr>
          <w:rFonts w:cs="Arial"/>
          <w:iCs/>
          <w:sz w:val="18"/>
          <w:szCs w:val="18"/>
        </w:rPr>
        <w:t xml:space="preserve"> </w:t>
      </w:r>
      <w:r w:rsidRPr="00F70337">
        <w:rPr>
          <w:rFonts w:cs="Arial"/>
          <w:iCs/>
          <w:sz w:val="18"/>
          <w:szCs w:val="18"/>
        </w:rPr>
        <w:t>mieszankę należy osuszyć.</w:t>
      </w:r>
    </w:p>
    <w:p w:rsidR="00594930" w:rsidRDefault="00594930" w:rsidP="00594930">
      <w:pPr>
        <w:rPr>
          <w:rFonts w:cs="Arial"/>
          <w:iCs/>
          <w:sz w:val="18"/>
          <w:szCs w:val="18"/>
        </w:rPr>
      </w:pPr>
      <w:r w:rsidRPr="00F70337">
        <w:rPr>
          <w:rFonts w:cs="Arial"/>
          <w:iCs/>
          <w:sz w:val="18"/>
          <w:szCs w:val="18"/>
        </w:rPr>
        <w:t xml:space="preserve">Wskaźnik zagęszczenia </w:t>
      </w:r>
      <w:r>
        <w:rPr>
          <w:rFonts w:cs="Arial"/>
          <w:iCs/>
          <w:sz w:val="18"/>
          <w:szCs w:val="18"/>
        </w:rPr>
        <w:t>umocnionego pobocza</w:t>
      </w:r>
      <w:r w:rsidRPr="00F70337">
        <w:rPr>
          <w:rFonts w:cs="Arial"/>
          <w:iCs/>
          <w:sz w:val="18"/>
          <w:szCs w:val="18"/>
        </w:rPr>
        <w:t xml:space="preserve"> wg BN-77/8931-12 powinien </w:t>
      </w:r>
      <w:r>
        <w:rPr>
          <w:rFonts w:cs="Arial"/>
          <w:iCs/>
          <w:sz w:val="18"/>
          <w:szCs w:val="18"/>
        </w:rPr>
        <w:t>wynosić nie mniej niż 0,98</w:t>
      </w:r>
      <w:r w:rsidRPr="00F70337">
        <w:rPr>
          <w:rFonts w:cs="Arial"/>
          <w:iCs/>
          <w:sz w:val="18"/>
          <w:szCs w:val="18"/>
        </w:rPr>
        <w:t>.</w:t>
      </w:r>
    </w:p>
    <w:p w:rsidR="00594930" w:rsidRPr="007823C0" w:rsidRDefault="00594930" w:rsidP="00594930">
      <w:pPr>
        <w:rPr>
          <w:color w:val="000000"/>
        </w:rPr>
      </w:pPr>
      <w:r w:rsidRPr="007823C0">
        <w:rPr>
          <w:color w:val="000000"/>
        </w:rPr>
        <w:t>Zagęszczenie warstwy należy określać za pomocą oznaczenia wskaźnika zagęszczenia I</w:t>
      </w:r>
      <w:r w:rsidRPr="007823C0">
        <w:rPr>
          <w:color w:val="000000"/>
          <w:vertAlign w:val="subscript"/>
        </w:rPr>
        <w:t>S</w:t>
      </w:r>
      <w:r w:rsidRPr="007823C0">
        <w:rPr>
          <w:color w:val="000000"/>
        </w:rPr>
        <w:t xml:space="preserve"> lub wskaźnika odkształcenia I</w:t>
      </w:r>
      <w:r w:rsidRPr="007823C0">
        <w:rPr>
          <w:color w:val="000000"/>
          <w:vertAlign w:val="subscript"/>
        </w:rPr>
        <w:t>O</w:t>
      </w:r>
      <w:r w:rsidRPr="007823C0">
        <w:rPr>
          <w:color w:val="000000"/>
        </w:rPr>
        <w:t>.</w:t>
      </w:r>
    </w:p>
    <w:p w:rsidR="00594930" w:rsidRPr="007823C0" w:rsidRDefault="00594930" w:rsidP="00594930">
      <w:pPr>
        <w:rPr>
          <w:color w:val="000000"/>
        </w:rPr>
      </w:pPr>
      <w:r w:rsidRPr="007823C0">
        <w:rPr>
          <w:color w:val="000000"/>
        </w:rPr>
        <w:t>Kontrolę zagęszczenia na podstawie wskaźnika odkształcenia I</w:t>
      </w:r>
      <w:r w:rsidRPr="007823C0">
        <w:rPr>
          <w:color w:val="000000"/>
          <w:vertAlign w:val="subscript"/>
        </w:rPr>
        <w:t>O</w:t>
      </w:r>
      <w:r w:rsidRPr="007823C0">
        <w:rPr>
          <w:color w:val="000000"/>
        </w:rPr>
        <w:t xml:space="preserve"> należy określić zgodnie z normą PN-S-02205:1998 [4] metodą płyty obciążanej statycznie (z użyciem płyty Ø 300mm). Określenie wskaźnika zagęszczenia </w:t>
      </w:r>
      <w:proofErr w:type="spellStart"/>
      <w:r w:rsidRPr="007823C0">
        <w:rPr>
          <w:color w:val="000000"/>
        </w:rPr>
        <w:t>I</w:t>
      </w:r>
      <w:r w:rsidRPr="007823C0">
        <w:rPr>
          <w:color w:val="000000"/>
          <w:vertAlign w:val="subscript"/>
        </w:rPr>
        <w:t>s</w:t>
      </w:r>
      <w:proofErr w:type="spellEnd"/>
      <w:r w:rsidRPr="007823C0">
        <w:rPr>
          <w:color w:val="000000"/>
        </w:rPr>
        <w:t>, należy przeprowadzić według BN-77/8931-12 [9] lub uzyskać z badań metodą płyty dynamicznej.</w:t>
      </w:r>
    </w:p>
    <w:p w:rsidR="00594930" w:rsidRPr="00C972A8" w:rsidRDefault="00594930" w:rsidP="00594930">
      <w:pPr>
        <w:rPr>
          <w:color w:val="000000"/>
        </w:rPr>
      </w:pPr>
      <w:r w:rsidRPr="007823C0">
        <w:rPr>
          <w:color w:val="000000"/>
        </w:rPr>
        <w:t>Wskaźnik zagęszczenia gruntów w nasypach, określony według normy BN-77/8931-12 [9], lub wyznaczony z badań przeprowadzonych metodą obciążeń płytowych, przy użyciu płyty dynamicznej o średnicy D=300mm.</w:t>
      </w:r>
      <w:r w:rsidRPr="002239D5">
        <w:rPr>
          <w:color w:val="000000"/>
        </w:rPr>
        <w:t xml:space="preserve"> </w:t>
      </w:r>
    </w:p>
    <w:p w:rsidR="00594930" w:rsidRPr="007823C0" w:rsidRDefault="00594930" w:rsidP="00594930">
      <w:pPr>
        <w:rPr>
          <w:color w:val="000000"/>
        </w:rPr>
      </w:pPr>
      <w:r w:rsidRPr="007823C0">
        <w:rPr>
          <w:color w:val="000000"/>
        </w:rPr>
        <w:t xml:space="preserve">W zależności od uziarnienia stosowanych materiałów, zagęszczenie warstw nasypu należy określać za pomocą wskaźnika zagęszczenia </w:t>
      </w:r>
      <w:proofErr w:type="spellStart"/>
      <w:r w:rsidRPr="007823C0">
        <w:rPr>
          <w:color w:val="000000"/>
        </w:rPr>
        <w:t>I</w:t>
      </w:r>
      <w:r w:rsidRPr="007823C0">
        <w:rPr>
          <w:color w:val="000000"/>
          <w:vertAlign w:val="subscript"/>
        </w:rPr>
        <w:t>s</w:t>
      </w:r>
      <w:proofErr w:type="spellEnd"/>
      <w:r w:rsidRPr="007823C0">
        <w:rPr>
          <w:color w:val="000000"/>
          <w:vertAlign w:val="subscript"/>
        </w:rPr>
        <w:t xml:space="preserve"> </w:t>
      </w:r>
      <w:r w:rsidRPr="007823C0">
        <w:rPr>
          <w:color w:val="000000"/>
        </w:rPr>
        <w:t>według BN 77/8931-12 lub wy</w:t>
      </w:r>
      <w:r>
        <w:rPr>
          <w:color w:val="000000"/>
        </w:rPr>
        <w:t>z</w:t>
      </w:r>
      <w:r w:rsidRPr="007823C0">
        <w:rPr>
          <w:color w:val="000000"/>
        </w:rPr>
        <w:t xml:space="preserve">naczenia wskaźnika odkształcenia </w:t>
      </w:r>
      <w:proofErr w:type="spellStart"/>
      <w:r w:rsidRPr="007823C0">
        <w:rPr>
          <w:color w:val="000000"/>
        </w:rPr>
        <w:t>I</w:t>
      </w:r>
      <w:r w:rsidRPr="007823C0">
        <w:rPr>
          <w:color w:val="000000"/>
          <w:vertAlign w:val="subscript"/>
        </w:rPr>
        <w:t>o</w:t>
      </w:r>
      <w:proofErr w:type="spellEnd"/>
      <w:r w:rsidRPr="007823C0">
        <w:rPr>
          <w:color w:val="000000"/>
          <w:vertAlign w:val="subscript"/>
        </w:rPr>
        <w:t xml:space="preserve"> </w:t>
      </w:r>
      <w:r w:rsidRPr="007823C0">
        <w:rPr>
          <w:color w:val="000000"/>
        </w:rPr>
        <w:t>poprzez porównanie pierwotnego i wtórnego modułu E</w:t>
      </w:r>
      <w:r w:rsidRPr="007823C0">
        <w:rPr>
          <w:color w:val="000000"/>
          <w:vertAlign w:val="subscript"/>
        </w:rPr>
        <w:t>2</w:t>
      </w:r>
      <w:r w:rsidRPr="007823C0">
        <w:rPr>
          <w:color w:val="000000"/>
        </w:rPr>
        <w:t>/E</w:t>
      </w:r>
      <w:r w:rsidRPr="007823C0">
        <w:rPr>
          <w:color w:val="000000"/>
          <w:vertAlign w:val="subscript"/>
        </w:rPr>
        <w:t xml:space="preserve">1 </w:t>
      </w:r>
      <w:r w:rsidRPr="007823C0">
        <w:rPr>
          <w:color w:val="000000"/>
        </w:rPr>
        <w:t>wg PN-S-02205:1998.</w:t>
      </w:r>
    </w:p>
    <w:p w:rsidR="00594930" w:rsidRPr="007823C0" w:rsidRDefault="00594930" w:rsidP="00594930">
      <w:pPr>
        <w:rPr>
          <w:color w:val="000000"/>
        </w:rPr>
      </w:pPr>
      <w:r w:rsidRPr="007823C0">
        <w:rPr>
          <w:color w:val="000000"/>
        </w:rPr>
        <w:t>Kontrolę nośności na podstawie pomiaru wtórnego modułu odkształcenia E</w:t>
      </w:r>
      <w:r w:rsidRPr="007823C0">
        <w:rPr>
          <w:color w:val="000000"/>
          <w:vertAlign w:val="subscript"/>
        </w:rPr>
        <w:t xml:space="preserve">2 </w:t>
      </w:r>
      <w:r w:rsidRPr="007823C0">
        <w:rPr>
          <w:color w:val="000000"/>
        </w:rPr>
        <w:t>wg PN-S-02205:1998 należy przeprowadzić dla podłoża nasypu poszczególnych warstw nasypu oraz górnej warstwy nasypu (podłoża konstrukcji nawierzchni).</w:t>
      </w:r>
    </w:p>
    <w:p w:rsidR="00594930" w:rsidRDefault="00594930" w:rsidP="00594930">
      <w:pPr>
        <w:pStyle w:val="Teksttreci1"/>
        <w:spacing w:after="0" w:line="240" w:lineRule="auto"/>
        <w:ind w:left="20" w:right="140" w:firstLine="600"/>
        <w:rPr>
          <w:rFonts w:ascii="Times New Roman" w:hAnsi="Times New Roman"/>
          <w:color w:val="000000"/>
          <w:lang w:eastAsia="pl-PL"/>
        </w:rPr>
      </w:pPr>
      <w:r w:rsidRPr="001E1950">
        <w:rPr>
          <w:rFonts w:ascii="Times New Roman" w:hAnsi="Times New Roman"/>
          <w:color w:val="000000"/>
          <w:lang w:eastAsia="pl-PL"/>
        </w:rPr>
        <w:t>Tabela 3. Wartości wskaźnika zagęsz</w:t>
      </w:r>
      <w:r>
        <w:rPr>
          <w:rFonts w:ascii="Times New Roman" w:hAnsi="Times New Roman"/>
          <w:color w:val="000000"/>
          <w:lang w:eastAsia="pl-PL"/>
        </w:rPr>
        <w:t xml:space="preserve">czenia, wskaźnika </w:t>
      </w:r>
      <w:proofErr w:type="spellStart"/>
      <w:r>
        <w:rPr>
          <w:rFonts w:ascii="Times New Roman" w:hAnsi="Times New Roman"/>
          <w:color w:val="000000"/>
          <w:lang w:eastAsia="pl-PL"/>
        </w:rPr>
        <w:t>odkształcenia,</w:t>
      </w:r>
      <w:r w:rsidRPr="001E1950">
        <w:rPr>
          <w:rFonts w:ascii="Times New Roman" w:hAnsi="Times New Roman"/>
          <w:color w:val="000000"/>
          <w:lang w:eastAsia="pl-PL"/>
        </w:rPr>
        <w:t>wtórnego</w:t>
      </w:r>
      <w:proofErr w:type="spellEnd"/>
      <w:r w:rsidRPr="001E1950">
        <w:rPr>
          <w:rFonts w:ascii="Times New Roman" w:hAnsi="Times New Roman"/>
          <w:color w:val="000000"/>
          <w:lang w:eastAsia="pl-PL"/>
        </w:rPr>
        <w:t xml:space="preserve"> modułu odkształcenia </w:t>
      </w:r>
      <w:r>
        <w:rPr>
          <w:rFonts w:ascii="Times New Roman" w:hAnsi="Times New Roman"/>
          <w:color w:val="000000"/>
          <w:lang w:eastAsia="pl-PL"/>
        </w:rPr>
        <w:t xml:space="preserve">oraz dynamicznego odkształcenia </w:t>
      </w:r>
      <w:r w:rsidRPr="001E1950">
        <w:rPr>
          <w:rFonts w:ascii="Times New Roman" w:hAnsi="Times New Roman"/>
          <w:color w:val="000000"/>
          <w:lang w:eastAsia="pl-PL"/>
        </w:rPr>
        <w:t xml:space="preserve">powinny wynosić: </w:t>
      </w:r>
    </w:p>
    <w:tbl>
      <w:tblPr>
        <w:tblpPr w:leftFromText="141" w:rightFromText="141" w:vertAnchor="text" w:horzAnchor="margin" w:tblpY="15"/>
        <w:tblW w:w="8936" w:type="dxa"/>
        <w:tblLayout w:type="fixed"/>
        <w:tblCellMar>
          <w:left w:w="0" w:type="dxa"/>
          <w:right w:w="0" w:type="dxa"/>
        </w:tblCellMar>
        <w:tblLook w:val="0000" w:firstRow="0" w:lastRow="0" w:firstColumn="0" w:lastColumn="0" w:noHBand="0" w:noVBand="0"/>
      </w:tblPr>
      <w:tblGrid>
        <w:gridCol w:w="4877"/>
        <w:gridCol w:w="798"/>
        <w:gridCol w:w="851"/>
        <w:gridCol w:w="1134"/>
        <w:gridCol w:w="1276"/>
      </w:tblGrid>
      <w:tr w:rsidR="00594930" w:rsidRPr="00C35EDC" w:rsidTr="00182D13">
        <w:trPr>
          <w:trHeight w:val="451"/>
        </w:trPr>
        <w:tc>
          <w:tcPr>
            <w:tcW w:w="4877"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81"/>
              <w:spacing w:line="240" w:lineRule="auto"/>
              <w:ind w:left="1520"/>
              <w:rPr>
                <w:rFonts w:ascii="Times New Roman" w:hAnsi="Times New Roman"/>
                <w:i w:val="0"/>
                <w:iCs w:val="0"/>
                <w:lang w:eastAsia="pl-PL"/>
              </w:rPr>
            </w:pPr>
            <w:r w:rsidRPr="00E17198">
              <w:rPr>
                <w:rFonts w:ascii="Times New Roman" w:hAnsi="Times New Roman"/>
                <w:i w:val="0"/>
                <w:iCs w:val="0"/>
                <w:lang w:eastAsia="pl-PL"/>
              </w:rPr>
              <w:t>Miejsce wbudowania</w:t>
            </w:r>
          </w:p>
        </w:tc>
        <w:tc>
          <w:tcPr>
            <w:tcW w:w="798" w:type="dxa"/>
            <w:tcBorders>
              <w:top w:val="single" w:sz="4" w:space="0" w:color="auto"/>
              <w:left w:val="single" w:sz="4" w:space="0" w:color="auto"/>
              <w:bottom w:val="single" w:sz="4" w:space="0" w:color="auto"/>
              <w:right w:val="single" w:sz="4" w:space="0" w:color="auto"/>
            </w:tcBorders>
          </w:tcPr>
          <w:p w:rsidR="00594930" w:rsidRPr="00C35EDC" w:rsidRDefault="00594930" w:rsidP="00182D13">
            <w:pPr>
              <w:jc w:val="center"/>
              <w:rPr>
                <w:sz w:val="22"/>
                <w:szCs w:val="22"/>
              </w:rPr>
            </w:pPr>
            <w:proofErr w:type="spellStart"/>
            <w:r w:rsidRPr="00C35EDC">
              <w:rPr>
                <w:sz w:val="22"/>
                <w:szCs w:val="22"/>
              </w:rPr>
              <w:t>I</w:t>
            </w:r>
            <w:r w:rsidRPr="00C35EDC">
              <w:rPr>
                <w:sz w:val="22"/>
                <w:szCs w:val="22"/>
                <w:vertAlign w:val="subscript"/>
              </w:rPr>
              <w:t>s</w:t>
            </w:r>
            <w:proofErr w:type="spellEnd"/>
          </w:p>
        </w:tc>
        <w:tc>
          <w:tcPr>
            <w:tcW w:w="851"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81"/>
              <w:spacing w:line="240" w:lineRule="auto"/>
              <w:ind w:left="60"/>
              <w:jc w:val="center"/>
              <w:rPr>
                <w:rFonts w:ascii="Times New Roman" w:hAnsi="Times New Roman"/>
                <w:i w:val="0"/>
                <w:iCs w:val="0"/>
                <w:lang w:eastAsia="pl-PL"/>
              </w:rPr>
            </w:pPr>
            <w:r w:rsidRPr="00E17198">
              <w:rPr>
                <w:rFonts w:ascii="Times New Roman" w:hAnsi="Times New Roman"/>
                <w:i w:val="0"/>
                <w:iCs w:val="0"/>
                <w:lang w:eastAsia="pl-PL"/>
              </w:rPr>
              <w:t>I</w:t>
            </w:r>
            <w:r w:rsidRPr="00E17198">
              <w:rPr>
                <w:rFonts w:ascii="Times New Roman" w:hAnsi="Times New Roman"/>
                <w:i w:val="0"/>
                <w:iCs w:val="0"/>
                <w:vertAlign w:val="subscript"/>
                <w:lang w:eastAsia="pl-PL"/>
              </w:rPr>
              <w:t>0</w:t>
            </w:r>
          </w:p>
        </w:tc>
        <w:tc>
          <w:tcPr>
            <w:tcW w:w="1134"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181"/>
              <w:spacing w:line="240" w:lineRule="auto"/>
              <w:ind w:left="60"/>
              <w:jc w:val="center"/>
              <w:rPr>
                <w:rFonts w:ascii="Times New Roman" w:hAnsi="Times New Roman"/>
                <w:noProof w:val="0"/>
                <w:lang w:eastAsia="pl-PL"/>
              </w:rPr>
            </w:pPr>
            <w:r w:rsidRPr="00E17198">
              <w:rPr>
                <w:rFonts w:ascii="Times New Roman" w:hAnsi="Times New Roman"/>
                <w:i/>
                <w:iCs/>
                <w:smallCaps/>
                <w:lang w:eastAsia="pl-PL"/>
              </w:rPr>
              <w:t>e</w:t>
            </w:r>
            <w:r w:rsidRPr="00E17198">
              <w:rPr>
                <w:rFonts w:ascii="Times New Roman" w:hAnsi="Times New Roman"/>
                <w:noProof w:val="0"/>
                <w:vertAlign w:val="subscript"/>
                <w:lang w:eastAsia="pl-PL"/>
              </w:rPr>
              <w:t>2</w:t>
            </w:r>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jc w:val="center"/>
              <w:rPr>
                <w:rFonts w:ascii="Times New Roman" w:hAnsi="Times New Roman"/>
                <w:i/>
                <w:iCs/>
                <w:lang w:eastAsia="pl-PL"/>
              </w:rPr>
            </w:pPr>
            <w:proofErr w:type="spellStart"/>
            <w:r w:rsidRPr="00E17198">
              <w:rPr>
                <w:rFonts w:ascii="Times New Roman" w:hAnsi="Times New Roman"/>
                <w:i/>
                <w:iCs/>
                <w:lang w:eastAsia="pl-PL"/>
              </w:rPr>
              <w:t>E</w:t>
            </w:r>
            <w:r w:rsidRPr="00E17198">
              <w:rPr>
                <w:rFonts w:ascii="Times New Roman" w:hAnsi="Times New Roman"/>
                <w:i/>
                <w:iCs/>
                <w:vertAlign w:val="subscript"/>
                <w:lang w:eastAsia="pl-PL"/>
              </w:rPr>
              <w:t>vd</w:t>
            </w:r>
            <w:r w:rsidRPr="00E17198">
              <w:rPr>
                <w:rFonts w:ascii="Times New Roman" w:hAnsi="Times New Roman"/>
                <w:i/>
                <w:iCs/>
                <w:vertAlign w:val="superscript"/>
                <w:lang w:eastAsia="pl-PL"/>
              </w:rPr>
              <w:t>mm</w:t>
            </w:r>
            <w:proofErr w:type="spellEnd"/>
          </w:p>
        </w:tc>
      </w:tr>
      <w:tr w:rsidR="00594930" w:rsidRPr="00C35EDC" w:rsidTr="00182D13">
        <w:trPr>
          <w:trHeight w:val="374"/>
        </w:trPr>
        <w:tc>
          <w:tcPr>
            <w:tcW w:w="7660" w:type="dxa"/>
            <w:gridSpan w:val="4"/>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81"/>
              <w:spacing w:line="240" w:lineRule="auto"/>
              <w:ind w:left="80"/>
              <w:rPr>
                <w:rFonts w:ascii="Times New Roman" w:hAnsi="Times New Roman"/>
                <w:i w:val="0"/>
                <w:iCs w:val="0"/>
                <w:lang w:eastAsia="pl-PL"/>
              </w:rPr>
            </w:pPr>
            <w:r w:rsidRPr="00E17198">
              <w:rPr>
                <w:rFonts w:ascii="Times New Roman" w:hAnsi="Times New Roman"/>
                <w:i w:val="0"/>
                <w:iCs w:val="0"/>
                <w:lang w:eastAsia="pl-PL"/>
              </w:rPr>
              <w:t>warstwy  wzmacniające  podłoże pod konstrukcją nawierzchni</w:t>
            </w:r>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i/>
                <w:iCs/>
                <w:lang w:eastAsia="pl-PL"/>
              </w:rPr>
            </w:pPr>
          </w:p>
        </w:tc>
      </w:tr>
      <w:tr w:rsidR="00594930" w:rsidRPr="00C35EDC" w:rsidTr="00182D13">
        <w:trPr>
          <w:trHeight w:val="346"/>
        </w:trPr>
        <w:tc>
          <w:tcPr>
            <w:tcW w:w="4877"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pod konstrukcje nawierzchni</w:t>
            </w:r>
            <w:r w:rsidRPr="00E17198">
              <w:rPr>
                <w:rFonts w:ascii="Times New Roman" w:hAnsi="Times New Roman"/>
                <w:i/>
                <w:iCs/>
                <w:lang w:eastAsia="pl-PL"/>
              </w:rPr>
              <w:t xml:space="preserve"> </w:t>
            </w:r>
          </w:p>
        </w:tc>
        <w:tc>
          <w:tcPr>
            <w:tcW w:w="798"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1,03</w:t>
            </w:r>
          </w:p>
        </w:tc>
        <w:tc>
          <w:tcPr>
            <w:tcW w:w="851"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≤2,20</w:t>
            </w:r>
          </w:p>
        </w:tc>
        <w:tc>
          <w:tcPr>
            <w:tcW w:w="1134"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120 </w:t>
            </w:r>
            <w:proofErr w:type="spellStart"/>
            <w:r w:rsidRPr="00E17198">
              <w:rPr>
                <w:rFonts w:ascii="Times New Roman" w:hAnsi="Times New Roman"/>
                <w:lang w:eastAsia="pl-PL"/>
              </w:rPr>
              <w:t>MPa</w:t>
            </w:r>
            <w:proofErr w:type="spellEnd"/>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i/>
                <w:iCs/>
                <w:lang w:eastAsia="pl-PL"/>
              </w:rPr>
            </w:pPr>
            <w:r w:rsidRPr="00E17198">
              <w:rPr>
                <w:rFonts w:ascii="Times New Roman" w:hAnsi="Times New Roman"/>
                <w:i/>
                <w:iCs/>
                <w:lang w:eastAsia="pl-PL"/>
              </w:rPr>
              <w:t xml:space="preserve">≥ 60 </w:t>
            </w:r>
            <w:proofErr w:type="spellStart"/>
            <w:r w:rsidRPr="00E17198">
              <w:rPr>
                <w:rFonts w:ascii="Times New Roman" w:hAnsi="Times New Roman"/>
                <w:i/>
                <w:iCs/>
                <w:lang w:eastAsia="pl-PL"/>
              </w:rPr>
              <w:t>MPa</w:t>
            </w:r>
            <w:proofErr w:type="spellEnd"/>
          </w:p>
        </w:tc>
      </w:tr>
      <w:tr w:rsidR="00594930" w:rsidRPr="00C35EDC" w:rsidTr="00182D13">
        <w:trPr>
          <w:trHeight w:val="475"/>
        </w:trPr>
        <w:tc>
          <w:tcPr>
            <w:tcW w:w="4877"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30" w:lineRule="exact"/>
              <w:ind w:left="60"/>
              <w:rPr>
                <w:rFonts w:ascii="Times New Roman" w:hAnsi="Times New Roman"/>
                <w:lang w:eastAsia="pl-PL"/>
              </w:rPr>
            </w:pPr>
            <w:r w:rsidRPr="00E17198">
              <w:rPr>
                <w:rFonts w:ascii="Times New Roman" w:hAnsi="Times New Roman"/>
                <w:lang w:eastAsia="pl-PL"/>
              </w:rPr>
              <w:t xml:space="preserve">pod konstrukcje nawierzchni - stanowiska postojowe dla sam. </w:t>
            </w:r>
            <w:proofErr w:type="spellStart"/>
            <w:r w:rsidRPr="00E17198">
              <w:rPr>
                <w:rFonts w:ascii="Times New Roman" w:hAnsi="Times New Roman"/>
                <w:lang w:eastAsia="pl-PL"/>
              </w:rPr>
              <w:t>cieżarowych</w:t>
            </w:r>
            <w:proofErr w:type="spellEnd"/>
            <w:r w:rsidRPr="00E17198">
              <w:rPr>
                <w:rFonts w:ascii="Times New Roman" w:hAnsi="Times New Roman"/>
                <w:lang w:eastAsia="pl-PL"/>
              </w:rPr>
              <w:t xml:space="preserve"> i autobusów</w:t>
            </w:r>
          </w:p>
        </w:tc>
        <w:tc>
          <w:tcPr>
            <w:tcW w:w="798"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1,00</w:t>
            </w:r>
          </w:p>
        </w:tc>
        <w:tc>
          <w:tcPr>
            <w:tcW w:w="851"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≤2,20</w:t>
            </w:r>
          </w:p>
        </w:tc>
        <w:tc>
          <w:tcPr>
            <w:tcW w:w="1134"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120 </w:t>
            </w:r>
            <w:proofErr w:type="spellStart"/>
            <w:r w:rsidRPr="00E17198">
              <w:rPr>
                <w:rFonts w:ascii="Times New Roman" w:hAnsi="Times New Roman"/>
                <w:lang w:eastAsia="pl-PL"/>
              </w:rPr>
              <w:t>MPa</w:t>
            </w:r>
            <w:proofErr w:type="spellEnd"/>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 xml:space="preserve">≥ 60 </w:t>
            </w:r>
            <w:proofErr w:type="spellStart"/>
            <w:r w:rsidRPr="00E17198">
              <w:rPr>
                <w:rFonts w:ascii="Times New Roman" w:hAnsi="Times New Roman"/>
                <w:i/>
                <w:iCs/>
                <w:lang w:eastAsia="pl-PL"/>
              </w:rPr>
              <w:t>MPa</w:t>
            </w:r>
            <w:proofErr w:type="spellEnd"/>
          </w:p>
        </w:tc>
      </w:tr>
      <w:tr w:rsidR="00594930" w:rsidRPr="00C35EDC" w:rsidTr="00182D13">
        <w:trPr>
          <w:trHeight w:val="1125"/>
        </w:trPr>
        <w:tc>
          <w:tcPr>
            <w:tcW w:w="4877"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21" w:lineRule="exact"/>
              <w:ind w:left="60"/>
              <w:rPr>
                <w:rFonts w:ascii="Times New Roman" w:hAnsi="Times New Roman"/>
                <w:lang w:eastAsia="pl-PL"/>
              </w:rPr>
            </w:pPr>
            <w:r w:rsidRPr="00E17198">
              <w:rPr>
                <w:rFonts w:ascii="Times New Roman" w:hAnsi="Times New Roman"/>
                <w:lang w:eastAsia="pl-PL"/>
              </w:rPr>
              <w:lastRenderedPageBreak/>
              <w:t>pod konstrukcje nawierzchni:</w:t>
            </w:r>
          </w:p>
          <w:p w:rsidR="00594930" w:rsidRPr="00E17198" w:rsidRDefault="00594930" w:rsidP="00594930">
            <w:pPr>
              <w:pStyle w:val="Teksttreci41"/>
              <w:numPr>
                <w:ilvl w:val="0"/>
                <w:numId w:val="2"/>
              </w:numPr>
              <w:tabs>
                <w:tab w:val="clear" w:pos="571"/>
                <w:tab w:val="left" w:pos="314"/>
              </w:tabs>
              <w:spacing w:line="221" w:lineRule="exact"/>
              <w:ind w:left="60" w:firstLine="0"/>
              <w:rPr>
                <w:rFonts w:ascii="Times New Roman" w:hAnsi="Times New Roman"/>
                <w:lang w:eastAsia="pl-PL"/>
              </w:rPr>
            </w:pPr>
            <w:r w:rsidRPr="00E17198">
              <w:rPr>
                <w:rFonts w:ascii="Times New Roman" w:hAnsi="Times New Roman"/>
                <w:lang w:eastAsia="pl-PL"/>
              </w:rPr>
              <w:t>stanowiska postojowe dla sam. osobowych</w:t>
            </w:r>
          </w:p>
          <w:p w:rsidR="00594930" w:rsidRPr="00E17198" w:rsidRDefault="00594930" w:rsidP="00594930">
            <w:pPr>
              <w:pStyle w:val="Teksttreci41"/>
              <w:numPr>
                <w:ilvl w:val="0"/>
                <w:numId w:val="2"/>
              </w:numPr>
              <w:tabs>
                <w:tab w:val="clear" w:pos="571"/>
                <w:tab w:val="left" w:pos="314"/>
              </w:tabs>
              <w:spacing w:line="221" w:lineRule="exact"/>
              <w:ind w:left="60" w:firstLine="0"/>
              <w:rPr>
                <w:rFonts w:ascii="Times New Roman" w:hAnsi="Times New Roman"/>
                <w:lang w:eastAsia="pl-PL"/>
              </w:rPr>
            </w:pPr>
            <w:r w:rsidRPr="00E17198">
              <w:rPr>
                <w:rFonts w:ascii="Times New Roman" w:hAnsi="Times New Roman"/>
                <w:lang w:eastAsia="pl-PL"/>
              </w:rPr>
              <w:t>drogi powiatowe,</w:t>
            </w:r>
          </w:p>
          <w:p w:rsidR="00594930" w:rsidRPr="00E17198" w:rsidRDefault="00594930" w:rsidP="00594930">
            <w:pPr>
              <w:pStyle w:val="Teksttreci41"/>
              <w:numPr>
                <w:ilvl w:val="0"/>
                <w:numId w:val="2"/>
              </w:numPr>
              <w:tabs>
                <w:tab w:val="clear" w:pos="571"/>
                <w:tab w:val="left" w:pos="314"/>
              </w:tabs>
              <w:spacing w:line="221" w:lineRule="exact"/>
              <w:ind w:left="60" w:firstLine="0"/>
              <w:rPr>
                <w:rFonts w:ascii="Times New Roman" w:hAnsi="Times New Roman"/>
                <w:lang w:eastAsia="pl-PL"/>
              </w:rPr>
            </w:pPr>
            <w:r w:rsidRPr="00E17198">
              <w:rPr>
                <w:rFonts w:ascii="Times New Roman" w:hAnsi="Times New Roman"/>
                <w:lang w:eastAsia="pl-PL"/>
              </w:rPr>
              <w:t>drogi gminne,</w:t>
            </w:r>
          </w:p>
          <w:p w:rsidR="00594930" w:rsidRPr="00E17198" w:rsidRDefault="00594930" w:rsidP="00594930">
            <w:pPr>
              <w:pStyle w:val="Teksttreci41"/>
              <w:numPr>
                <w:ilvl w:val="0"/>
                <w:numId w:val="2"/>
              </w:numPr>
              <w:tabs>
                <w:tab w:val="clear" w:pos="571"/>
                <w:tab w:val="left" w:pos="314"/>
              </w:tabs>
              <w:spacing w:line="221" w:lineRule="exact"/>
              <w:ind w:left="60" w:firstLine="0"/>
              <w:rPr>
                <w:rFonts w:ascii="Times New Roman" w:hAnsi="Times New Roman"/>
                <w:lang w:eastAsia="pl-PL"/>
              </w:rPr>
            </w:pPr>
            <w:r w:rsidRPr="00E17198">
              <w:rPr>
                <w:rFonts w:ascii="Times New Roman" w:hAnsi="Times New Roman"/>
                <w:lang w:eastAsia="pl-PL"/>
              </w:rPr>
              <w:t>drogi dojazdowe</w:t>
            </w:r>
          </w:p>
        </w:tc>
        <w:tc>
          <w:tcPr>
            <w:tcW w:w="798"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1,00</w:t>
            </w:r>
          </w:p>
        </w:tc>
        <w:tc>
          <w:tcPr>
            <w:tcW w:w="851"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 2,20</w:t>
            </w:r>
          </w:p>
        </w:tc>
        <w:tc>
          <w:tcPr>
            <w:tcW w:w="1134"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100 </w:t>
            </w:r>
            <w:proofErr w:type="spellStart"/>
            <w:r w:rsidRPr="00E17198">
              <w:rPr>
                <w:rFonts w:ascii="Times New Roman" w:hAnsi="Times New Roman"/>
                <w:lang w:eastAsia="pl-PL"/>
              </w:rPr>
              <w:t>MPa</w:t>
            </w:r>
            <w:proofErr w:type="spellEnd"/>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 xml:space="preserve">≥ 50 </w:t>
            </w:r>
            <w:proofErr w:type="spellStart"/>
            <w:r w:rsidRPr="00E17198">
              <w:rPr>
                <w:rFonts w:ascii="Times New Roman" w:hAnsi="Times New Roman"/>
                <w:i/>
                <w:iCs/>
                <w:lang w:eastAsia="pl-PL"/>
              </w:rPr>
              <w:t>MPa</w:t>
            </w:r>
            <w:proofErr w:type="spellEnd"/>
          </w:p>
        </w:tc>
      </w:tr>
      <w:tr w:rsidR="00594930" w:rsidRPr="00C35EDC" w:rsidTr="00182D13">
        <w:trPr>
          <w:trHeight w:val="295"/>
        </w:trPr>
        <w:tc>
          <w:tcPr>
            <w:tcW w:w="4877"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exact"/>
              <w:ind w:left="60"/>
              <w:rPr>
                <w:rFonts w:ascii="Times New Roman" w:hAnsi="Times New Roman"/>
                <w:lang w:eastAsia="pl-PL"/>
              </w:rPr>
            </w:pPr>
            <w:r w:rsidRPr="00E17198">
              <w:rPr>
                <w:rFonts w:ascii="Times New Roman" w:hAnsi="Times New Roman"/>
                <w:lang w:eastAsia="pl-PL"/>
              </w:rPr>
              <w:t>pod konstrukcje nawierzchni - chodniki, zjazdy</w:t>
            </w:r>
          </w:p>
        </w:tc>
        <w:tc>
          <w:tcPr>
            <w:tcW w:w="798"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1,00</w:t>
            </w:r>
          </w:p>
        </w:tc>
        <w:tc>
          <w:tcPr>
            <w:tcW w:w="851"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 2,20</w:t>
            </w:r>
          </w:p>
        </w:tc>
        <w:tc>
          <w:tcPr>
            <w:tcW w:w="1134"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nie sprawdza się</w:t>
            </w:r>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 xml:space="preserve">≥ 50 </w:t>
            </w:r>
            <w:proofErr w:type="spellStart"/>
            <w:r w:rsidRPr="00E17198">
              <w:rPr>
                <w:rFonts w:ascii="Times New Roman" w:hAnsi="Times New Roman"/>
                <w:i/>
                <w:iCs/>
                <w:lang w:eastAsia="pl-PL"/>
              </w:rPr>
              <w:t>MPa</w:t>
            </w:r>
            <w:proofErr w:type="spellEnd"/>
          </w:p>
        </w:tc>
      </w:tr>
      <w:tr w:rsidR="00594930" w:rsidRPr="00C35EDC" w:rsidTr="00182D13">
        <w:trPr>
          <w:trHeight w:val="360"/>
        </w:trPr>
        <w:tc>
          <w:tcPr>
            <w:tcW w:w="7660" w:type="dxa"/>
            <w:gridSpan w:val="4"/>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81"/>
              <w:spacing w:line="240" w:lineRule="auto"/>
              <w:ind w:left="80"/>
              <w:rPr>
                <w:rFonts w:ascii="Times New Roman" w:hAnsi="Times New Roman"/>
                <w:i w:val="0"/>
                <w:iCs w:val="0"/>
                <w:lang w:eastAsia="pl-PL"/>
              </w:rPr>
            </w:pPr>
            <w:r w:rsidRPr="00E17198">
              <w:rPr>
                <w:rFonts w:ascii="Times New Roman" w:hAnsi="Times New Roman"/>
                <w:i w:val="0"/>
                <w:iCs w:val="0"/>
                <w:lang w:eastAsia="pl-PL"/>
              </w:rPr>
              <w:t>warstwy wzmacniające podłoże nasypu</w:t>
            </w:r>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81"/>
              <w:spacing w:line="240" w:lineRule="auto"/>
              <w:ind w:left="80"/>
              <w:rPr>
                <w:rFonts w:ascii="Times New Roman" w:hAnsi="Times New Roman"/>
                <w:i w:val="0"/>
                <w:iCs w:val="0"/>
                <w:lang w:eastAsia="pl-PL"/>
              </w:rPr>
            </w:pPr>
          </w:p>
        </w:tc>
      </w:tr>
      <w:tr w:rsidR="00594930" w:rsidRPr="00C35EDC" w:rsidTr="00182D13">
        <w:trPr>
          <w:trHeight w:val="384"/>
        </w:trPr>
        <w:tc>
          <w:tcPr>
            <w:tcW w:w="4877"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podłoże nasypu (niezależnie od lokalizacji)</w:t>
            </w:r>
          </w:p>
        </w:tc>
        <w:tc>
          <w:tcPr>
            <w:tcW w:w="798"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0,97</w:t>
            </w:r>
          </w:p>
        </w:tc>
        <w:tc>
          <w:tcPr>
            <w:tcW w:w="851"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lang w:eastAsia="pl-PL"/>
              </w:rPr>
              <w:t>≤ 2,20</w:t>
            </w:r>
          </w:p>
        </w:tc>
        <w:tc>
          <w:tcPr>
            <w:tcW w:w="1134"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w:t>
            </w:r>
            <w:r w:rsidRPr="00E17198">
              <w:rPr>
                <w:rFonts w:ascii="Times New Roman" w:hAnsi="Times New Roman"/>
                <w:lang w:eastAsia="pl-PL"/>
              </w:rPr>
              <w:t xml:space="preserve"> 40</w:t>
            </w:r>
            <w:r w:rsidRPr="00E17198">
              <w:rPr>
                <w:rFonts w:ascii="Times New Roman" w:hAnsi="Times New Roman"/>
                <w:vertAlign w:val="superscript"/>
                <w:lang w:eastAsia="pl-PL"/>
              </w:rPr>
              <w:t>1</w:t>
            </w:r>
            <w:r w:rsidRPr="00E17198">
              <w:rPr>
                <w:rFonts w:ascii="Times New Roman" w:hAnsi="Times New Roman"/>
                <w:lang w:eastAsia="pl-PL"/>
              </w:rPr>
              <w:t>/30</w:t>
            </w:r>
            <w:r w:rsidRPr="00E17198">
              <w:rPr>
                <w:rFonts w:ascii="Times New Roman" w:hAnsi="Times New Roman"/>
                <w:vertAlign w:val="superscript"/>
                <w:lang w:eastAsia="pl-PL"/>
              </w:rPr>
              <w:t>2</w:t>
            </w:r>
            <w:r w:rsidRPr="00E17198">
              <w:rPr>
                <w:rFonts w:ascii="Times New Roman" w:hAnsi="Times New Roman"/>
                <w:lang w:eastAsia="pl-PL"/>
              </w:rPr>
              <w:t xml:space="preserve"> </w:t>
            </w:r>
            <w:proofErr w:type="spellStart"/>
            <w:r w:rsidRPr="00E17198">
              <w:rPr>
                <w:rFonts w:ascii="Times New Roman" w:hAnsi="Times New Roman"/>
                <w:lang w:eastAsia="pl-PL"/>
              </w:rPr>
              <w:t>MPa</w:t>
            </w:r>
            <w:proofErr w:type="spellEnd"/>
          </w:p>
        </w:tc>
        <w:tc>
          <w:tcPr>
            <w:tcW w:w="1276" w:type="dxa"/>
            <w:tcBorders>
              <w:top w:val="single" w:sz="4" w:space="0" w:color="auto"/>
              <w:left w:val="single" w:sz="4" w:space="0" w:color="auto"/>
              <w:bottom w:val="single" w:sz="4" w:space="0" w:color="auto"/>
              <w:right w:val="single" w:sz="4" w:space="0" w:color="auto"/>
            </w:tcBorders>
          </w:tcPr>
          <w:p w:rsidR="00594930" w:rsidRPr="00E17198" w:rsidRDefault="00594930" w:rsidP="00182D13">
            <w:pPr>
              <w:pStyle w:val="Teksttreci41"/>
              <w:spacing w:line="240" w:lineRule="auto"/>
              <w:ind w:left="60"/>
              <w:rPr>
                <w:rFonts w:ascii="Times New Roman" w:hAnsi="Times New Roman"/>
                <w:lang w:eastAsia="pl-PL"/>
              </w:rPr>
            </w:pPr>
            <w:r w:rsidRPr="00E17198">
              <w:rPr>
                <w:rFonts w:ascii="Times New Roman" w:hAnsi="Times New Roman"/>
                <w:i/>
                <w:iCs/>
                <w:lang w:eastAsia="pl-PL"/>
              </w:rPr>
              <w:t xml:space="preserve">≥ 35 </w:t>
            </w:r>
            <w:proofErr w:type="spellStart"/>
            <w:r w:rsidRPr="00E17198">
              <w:rPr>
                <w:rFonts w:ascii="Times New Roman" w:hAnsi="Times New Roman"/>
                <w:i/>
                <w:iCs/>
                <w:lang w:eastAsia="pl-PL"/>
              </w:rPr>
              <w:t>MPa</w:t>
            </w:r>
            <w:proofErr w:type="spellEnd"/>
          </w:p>
        </w:tc>
      </w:tr>
    </w:tbl>
    <w:p w:rsidR="00594930" w:rsidRPr="00C35EDC" w:rsidRDefault="00594930" w:rsidP="00594930">
      <w:r w:rsidRPr="00C35EDC">
        <w:rPr>
          <w:vertAlign w:val="superscript"/>
        </w:rPr>
        <w:t>1</w:t>
      </w:r>
      <w:r w:rsidRPr="00C35EDC">
        <w:t xml:space="preserve"> grunty niespoiste; </w:t>
      </w:r>
      <w:r w:rsidRPr="00C35EDC">
        <w:rPr>
          <w:vertAlign w:val="superscript"/>
        </w:rPr>
        <w:t>2</w:t>
      </w:r>
      <w:r w:rsidRPr="00C35EDC">
        <w:t xml:space="preserve"> grunty spoiste</w:t>
      </w:r>
    </w:p>
    <w:p w:rsidR="00594930" w:rsidRDefault="00594930" w:rsidP="00594930">
      <w:pPr>
        <w:rPr>
          <w:rFonts w:cs="Arial"/>
          <w:iCs/>
          <w:sz w:val="18"/>
          <w:szCs w:val="18"/>
        </w:rPr>
      </w:pPr>
      <w:r w:rsidRPr="007823C0">
        <w:rPr>
          <w:color w:val="000000"/>
        </w:rPr>
        <w:t>Jeżeli wartości wskaźnika zagęszczenia oraz nośności nie mogą być osiągnięte przez bezpośrednie zagęszczanie gruntów rodzimych, to należy podjąć środki w celu ulepszenia gruntu w nasypie, umożliwiającego uzyskanie wymaganych wartości wskaźnika zagęszczenia (</w:t>
      </w:r>
      <w:proofErr w:type="spellStart"/>
      <w:r w:rsidRPr="007823C0">
        <w:rPr>
          <w:color w:val="000000"/>
        </w:rPr>
        <w:t>I</w:t>
      </w:r>
      <w:r w:rsidRPr="007823C0">
        <w:rPr>
          <w:color w:val="000000"/>
          <w:vertAlign w:val="subscript"/>
        </w:rPr>
        <w:t>s</w:t>
      </w:r>
      <w:proofErr w:type="spellEnd"/>
      <w:r w:rsidRPr="007823C0">
        <w:rPr>
          <w:color w:val="000000"/>
          <w:vertAlign w:val="subscript"/>
        </w:rPr>
        <w:t xml:space="preserve">, </w:t>
      </w:r>
      <w:proofErr w:type="spellStart"/>
      <w:r w:rsidRPr="007823C0">
        <w:rPr>
          <w:color w:val="000000"/>
        </w:rPr>
        <w:t>I</w:t>
      </w:r>
      <w:r w:rsidRPr="007823C0">
        <w:rPr>
          <w:color w:val="000000"/>
          <w:vertAlign w:val="subscript"/>
        </w:rPr>
        <w:t>o</w:t>
      </w:r>
      <w:proofErr w:type="spellEnd"/>
      <w:r w:rsidRPr="007823C0">
        <w:rPr>
          <w:color w:val="000000"/>
        </w:rPr>
        <w:t>) oraz modułu odkształcenia (E</w:t>
      </w:r>
      <w:r w:rsidRPr="007823C0">
        <w:rPr>
          <w:color w:val="000000"/>
          <w:vertAlign w:val="subscript"/>
        </w:rPr>
        <w:t>2</w:t>
      </w:r>
      <w:r w:rsidRPr="007823C0">
        <w:rPr>
          <w:color w:val="000000"/>
        </w:rPr>
        <w:t>). Możliwe do zastosowania środki proponuje Wykonawca i przedstawia do akceptacji Kierownikowi Projektu.</w:t>
      </w:r>
    </w:p>
    <w:p w:rsidR="00594930" w:rsidRPr="00402B12" w:rsidRDefault="00594930" w:rsidP="00594930">
      <w:pPr>
        <w:pStyle w:val="Nagwek2"/>
        <w:numPr>
          <w:ilvl w:val="1"/>
          <w:numId w:val="0"/>
        </w:numPr>
        <w:tabs>
          <w:tab w:val="num" w:pos="567"/>
        </w:tabs>
        <w:spacing w:before="0" w:after="0"/>
        <w:ind w:left="907" w:hanging="907"/>
      </w:pPr>
      <w:r>
        <w:t>5.5</w:t>
      </w:r>
      <w:r w:rsidRPr="00402B12">
        <w:t>Odcinek próbny</w:t>
      </w:r>
    </w:p>
    <w:p w:rsidR="00594930" w:rsidRPr="00402B12" w:rsidRDefault="00594930" w:rsidP="00594930">
      <w:pPr>
        <w:rPr>
          <w:rFonts w:cs="Arial"/>
          <w:iCs/>
          <w:sz w:val="18"/>
          <w:szCs w:val="18"/>
        </w:rPr>
      </w:pPr>
      <w:r w:rsidRPr="00402B12">
        <w:rPr>
          <w:rFonts w:cs="Arial"/>
          <w:iCs/>
          <w:sz w:val="18"/>
          <w:szCs w:val="18"/>
        </w:rPr>
        <w:t>Jeżeli w Inżynier stwierdzi konieczność wykonania odcinka próbnego, to co najmniej na 3 dni przed rozpoczęciem robót, Wykonawca</w:t>
      </w:r>
      <w:r>
        <w:rPr>
          <w:rFonts w:cs="Arial"/>
          <w:iCs/>
          <w:sz w:val="18"/>
          <w:szCs w:val="18"/>
        </w:rPr>
        <w:t xml:space="preserve"> </w:t>
      </w:r>
      <w:r w:rsidRPr="00402B12">
        <w:rPr>
          <w:rFonts w:cs="Arial"/>
          <w:iCs/>
          <w:sz w:val="18"/>
          <w:szCs w:val="18"/>
        </w:rPr>
        <w:t>powinien wykonać odcinek próbny w celu:</w:t>
      </w:r>
    </w:p>
    <w:p w:rsidR="00594930" w:rsidRPr="00402B12" w:rsidRDefault="00594930" w:rsidP="00594930">
      <w:pPr>
        <w:numPr>
          <w:ilvl w:val="0"/>
          <w:numId w:val="4"/>
        </w:numPr>
        <w:autoSpaceDE w:val="0"/>
        <w:autoSpaceDN w:val="0"/>
        <w:adjustRightInd w:val="0"/>
        <w:jc w:val="both"/>
        <w:rPr>
          <w:rFonts w:cs="Arial"/>
          <w:iCs/>
          <w:sz w:val="18"/>
          <w:szCs w:val="18"/>
        </w:rPr>
      </w:pPr>
      <w:r w:rsidRPr="00402B12">
        <w:rPr>
          <w:rFonts w:cs="Arial"/>
          <w:iCs/>
          <w:sz w:val="18"/>
          <w:szCs w:val="18"/>
        </w:rPr>
        <w:t>stwierdzenia czy sprzęt budowlany do mieszania, rozkładania i zagęszczania kruszywa jest właściwy,</w:t>
      </w:r>
    </w:p>
    <w:p w:rsidR="00594930" w:rsidRPr="00402B12" w:rsidRDefault="00594930" w:rsidP="00594930">
      <w:pPr>
        <w:numPr>
          <w:ilvl w:val="0"/>
          <w:numId w:val="4"/>
        </w:numPr>
        <w:autoSpaceDE w:val="0"/>
        <w:autoSpaceDN w:val="0"/>
        <w:adjustRightInd w:val="0"/>
        <w:jc w:val="both"/>
        <w:rPr>
          <w:rFonts w:cs="Arial"/>
          <w:iCs/>
          <w:sz w:val="18"/>
          <w:szCs w:val="18"/>
        </w:rPr>
      </w:pPr>
      <w:r w:rsidRPr="00402B12">
        <w:rPr>
          <w:rFonts w:cs="Arial"/>
          <w:iCs/>
          <w:sz w:val="18"/>
          <w:szCs w:val="18"/>
        </w:rPr>
        <w:t>określenia grubości warstwy materiału w stanie luźnym, koniecznej do uzyskania wymaganej grubości warstwy po</w:t>
      </w:r>
      <w:r>
        <w:rPr>
          <w:rFonts w:cs="Arial"/>
          <w:iCs/>
          <w:sz w:val="18"/>
          <w:szCs w:val="18"/>
        </w:rPr>
        <w:t xml:space="preserve"> </w:t>
      </w:r>
      <w:r w:rsidRPr="00402B12">
        <w:rPr>
          <w:rFonts w:cs="Arial"/>
          <w:iCs/>
          <w:sz w:val="18"/>
          <w:szCs w:val="18"/>
        </w:rPr>
        <w:t>zagęszczeniu,</w:t>
      </w:r>
    </w:p>
    <w:p w:rsidR="00594930" w:rsidRPr="00402B12" w:rsidRDefault="00594930" w:rsidP="00594930">
      <w:pPr>
        <w:numPr>
          <w:ilvl w:val="0"/>
          <w:numId w:val="4"/>
        </w:numPr>
        <w:autoSpaceDE w:val="0"/>
        <w:autoSpaceDN w:val="0"/>
        <w:adjustRightInd w:val="0"/>
        <w:jc w:val="both"/>
        <w:rPr>
          <w:rFonts w:cs="Arial"/>
          <w:iCs/>
          <w:sz w:val="18"/>
          <w:szCs w:val="18"/>
        </w:rPr>
      </w:pPr>
      <w:r w:rsidRPr="00402B12">
        <w:rPr>
          <w:rFonts w:cs="Arial"/>
          <w:iCs/>
          <w:sz w:val="18"/>
          <w:szCs w:val="18"/>
        </w:rPr>
        <w:t>określenia liczby przejść sprzętu zagęszczającego, potrzebnej do uzyskania wymaganego wskaźnika zagęszczenia.</w:t>
      </w:r>
    </w:p>
    <w:p w:rsidR="00594930" w:rsidRPr="00402B12" w:rsidRDefault="00594930" w:rsidP="00594930">
      <w:pPr>
        <w:rPr>
          <w:rFonts w:cs="Arial"/>
          <w:iCs/>
          <w:sz w:val="18"/>
          <w:szCs w:val="18"/>
        </w:rPr>
      </w:pPr>
      <w:r w:rsidRPr="00402B12">
        <w:rPr>
          <w:rFonts w:cs="Arial"/>
          <w:iCs/>
          <w:sz w:val="18"/>
          <w:szCs w:val="18"/>
        </w:rPr>
        <w:t>Na odcinku próbnym Wykonawca powinien użyć takich materiałów oraz sprzętu do mieszania, rozkładania i zagęszczania, jakie będą</w:t>
      </w:r>
      <w:r>
        <w:rPr>
          <w:rFonts w:cs="Arial"/>
          <w:iCs/>
          <w:sz w:val="18"/>
          <w:szCs w:val="18"/>
        </w:rPr>
        <w:t xml:space="preserve"> </w:t>
      </w:r>
      <w:r w:rsidRPr="00402B12">
        <w:rPr>
          <w:rFonts w:cs="Arial"/>
          <w:iCs/>
          <w:sz w:val="18"/>
          <w:szCs w:val="18"/>
        </w:rPr>
        <w:t>stosowane do wykonywania umocnienia poboczy.</w:t>
      </w:r>
    </w:p>
    <w:p w:rsidR="00594930" w:rsidRPr="00402B12" w:rsidRDefault="00594930" w:rsidP="00594930">
      <w:pPr>
        <w:rPr>
          <w:rFonts w:cs="Arial"/>
          <w:iCs/>
          <w:sz w:val="18"/>
          <w:szCs w:val="18"/>
        </w:rPr>
      </w:pPr>
      <w:r w:rsidRPr="00402B12">
        <w:rPr>
          <w:rFonts w:cs="Arial"/>
          <w:iCs/>
          <w:sz w:val="18"/>
          <w:szCs w:val="18"/>
        </w:rPr>
        <w:t>Wielkość i lokalizację odcinka próbnego uzgadnia Wykonawca z Inżynierem</w:t>
      </w:r>
      <w:r>
        <w:rPr>
          <w:rFonts w:cs="Arial"/>
          <w:iCs/>
          <w:sz w:val="18"/>
          <w:szCs w:val="18"/>
        </w:rPr>
        <w:t>.</w:t>
      </w:r>
    </w:p>
    <w:p w:rsidR="00594930" w:rsidRPr="00402B12" w:rsidRDefault="00594930" w:rsidP="00594930">
      <w:pPr>
        <w:rPr>
          <w:rFonts w:cs="Arial"/>
          <w:iCs/>
          <w:sz w:val="18"/>
          <w:szCs w:val="18"/>
        </w:rPr>
      </w:pPr>
      <w:r w:rsidRPr="00402B12">
        <w:rPr>
          <w:rFonts w:cs="Arial"/>
          <w:iCs/>
          <w:sz w:val="18"/>
          <w:szCs w:val="18"/>
        </w:rPr>
        <w:t>Wykonawca może przystąpić do wykonywania robót po zaakceptowaniu odcinka próbnego przez Inżyniera.</w:t>
      </w:r>
    </w:p>
    <w:p w:rsidR="00594930" w:rsidRPr="00402B12" w:rsidRDefault="00594930" w:rsidP="00594930">
      <w:pPr>
        <w:pStyle w:val="Nagwek2"/>
        <w:numPr>
          <w:ilvl w:val="1"/>
          <w:numId w:val="0"/>
        </w:numPr>
        <w:tabs>
          <w:tab w:val="num" w:pos="567"/>
        </w:tabs>
        <w:spacing w:before="0" w:after="0"/>
        <w:ind w:left="907" w:hanging="907"/>
      </w:pPr>
      <w:r>
        <w:t>5.6.</w:t>
      </w:r>
      <w:r w:rsidRPr="00402B12">
        <w:t>Utrzymanie umocnionego pobocza</w:t>
      </w:r>
    </w:p>
    <w:p w:rsidR="00594930" w:rsidRPr="00402B12" w:rsidRDefault="00594930" w:rsidP="00594930">
      <w:pPr>
        <w:rPr>
          <w:rFonts w:cs="Arial"/>
          <w:color w:val="FF0000"/>
          <w:sz w:val="18"/>
          <w:szCs w:val="18"/>
        </w:rPr>
      </w:pPr>
      <w:r w:rsidRPr="00402B12">
        <w:rPr>
          <w:rFonts w:cs="Arial"/>
          <w:iCs/>
          <w:sz w:val="18"/>
          <w:szCs w:val="18"/>
        </w:rPr>
        <w:t>Pobocze po wykonaniu, a przed ułożeniem następnej warstwy, powinno być utrzymywane w dobrym stanie. Jeżeli Wykonawca będzie</w:t>
      </w:r>
      <w:r>
        <w:rPr>
          <w:rFonts w:cs="Arial"/>
          <w:iCs/>
          <w:sz w:val="18"/>
          <w:szCs w:val="18"/>
        </w:rPr>
        <w:t xml:space="preserve"> </w:t>
      </w:r>
      <w:r w:rsidRPr="00402B12">
        <w:rPr>
          <w:rFonts w:cs="Arial"/>
          <w:iCs/>
          <w:sz w:val="18"/>
          <w:szCs w:val="18"/>
        </w:rPr>
        <w:t>wykorzystywał, za zgodą Inżyniera, pobocze do ruchu budowlanego, to jest obowiązany naprawić wszelkie uszkodzenia podbudowy,</w:t>
      </w:r>
      <w:r>
        <w:rPr>
          <w:rFonts w:cs="Arial"/>
          <w:iCs/>
          <w:sz w:val="18"/>
          <w:szCs w:val="18"/>
        </w:rPr>
        <w:t xml:space="preserve"> </w:t>
      </w:r>
      <w:r w:rsidRPr="00402B12">
        <w:rPr>
          <w:rFonts w:cs="Arial"/>
          <w:iCs/>
          <w:sz w:val="18"/>
          <w:szCs w:val="18"/>
        </w:rPr>
        <w:t>spowodowane przez ten ruch. Koszt napraw wynikłych z niewłaściwego utrzymania podbudowy obciąża Wykonawcę robót.</w:t>
      </w:r>
    </w:p>
    <w:p w:rsidR="00594930" w:rsidRDefault="00594930" w:rsidP="00594930">
      <w:pPr>
        <w:pStyle w:val="Nagwek1"/>
        <w:tabs>
          <w:tab w:val="num" w:pos="567"/>
        </w:tabs>
        <w:spacing w:before="0" w:after="0"/>
        <w:ind w:left="907" w:hanging="907"/>
      </w:pPr>
    </w:p>
    <w:p w:rsidR="00594930" w:rsidRPr="00402B12" w:rsidRDefault="00594930" w:rsidP="00594930">
      <w:pPr>
        <w:pStyle w:val="Nagwek1"/>
        <w:tabs>
          <w:tab w:val="num" w:pos="567"/>
        </w:tabs>
        <w:spacing w:before="0" w:after="0"/>
        <w:ind w:left="907" w:hanging="907"/>
      </w:pPr>
      <w:r>
        <w:t>6.</w:t>
      </w:r>
      <w:r w:rsidRPr="00402B12">
        <w:t>KONTROLA JAKOŚCI ROBÓT</w:t>
      </w:r>
    </w:p>
    <w:p w:rsidR="00594930" w:rsidRPr="00402B12" w:rsidRDefault="00594930" w:rsidP="00594930">
      <w:pPr>
        <w:pStyle w:val="Nagwek2"/>
        <w:numPr>
          <w:ilvl w:val="1"/>
          <w:numId w:val="0"/>
        </w:numPr>
        <w:tabs>
          <w:tab w:val="num" w:pos="567"/>
        </w:tabs>
        <w:spacing w:before="0" w:after="0"/>
        <w:ind w:left="907" w:hanging="907"/>
      </w:pPr>
      <w:r>
        <w:t>6.1.</w:t>
      </w:r>
      <w:r w:rsidRPr="00402B12">
        <w:t>Ogólne zasady kontroli jakości robót</w:t>
      </w:r>
    </w:p>
    <w:p w:rsidR="00594930" w:rsidRPr="00402B12" w:rsidRDefault="00594930" w:rsidP="00594930">
      <w:pPr>
        <w:rPr>
          <w:rFonts w:cs="Arial"/>
          <w:sz w:val="18"/>
          <w:szCs w:val="18"/>
        </w:rPr>
      </w:pPr>
      <w:r w:rsidRPr="00402B12">
        <w:rPr>
          <w:rFonts w:cs="Arial"/>
          <w:sz w:val="18"/>
          <w:szCs w:val="18"/>
        </w:rPr>
        <w:t xml:space="preserve">Ogólne zasady kontroli jakości robót podano w </w:t>
      </w:r>
      <w:r>
        <w:rPr>
          <w:rFonts w:cs="Arial"/>
          <w:sz w:val="18"/>
          <w:szCs w:val="18"/>
        </w:rPr>
        <w:t>STWIORB</w:t>
      </w:r>
      <w:r w:rsidRPr="00402B12">
        <w:rPr>
          <w:rFonts w:cs="Arial"/>
          <w:sz w:val="18"/>
          <w:szCs w:val="18"/>
        </w:rPr>
        <w:t xml:space="preserve"> D-M-00.00.00 „Wymagania ogólne” pkt 6.</w:t>
      </w:r>
    </w:p>
    <w:p w:rsidR="00594930" w:rsidRPr="00750EEA" w:rsidRDefault="00594930" w:rsidP="00594930">
      <w:pPr>
        <w:pStyle w:val="Nagwek2"/>
        <w:numPr>
          <w:ilvl w:val="1"/>
          <w:numId w:val="0"/>
        </w:numPr>
        <w:tabs>
          <w:tab w:val="num" w:pos="567"/>
        </w:tabs>
        <w:spacing w:before="0" w:after="0"/>
        <w:ind w:left="1191" w:hanging="1191"/>
      </w:pPr>
      <w:r>
        <w:t xml:space="preserve">6.2. </w:t>
      </w:r>
      <w:r w:rsidRPr="00750EEA">
        <w:t>Badania przed przystąpieniem do robót</w:t>
      </w:r>
    </w:p>
    <w:p w:rsidR="00594930" w:rsidRDefault="00594930" w:rsidP="00594930">
      <w:r w:rsidRPr="00750EEA">
        <w:rPr>
          <w:rFonts w:cs="Arial"/>
          <w:sz w:val="18"/>
          <w:szCs w:val="18"/>
        </w:rPr>
        <w:t xml:space="preserve">Przed przystąpieniem do robót Wykonawca powinien wykonać badania </w:t>
      </w:r>
      <w:r>
        <w:rPr>
          <w:rFonts w:cs="Arial"/>
          <w:sz w:val="18"/>
          <w:szCs w:val="18"/>
        </w:rPr>
        <w:t>materiałów</w:t>
      </w:r>
      <w:r w:rsidRPr="00750EEA">
        <w:rPr>
          <w:rFonts w:cs="Arial"/>
          <w:sz w:val="18"/>
          <w:szCs w:val="18"/>
        </w:rPr>
        <w:t xml:space="preserve"> przeznaczonych do wykonania robót i przedstawić</w:t>
      </w:r>
      <w:r>
        <w:rPr>
          <w:rFonts w:cs="Arial"/>
          <w:sz w:val="18"/>
          <w:szCs w:val="18"/>
        </w:rPr>
        <w:t xml:space="preserve"> </w:t>
      </w:r>
      <w:r w:rsidRPr="00750EEA">
        <w:rPr>
          <w:rFonts w:cs="Arial"/>
          <w:sz w:val="18"/>
          <w:szCs w:val="18"/>
        </w:rPr>
        <w:t>wyniki tych badań Inżynierowi w celu akceptacji materiałów. Badania te powinny obejmować wszystkie właściwości okreś</w:t>
      </w:r>
      <w:r>
        <w:rPr>
          <w:rFonts w:cs="Arial"/>
          <w:sz w:val="18"/>
          <w:szCs w:val="18"/>
        </w:rPr>
        <w:t xml:space="preserve">lone </w:t>
      </w:r>
      <w:r w:rsidRPr="00750EEA">
        <w:rPr>
          <w:rFonts w:cs="Arial"/>
          <w:sz w:val="18"/>
          <w:szCs w:val="18"/>
        </w:rPr>
        <w:t xml:space="preserve">w pkt 2 </w:t>
      </w:r>
      <w:r w:rsidRPr="00750EEA">
        <w:rPr>
          <w:rFonts w:cs="Arial"/>
          <w:iCs/>
          <w:sz w:val="18"/>
          <w:szCs w:val="18"/>
        </w:rPr>
        <w:t xml:space="preserve">niniejszej </w:t>
      </w:r>
      <w:r>
        <w:rPr>
          <w:rFonts w:cs="Arial"/>
          <w:iCs/>
          <w:sz w:val="18"/>
          <w:szCs w:val="18"/>
        </w:rPr>
        <w:t>STWIORB</w:t>
      </w:r>
      <w:r w:rsidRPr="00750EEA">
        <w:rPr>
          <w:rFonts w:cs="Arial"/>
          <w:iCs/>
          <w:sz w:val="18"/>
          <w:szCs w:val="18"/>
        </w:rPr>
        <w:t>.</w:t>
      </w:r>
    </w:p>
    <w:p w:rsidR="00594930" w:rsidRPr="004C2CD3" w:rsidRDefault="00594930" w:rsidP="00594930">
      <w:pPr>
        <w:pStyle w:val="Nagwek2"/>
        <w:numPr>
          <w:ilvl w:val="1"/>
          <w:numId w:val="0"/>
        </w:numPr>
        <w:tabs>
          <w:tab w:val="num" w:pos="567"/>
        </w:tabs>
        <w:spacing w:before="0" w:after="0"/>
        <w:ind w:left="907" w:hanging="907"/>
        <w:rPr>
          <w:sz w:val="12"/>
        </w:rPr>
      </w:pPr>
      <w:r>
        <w:rPr>
          <w:bCs/>
          <w:iCs/>
        </w:rPr>
        <w:t xml:space="preserve">6.3. </w:t>
      </w:r>
      <w:r w:rsidRPr="004C2CD3">
        <w:rPr>
          <w:bCs/>
          <w:iCs/>
        </w:rPr>
        <w:t>Badania w czasie robót</w:t>
      </w:r>
    </w:p>
    <w:p w:rsidR="00594930" w:rsidRPr="004C2CD3" w:rsidRDefault="00594930" w:rsidP="00594930">
      <w:pPr>
        <w:pStyle w:val="Nagwek3"/>
        <w:widowControl w:val="0"/>
        <w:numPr>
          <w:ilvl w:val="2"/>
          <w:numId w:val="0"/>
        </w:numPr>
        <w:tabs>
          <w:tab w:val="num" w:pos="709"/>
        </w:tabs>
        <w:spacing w:after="0"/>
        <w:ind w:left="709" w:hanging="709"/>
        <w:rPr>
          <w:sz w:val="18"/>
        </w:rPr>
      </w:pPr>
      <w:r w:rsidRPr="004C2CD3">
        <w:rPr>
          <w:bCs/>
          <w:iCs/>
          <w:sz w:val="18"/>
        </w:rPr>
        <w:t>Częstotliwość oraz zakres badań i pomiarów</w:t>
      </w:r>
    </w:p>
    <w:p w:rsidR="00594930" w:rsidRDefault="00594930" w:rsidP="00594930">
      <w:pPr>
        <w:rPr>
          <w:rFonts w:cs="Arial"/>
          <w:sz w:val="18"/>
          <w:szCs w:val="18"/>
        </w:rPr>
      </w:pPr>
      <w:r w:rsidRPr="00647DDE">
        <w:rPr>
          <w:rFonts w:cs="Arial"/>
          <w:sz w:val="18"/>
          <w:szCs w:val="18"/>
        </w:rPr>
        <w:t>Cz</w:t>
      </w:r>
      <w:r>
        <w:rPr>
          <w:rFonts w:cs="Arial"/>
          <w:sz w:val="18"/>
          <w:szCs w:val="18"/>
        </w:rPr>
        <w:t>ę</w:t>
      </w:r>
      <w:r w:rsidRPr="00647DDE">
        <w:rPr>
          <w:rFonts w:cs="Arial"/>
          <w:sz w:val="18"/>
          <w:szCs w:val="18"/>
        </w:rPr>
        <w:t>stotliwo</w:t>
      </w:r>
      <w:r>
        <w:rPr>
          <w:rFonts w:cs="Arial"/>
          <w:sz w:val="18"/>
          <w:szCs w:val="18"/>
        </w:rPr>
        <w:t>ść</w:t>
      </w:r>
      <w:r w:rsidRPr="00647DDE">
        <w:rPr>
          <w:rFonts w:cs="Arial"/>
          <w:sz w:val="18"/>
          <w:szCs w:val="18"/>
        </w:rPr>
        <w:t xml:space="preserve"> oraz zakres </w:t>
      </w:r>
      <w:r>
        <w:rPr>
          <w:rFonts w:cs="Arial"/>
          <w:sz w:val="18"/>
          <w:szCs w:val="18"/>
        </w:rPr>
        <w:t>badań i pomiarów</w:t>
      </w:r>
      <w:r w:rsidRPr="00647DDE">
        <w:rPr>
          <w:rFonts w:cs="Arial"/>
          <w:sz w:val="18"/>
          <w:szCs w:val="18"/>
        </w:rPr>
        <w:t xml:space="preserve"> po </w:t>
      </w:r>
      <w:proofErr w:type="spellStart"/>
      <w:r w:rsidRPr="00647DDE">
        <w:rPr>
          <w:rFonts w:cs="Arial"/>
          <w:sz w:val="18"/>
          <w:szCs w:val="18"/>
        </w:rPr>
        <w:t>zakonczeniu</w:t>
      </w:r>
      <w:proofErr w:type="spellEnd"/>
      <w:r w:rsidRPr="00647DDE">
        <w:rPr>
          <w:rFonts w:cs="Arial"/>
          <w:sz w:val="18"/>
          <w:szCs w:val="18"/>
        </w:rPr>
        <w:t xml:space="preserve"> robót podano w tablicy </w:t>
      </w:r>
      <w:r>
        <w:rPr>
          <w:rFonts w:cs="Arial"/>
          <w:sz w:val="18"/>
          <w:szCs w:val="18"/>
        </w:rPr>
        <w:t>3</w:t>
      </w:r>
      <w:r w:rsidRPr="00647DDE">
        <w:rPr>
          <w:rFonts w:cs="Arial"/>
          <w:sz w:val="18"/>
          <w:szCs w:val="18"/>
        </w:rPr>
        <w:t>.</w:t>
      </w:r>
    </w:p>
    <w:p w:rsidR="00594930" w:rsidRPr="005A4946" w:rsidRDefault="00594930" w:rsidP="00594930">
      <w:pPr>
        <w:rPr>
          <w:rFonts w:cs="Arial"/>
          <w:color w:val="FF0000"/>
          <w:sz w:val="18"/>
          <w:szCs w:val="18"/>
        </w:rPr>
      </w:pPr>
      <w:r w:rsidRPr="005A4946">
        <w:rPr>
          <w:rFonts w:cs="Arial"/>
          <w:sz w:val="18"/>
          <w:szCs w:val="18"/>
        </w:rPr>
        <w:t xml:space="preserve">Tablica </w:t>
      </w:r>
      <w:r>
        <w:rPr>
          <w:rFonts w:cs="Arial"/>
          <w:sz w:val="18"/>
          <w:szCs w:val="18"/>
        </w:rPr>
        <w:t>3</w:t>
      </w:r>
      <w:r w:rsidRPr="005A4946">
        <w:rPr>
          <w:rFonts w:cs="Arial"/>
          <w:sz w:val="18"/>
          <w:szCs w:val="18"/>
        </w:rPr>
        <w:t>. Cz</w:t>
      </w:r>
      <w:r>
        <w:rPr>
          <w:rFonts w:cs="Arial"/>
          <w:sz w:val="18"/>
          <w:szCs w:val="18"/>
        </w:rPr>
        <w:t>ę</w:t>
      </w:r>
      <w:r w:rsidRPr="005A4946">
        <w:rPr>
          <w:rFonts w:cs="Arial"/>
          <w:sz w:val="18"/>
          <w:szCs w:val="18"/>
        </w:rPr>
        <w:t>stotliwo</w:t>
      </w:r>
      <w:r>
        <w:rPr>
          <w:rFonts w:cs="Arial"/>
          <w:sz w:val="18"/>
          <w:szCs w:val="18"/>
        </w:rPr>
        <w:t>ść</w:t>
      </w:r>
      <w:r w:rsidRPr="005A4946">
        <w:rPr>
          <w:rFonts w:cs="Arial"/>
          <w:sz w:val="18"/>
          <w:szCs w:val="18"/>
        </w:rPr>
        <w:t xml:space="preserve"> oraz zakres pomiarów umacnianych poboczy</w:t>
      </w:r>
    </w:p>
    <w:p w:rsidR="00594930" w:rsidRDefault="00594930" w:rsidP="00594930">
      <w:pPr>
        <w:rPr>
          <w:rFonts w:cs="Arial"/>
          <w:color w:val="FF0000"/>
          <w:sz w:val="18"/>
          <w:szCs w:val="18"/>
        </w:rPr>
      </w:pPr>
    </w:p>
    <w:tbl>
      <w:tblPr>
        <w:tblpPr w:leftFromText="141" w:rightFromText="141" w:vertAnchor="text" w:horzAnchor="margin" w:tblpX="108"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03"/>
        <w:gridCol w:w="1943"/>
        <w:gridCol w:w="1884"/>
      </w:tblGrid>
      <w:tr w:rsidR="00594930" w:rsidRPr="00023870" w:rsidTr="00182D13">
        <w:trPr>
          <w:trHeight w:val="284"/>
        </w:trPr>
        <w:tc>
          <w:tcPr>
            <w:tcW w:w="567" w:type="dxa"/>
            <w:vMerge w:val="restart"/>
            <w:vAlign w:val="center"/>
          </w:tcPr>
          <w:p w:rsidR="00594930" w:rsidRPr="00023870" w:rsidRDefault="00594930" w:rsidP="00182D13">
            <w:pPr>
              <w:jc w:val="center"/>
              <w:rPr>
                <w:rFonts w:cs="Arial"/>
                <w:sz w:val="18"/>
                <w:szCs w:val="18"/>
              </w:rPr>
            </w:pPr>
            <w:r w:rsidRPr="00023870">
              <w:rPr>
                <w:rFonts w:cs="Arial"/>
                <w:sz w:val="18"/>
                <w:szCs w:val="18"/>
              </w:rPr>
              <w:t>Lp.</w:t>
            </w:r>
          </w:p>
        </w:tc>
        <w:tc>
          <w:tcPr>
            <w:tcW w:w="4503" w:type="dxa"/>
            <w:vMerge w:val="restart"/>
            <w:vAlign w:val="center"/>
          </w:tcPr>
          <w:p w:rsidR="00594930" w:rsidRPr="00023870" w:rsidRDefault="00594930" w:rsidP="00182D13">
            <w:pPr>
              <w:jc w:val="center"/>
              <w:rPr>
                <w:rFonts w:cs="Arial"/>
                <w:sz w:val="18"/>
                <w:szCs w:val="18"/>
              </w:rPr>
            </w:pPr>
            <w:r>
              <w:rPr>
                <w:rFonts w:cs="Arial"/>
                <w:sz w:val="18"/>
                <w:szCs w:val="18"/>
              </w:rPr>
              <w:t>Wyszczególnienie badań</w:t>
            </w:r>
          </w:p>
        </w:tc>
        <w:tc>
          <w:tcPr>
            <w:tcW w:w="3827" w:type="dxa"/>
            <w:gridSpan w:val="2"/>
            <w:vAlign w:val="center"/>
          </w:tcPr>
          <w:p w:rsidR="00594930" w:rsidRPr="00023870" w:rsidRDefault="00594930" w:rsidP="00182D13">
            <w:pPr>
              <w:jc w:val="center"/>
              <w:rPr>
                <w:rFonts w:cs="Arial"/>
                <w:sz w:val="18"/>
                <w:szCs w:val="18"/>
              </w:rPr>
            </w:pPr>
            <w:r>
              <w:rPr>
                <w:rFonts w:cs="Arial"/>
                <w:sz w:val="18"/>
                <w:szCs w:val="18"/>
              </w:rPr>
              <w:t>Częstotliwość badań</w:t>
            </w:r>
          </w:p>
        </w:tc>
      </w:tr>
      <w:tr w:rsidR="00594930" w:rsidRPr="00023870" w:rsidTr="00182D13">
        <w:trPr>
          <w:trHeight w:val="829"/>
        </w:trPr>
        <w:tc>
          <w:tcPr>
            <w:tcW w:w="567" w:type="dxa"/>
            <w:vMerge/>
            <w:vAlign w:val="center"/>
          </w:tcPr>
          <w:p w:rsidR="00594930" w:rsidRPr="00023870" w:rsidRDefault="00594930" w:rsidP="00182D13">
            <w:pPr>
              <w:jc w:val="center"/>
              <w:rPr>
                <w:rFonts w:cs="Arial"/>
                <w:sz w:val="18"/>
                <w:szCs w:val="18"/>
              </w:rPr>
            </w:pPr>
          </w:p>
        </w:tc>
        <w:tc>
          <w:tcPr>
            <w:tcW w:w="4503" w:type="dxa"/>
            <w:vMerge/>
            <w:vAlign w:val="center"/>
          </w:tcPr>
          <w:p w:rsidR="00594930" w:rsidRPr="00023870" w:rsidRDefault="00594930" w:rsidP="00182D13">
            <w:pPr>
              <w:jc w:val="center"/>
              <w:rPr>
                <w:rFonts w:cs="Arial"/>
                <w:sz w:val="18"/>
                <w:szCs w:val="18"/>
              </w:rPr>
            </w:pPr>
          </w:p>
        </w:tc>
        <w:tc>
          <w:tcPr>
            <w:tcW w:w="1943" w:type="dxa"/>
            <w:vAlign w:val="center"/>
          </w:tcPr>
          <w:p w:rsidR="00594930" w:rsidRPr="00023870" w:rsidRDefault="00594930" w:rsidP="00182D13">
            <w:pPr>
              <w:jc w:val="center"/>
              <w:rPr>
                <w:rFonts w:cs="Arial"/>
                <w:sz w:val="18"/>
                <w:szCs w:val="18"/>
              </w:rPr>
            </w:pPr>
            <w:r>
              <w:rPr>
                <w:rFonts w:cs="Arial"/>
                <w:sz w:val="18"/>
                <w:szCs w:val="18"/>
              </w:rPr>
              <w:t>Minimalna liczba badań na dziennej działce roboczej</w:t>
            </w:r>
          </w:p>
        </w:tc>
        <w:tc>
          <w:tcPr>
            <w:tcW w:w="1884" w:type="dxa"/>
            <w:vAlign w:val="center"/>
          </w:tcPr>
          <w:p w:rsidR="00594930" w:rsidRPr="001F1AEB" w:rsidRDefault="00594930" w:rsidP="00182D13">
            <w:pPr>
              <w:jc w:val="center"/>
              <w:rPr>
                <w:rFonts w:cs="Arial"/>
                <w:sz w:val="18"/>
                <w:szCs w:val="18"/>
              </w:rPr>
            </w:pPr>
            <w:r>
              <w:rPr>
                <w:rFonts w:cs="Arial"/>
                <w:sz w:val="18"/>
                <w:szCs w:val="18"/>
              </w:rPr>
              <w:t>Maksymalna powierzchnia przypadająca na jedno badania [m</w:t>
            </w:r>
            <w:r>
              <w:rPr>
                <w:rFonts w:cs="Arial"/>
                <w:sz w:val="18"/>
                <w:szCs w:val="18"/>
                <w:vertAlign w:val="superscript"/>
              </w:rPr>
              <w:t>2</w:t>
            </w:r>
            <w:r>
              <w:rPr>
                <w:rFonts w:cs="Arial"/>
                <w:sz w:val="18"/>
                <w:szCs w:val="18"/>
              </w:rPr>
              <w:t>]</w:t>
            </w:r>
          </w:p>
        </w:tc>
      </w:tr>
      <w:tr w:rsidR="00594930" w:rsidRPr="00023870" w:rsidTr="00182D13">
        <w:trPr>
          <w:trHeight w:val="284"/>
        </w:trPr>
        <w:tc>
          <w:tcPr>
            <w:tcW w:w="567" w:type="dxa"/>
            <w:vAlign w:val="center"/>
          </w:tcPr>
          <w:p w:rsidR="00594930" w:rsidRPr="00023870" w:rsidRDefault="00594930" w:rsidP="00182D13">
            <w:pPr>
              <w:jc w:val="center"/>
              <w:rPr>
                <w:rFonts w:cs="Arial"/>
                <w:sz w:val="18"/>
                <w:szCs w:val="18"/>
              </w:rPr>
            </w:pPr>
            <w:r>
              <w:rPr>
                <w:rFonts w:cs="Arial"/>
                <w:sz w:val="18"/>
                <w:szCs w:val="18"/>
              </w:rPr>
              <w:t>1</w:t>
            </w:r>
          </w:p>
        </w:tc>
        <w:tc>
          <w:tcPr>
            <w:tcW w:w="4503" w:type="dxa"/>
            <w:vAlign w:val="center"/>
          </w:tcPr>
          <w:p w:rsidR="00594930" w:rsidRPr="00023870" w:rsidRDefault="00594930" w:rsidP="00182D13">
            <w:pPr>
              <w:jc w:val="center"/>
              <w:rPr>
                <w:rFonts w:cs="Arial"/>
                <w:sz w:val="18"/>
                <w:szCs w:val="18"/>
              </w:rPr>
            </w:pPr>
            <w:r>
              <w:rPr>
                <w:rFonts w:cs="Arial"/>
                <w:sz w:val="18"/>
                <w:szCs w:val="18"/>
              </w:rPr>
              <w:t>Uziarnienie mieszanki</w:t>
            </w:r>
          </w:p>
        </w:tc>
        <w:tc>
          <w:tcPr>
            <w:tcW w:w="1943" w:type="dxa"/>
            <w:vMerge w:val="restart"/>
            <w:vAlign w:val="center"/>
          </w:tcPr>
          <w:p w:rsidR="00594930" w:rsidRPr="00023870" w:rsidRDefault="00594930" w:rsidP="00182D13">
            <w:pPr>
              <w:jc w:val="center"/>
              <w:rPr>
                <w:rFonts w:cs="Arial"/>
                <w:sz w:val="18"/>
                <w:szCs w:val="18"/>
              </w:rPr>
            </w:pPr>
            <w:r>
              <w:rPr>
                <w:rFonts w:cs="Arial"/>
                <w:sz w:val="18"/>
                <w:szCs w:val="18"/>
              </w:rPr>
              <w:t>2</w:t>
            </w:r>
          </w:p>
        </w:tc>
        <w:tc>
          <w:tcPr>
            <w:tcW w:w="1884" w:type="dxa"/>
            <w:vMerge w:val="restart"/>
            <w:vAlign w:val="center"/>
          </w:tcPr>
          <w:p w:rsidR="00594930" w:rsidRPr="00023870" w:rsidRDefault="00594930" w:rsidP="00182D13">
            <w:pPr>
              <w:jc w:val="center"/>
              <w:rPr>
                <w:rFonts w:cs="Arial"/>
                <w:sz w:val="18"/>
                <w:szCs w:val="18"/>
              </w:rPr>
            </w:pPr>
            <w:r>
              <w:rPr>
                <w:rFonts w:cs="Arial"/>
                <w:sz w:val="18"/>
                <w:szCs w:val="18"/>
              </w:rPr>
              <w:t>600</w:t>
            </w:r>
          </w:p>
        </w:tc>
      </w:tr>
      <w:tr w:rsidR="00594930" w:rsidRPr="00023870" w:rsidTr="00182D13">
        <w:trPr>
          <w:trHeight w:val="284"/>
        </w:trPr>
        <w:tc>
          <w:tcPr>
            <w:tcW w:w="567" w:type="dxa"/>
            <w:vAlign w:val="center"/>
          </w:tcPr>
          <w:p w:rsidR="00594930" w:rsidRPr="00023870" w:rsidRDefault="00594930" w:rsidP="00182D13">
            <w:pPr>
              <w:jc w:val="center"/>
              <w:rPr>
                <w:rFonts w:cs="Arial"/>
                <w:sz w:val="18"/>
                <w:szCs w:val="18"/>
              </w:rPr>
            </w:pPr>
            <w:r>
              <w:rPr>
                <w:rFonts w:cs="Arial"/>
                <w:sz w:val="18"/>
                <w:szCs w:val="18"/>
              </w:rPr>
              <w:t>2</w:t>
            </w:r>
          </w:p>
        </w:tc>
        <w:tc>
          <w:tcPr>
            <w:tcW w:w="4503" w:type="dxa"/>
            <w:vAlign w:val="center"/>
          </w:tcPr>
          <w:p w:rsidR="00594930" w:rsidRPr="00023870" w:rsidRDefault="00594930" w:rsidP="00182D13">
            <w:pPr>
              <w:jc w:val="center"/>
              <w:rPr>
                <w:rFonts w:cs="Arial"/>
                <w:sz w:val="18"/>
                <w:szCs w:val="18"/>
              </w:rPr>
            </w:pPr>
            <w:r>
              <w:rPr>
                <w:rFonts w:cs="Arial"/>
                <w:sz w:val="18"/>
                <w:szCs w:val="18"/>
              </w:rPr>
              <w:t>Wilgotność mieszanki</w:t>
            </w:r>
          </w:p>
        </w:tc>
        <w:tc>
          <w:tcPr>
            <w:tcW w:w="1943" w:type="dxa"/>
            <w:vMerge/>
            <w:vAlign w:val="center"/>
          </w:tcPr>
          <w:p w:rsidR="00594930" w:rsidRPr="00023870" w:rsidRDefault="00594930" w:rsidP="00182D13">
            <w:pPr>
              <w:jc w:val="center"/>
              <w:rPr>
                <w:rFonts w:cs="Arial"/>
                <w:sz w:val="18"/>
                <w:szCs w:val="18"/>
              </w:rPr>
            </w:pPr>
          </w:p>
        </w:tc>
        <w:tc>
          <w:tcPr>
            <w:tcW w:w="1884" w:type="dxa"/>
            <w:vMerge/>
            <w:vAlign w:val="center"/>
          </w:tcPr>
          <w:p w:rsidR="00594930" w:rsidRPr="00023870" w:rsidRDefault="00594930" w:rsidP="00182D13">
            <w:pPr>
              <w:jc w:val="center"/>
              <w:rPr>
                <w:rFonts w:cs="Arial"/>
                <w:sz w:val="18"/>
                <w:szCs w:val="18"/>
              </w:rPr>
            </w:pPr>
          </w:p>
        </w:tc>
      </w:tr>
      <w:tr w:rsidR="00594930" w:rsidRPr="00023870" w:rsidTr="00182D13">
        <w:trPr>
          <w:trHeight w:val="284"/>
        </w:trPr>
        <w:tc>
          <w:tcPr>
            <w:tcW w:w="567" w:type="dxa"/>
            <w:vAlign w:val="center"/>
          </w:tcPr>
          <w:p w:rsidR="00594930" w:rsidRPr="00023870" w:rsidRDefault="00594930" w:rsidP="00182D13">
            <w:pPr>
              <w:jc w:val="center"/>
              <w:rPr>
                <w:rFonts w:cs="Arial"/>
                <w:sz w:val="18"/>
                <w:szCs w:val="18"/>
              </w:rPr>
            </w:pPr>
            <w:r>
              <w:rPr>
                <w:rFonts w:cs="Arial"/>
                <w:sz w:val="18"/>
                <w:szCs w:val="18"/>
              </w:rPr>
              <w:t>3</w:t>
            </w:r>
          </w:p>
        </w:tc>
        <w:tc>
          <w:tcPr>
            <w:tcW w:w="4503" w:type="dxa"/>
            <w:vAlign w:val="center"/>
          </w:tcPr>
          <w:p w:rsidR="00594930" w:rsidRPr="00023870" w:rsidRDefault="00594930" w:rsidP="00182D13">
            <w:pPr>
              <w:jc w:val="center"/>
              <w:rPr>
                <w:rFonts w:cs="Arial"/>
                <w:sz w:val="18"/>
                <w:szCs w:val="18"/>
              </w:rPr>
            </w:pPr>
            <w:r>
              <w:rPr>
                <w:rFonts w:cs="Arial"/>
                <w:sz w:val="18"/>
                <w:szCs w:val="18"/>
              </w:rPr>
              <w:t>Zagęszczenie warstwy</w:t>
            </w:r>
          </w:p>
        </w:tc>
        <w:tc>
          <w:tcPr>
            <w:tcW w:w="3827" w:type="dxa"/>
            <w:gridSpan w:val="2"/>
            <w:vAlign w:val="center"/>
          </w:tcPr>
          <w:p w:rsidR="00594930" w:rsidRPr="001F1AEB" w:rsidRDefault="00594930" w:rsidP="00182D13">
            <w:pPr>
              <w:jc w:val="center"/>
              <w:rPr>
                <w:rFonts w:cs="Arial"/>
                <w:sz w:val="18"/>
                <w:szCs w:val="18"/>
              </w:rPr>
            </w:pPr>
            <w:r>
              <w:rPr>
                <w:rFonts w:cs="Arial"/>
                <w:sz w:val="18"/>
                <w:szCs w:val="18"/>
              </w:rPr>
              <w:t>10 próbek na 10 000 m</w:t>
            </w:r>
            <w:r>
              <w:rPr>
                <w:rFonts w:cs="Arial"/>
                <w:sz w:val="18"/>
                <w:szCs w:val="18"/>
                <w:vertAlign w:val="superscript"/>
              </w:rPr>
              <w:t>2</w:t>
            </w:r>
          </w:p>
        </w:tc>
      </w:tr>
      <w:tr w:rsidR="00594930" w:rsidRPr="00023870" w:rsidTr="00182D13">
        <w:trPr>
          <w:trHeight w:val="527"/>
        </w:trPr>
        <w:tc>
          <w:tcPr>
            <w:tcW w:w="567" w:type="dxa"/>
            <w:vAlign w:val="center"/>
          </w:tcPr>
          <w:p w:rsidR="00594930" w:rsidRPr="00023870" w:rsidRDefault="00594930" w:rsidP="00182D13">
            <w:pPr>
              <w:jc w:val="center"/>
              <w:rPr>
                <w:rFonts w:cs="Arial"/>
                <w:sz w:val="18"/>
                <w:szCs w:val="18"/>
              </w:rPr>
            </w:pPr>
            <w:r>
              <w:rPr>
                <w:rFonts w:cs="Arial"/>
                <w:sz w:val="18"/>
                <w:szCs w:val="18"/>
              </w:rPr>
              <w:t>4</w:t>
            </w:r>
          </w:p>
        </w:tc>
        <w:tc>
          <w:tcPr>
            <w:tcW w:w="4503" w:type="dxa"/>
            <w:vAlign w:val="center"/>
          </w:tcPr>
          <w:p w:rsidR="00594930" w:rsidRPr="00023870" w:rsidRDefault="00594930" w:rsidP="00182D13">
            <w:pPr>
              <w:jc w:val="center"/>
              <w:rPr>
                <w:rFonts w:cs="Arial"/>
                <w:sz w:val="18"/>
                <w:szCs w:val="18"/>
              </w:rPr>
            </w:pPr>
            <w:r>
              <w:rPr>
                <w:rFonts w:cs="Arial"/>
                <w:sz w:val="18"/>
                <w:szCs w:val="18"/>
              </w:rPr>
              <w:t>Badanie właściwości kruszywa wg  tablicy 1, pkt. 2.3.2</w:t>
            </w:r>
          </w:p>
        </w:tc>
        <w:tc>
          <w:tcPr>
            <w:tcW w:w="3827" w:type="dxa"/>
            <w:gridSpan w:val="2"/>
            <w:vAlign w:val="center"/>
          </w:tcPr>
          <w:p w:rsidR="00594930" w:rsidRPr="00023870" w:rsidRDefault="00594930" w:rsidP="00182D13">
            <w:pPr>
              <w:jc w:val="center"/>
              <w:rPr>
                <w:rFonts w:cs="Arial"/>
                <w:sz w:val="18"/>
                <w:szCs w:val="18"/>
              </w:rPr>
            </w:pPr>
            <w:r>
              <w:rPr>
                <w:rFonts w:cs="Arial"/>
                <w:sz w:val="18"/>
                <w:szCs w:val="18"/>
              </w:rPr>
              <w:t>Dla każdej partii kruszywa i przy każdej zmianie kruszywa</w:t>
            </w:r>
          </w:p>
        </w:tc>
      </w:tr>
    </w:tbl>
    <w:p w:rsidR="00594930" w:rsidRPr="00EB5FEE" w:rsidRDefault="00594930" w:rsidP="00594930">
      <w:pPr>
        <w:pStyle w:val="Nagwek3"/>
        <w:widowControl w:val="0"/>
        <w:numPr>
          <w:ilvl w:val="2"/>
          <w:numId w:val="0"/>
        </w:numPr>
        <w:tabs>
          <w:tab w:val="num" w:pos="709"/>
        </w:tabs>
        <w:spacing w:after="0"/>
        <w:ind w:left="709" w:hanging="709"/>
        <w:rPr>
          <w:bCs/>
          <w:iCs/>
          <w:sz w:val="18"/>
          <w:szCs w:val="18"/>
        </w:rPr>
      </w:pPr>
      <w:r w:rsidRPr="00EB5FEE">
        <w:rPr>
          <w:bCs/>
          <w:iCs/>
          <w:sz w:val="18"/>
          <w:szCs w:val="18"/>
        </w:rPr>
        <w:t>Uziarnienie mieszanki</w:t>
      </w:r>
    </w:p>
    <w:p w:rsidR="00594930" w:rsidRPr="00EB5FEE" w:rsidRDefault="00594930" w:rsidP="00594930">
      <w:pPr>
        <w:rPr>
          <w:rFonts w:cs="Arial"/>
          <w:iCs/>
          <w:sz w:val="18"/>
          <w:szCs w:val="18"/>
        </w:rPr>
      </w:pPr>
      <w:r w:rsidRPr="00EB5FEE">
        <w:rPr>
          <w:rFonts w:cs="Arial"/>
          <w:iCs/>
          <w:sz w:val="18"/>
          <w:szCs w:val="18"/>
        </w:rPr>
        <w:t>Uziarnienie mieszanki powinno być zgodne z wymaganiami podanymi w pkt 2.3. Próbki należy pobierać w sposób losowy, z rozłożonej</w:t>
      </w:r>
      <w:r>
        <w:rPr>
          <w:rFonts w:cs="Arial"/>
          <w:iCs/>
          <w:sz w:val="18"/>
          <w:szCs w:val="18"/>
        </w:rPr>
        <w:t xml:space="preserve"> </w:t>
      </w:r>
      <w:r w:rsidRPr="00EB5FEE">
        <w:rPr>
          <w:rFonts w:cs="Arial"/>
          <w:iCs/>
          <w:sz w:val="18"/>
          <w:szCs w:val="18"/>
        </w:rPr>
        <w:t>warstwy, przed jej zagęszczeniem. Dopuszcza się, za zgodą Inżyniera, pobieranie próbek ze środków transportowych na terenie</w:t>
      </w:r>
      <w:r>
        <w:rPr>
          <w:rFonts w:cs="Arial"/>
          <w:iCs/>
          <w:sz w:val="18"/>
          <w:szCs w:val="18"/>
        </w:rPr>
        <w:t xml:space="preserve"> </w:t>
      </w:r>
      <w:r w:rsidRPr="00EB5FEE">
        <w:rPr>
          <w:rFonts w:cs="Arial"/>
          <w:iCs/>
          <w:sz w:val="18"/>
          <w:szCs w:val="18"/>
        </w:rPr>
        <w:t>wytwórni mieszanki. Wyniki badań powinny być na bieżąco przekazywane Inżynierowi.</w:t>
      </w:r>
    </w:p>
    <w:p w:rsidR="00594930" w:rsidRPr="00EB5FEE" w:rsidRDefault="00594930" w:rsidP="00594930">
      <w:pPr>
        <w:pStyle w:val="Nagwek3"/>
        <w:widowControl w:val="0"/>
        <w:numPr>
          <w:ilvl w:val="2"/>
          <w:numId w:val="0"/>
        </w:numPr>
        <w:tabs>
          <w:tab w:val="num" w:pos="709"/>
        </w:tabs>
        <w:spacing w:after="0"/>
        <w:ind w:left="709" w:hanging="709"/>
        <w:rPr>
          <w:bCs/>
          <w:iCs/>
          <w:sz w:val="18"/>
          <w:szCs w:val="18"/>
        </w:rPr>
      </w:pPr>
      <w:r w:rsidRPr="00EB5FEE">
        <w:rPr>
          <w:bCs/>
          <w:iCs/>
          <w:sz w:val="18"/>
          <w:szCs w:val="18"/>
        </w:rPr>
        <w:lastRenderedPageBreak/>
        <w:t>Wilgotność mieszanki</w:t>
      </w:r>
    </w:p>
    <w:p w:rsidR="00594930" w:rsidRPr="00EB5FEE" w:rsidRDefault="00594930" w:rsidP="00594930">
      <w:pPr>
        <w:rPr>
          <w:rFonts w:cs="Arial"/>
          <w:iCs/>
          <w:sz w:val="18"/>
          <w:szCs w:val="18"/>
        </w:rPr>
      </w:pPr>
      <w:r w:rsidRPr="00EB5FEE">
        <w:rPr>
          <w:rFonts w:cs="Arial"/>
          <w:iCs/>
          <w:sz w:val="18"/>
          <w:szCs w:val="18"/>
        </w:rPr>
        <w:t xml:space="preserve">Wilgotność mieszanki powinna odpowiadać wilgotności optymalnej, określonej według próby </w:t>
      </w:r>
      <w:proofErr w:type="spellStart"/>
      <w:r w:rsidRPr="00EB5FEE">
        <w:rPr>
          <w:rFonts w:cs="Arial"/>
          <w:iCs/>
          <w:sz w:val="18"/>
          <w:szCs w:val="18"/>
        </w:rPr>
        <w:t>Proctora</w:t>
      </w:r>
      <w:proofErr w:type="spellEnd"/>
      <w:r w:rsidRPr="00EB5FEE">
        <w:rPr>
          <w:rFonts w:cs="Arial"/>
          <w:iCs/>
          <w:sz w:val="18"/>
          <w:szCs w:val="18"/>
        </w:rPr>
        <w:t>, zgodnie z PN-B-04481 (metoda</w:t>
      </w:r>
      <w:r>
        <w:rPr>
          <w:rFonts w:cs="Arial"/>
          <w:iCs/>
          <w:sz w:val="18"/>
          <w:szCs w:val="18"/>
        </w:rPr>
        <w:t xml:space="preserve"> </w:t>
      </w:r>
      <w:r w:rsidRPr="00EB5FEE">
        <w:rPr>
          <w:rFonts w:cs="Arial"/>
          <w:iCs/>
          <w:sz w:val="18"/>
          <w:szCs w:val="18"/>
        </w:rPr>
        <w:t>II), z tolerancją+1</w:t>
      </w:r>
      <w:r>
        <w:rPr>
          <w:rFonts w:cs="Arial"/>
          <w:iCs/>
          <w:sz w:val="18"/>
          <w:szCs w:val="18"/>
        </w:rPr>
        <w:t>,</w:t>
      </w:r>
      <w:r w:rsidRPr="00EB5FEE">
        <w:rPr>
          <w:rFonts w:cs="Arial"/>
          <w:iCs/>
          <w:sz w:val="18"/>
          <w:szCs w:val="18"/>
        </w:rPr>
        <w:t>0% -2</w:t>
      </w:r>
      <w:r>
        <w:rPr>
          <w:rFonts w:cs="Arial"/>
          <w:iCs/>
          <w:sz w:val="18"/>
          <w:szCs w:val="18"/>
        </w:rPr>
        <w:t>,</w:t>
      </w:r>
      <w:r w:rsidRPr="00EB5FEE">
        <w:rPr>
          <w:rFonts w:cs="Arial"/>
          <w:iCs/>
          <w:sz w:val="18"/>
          <w:szCs w:val="18"/>
        </w:rPr>
        <w:t xml:space="preserve">0%. Wilgotność należy określić według </w:t>
      </w:r>
      <w:r w:rsidRPr="00E8437A">
        <w:rPr>
          <w:szCs w:val="22"/>
        </w:rPr>
        <w:t>PN-EN 1097-5:</w:t>
      </w:r>
      <w:r>
        <w:rPr>
          <w:szCs w:val="22"/>
        </w:rPr>
        <w:t xml:space="preserve"> </w:t>
      </w:r>
      <w:r w:rsidRPr="00E8437A">
        <w:rPr>
          <w:szCs w:val="22"/>
        </w:rPr>
        <w:t>2001</w:t>
      </w:r>
      <w:r w:rsidRPr="00EB5FEE">
        <w:rPr>
          <w:rFonts w:cs="Arial"/>
          <w:iCs/>
          <w:sz w:val="18"/>
          <w:szCs w:val="18"/>
        </w:rPr>
        <w:t>.</w:t>
      </w:r>
    </w:p>
    <w:p w:rsidR="00594930" w:rsidRDefault="00594930" w:rsidP="00594930">
      <w:pPr>
        <w:pStyle w:val="Nagwek3"/>
        <w:widowControl w:val="0"/>
        <w:numPr>
          <w:ilvl w:val="2"/>
          <w:numId w:val="0"/>
        </w:numPr>
        <w:tabs>
          <w:tab w:val="num" w:pos="709"/>
        </w:tabs>
        <w:spacing w:after="0"/>
        <w:ind w:left="709" w:hanging="709"/>
        <w:rPr>
          <w:bCs/>
          <w:iCs/>
          <w:sz w:val="18"/>
          <w:szCs w:val="18"/>
        </w:rPr>
      </w:pPr>
      <w:r w:rsidRPr="00EB5FEE">
        <w:rPr>
          <w:bCs/>
          <w:iCs/>
          <w:sz w:val="18"/>
          <w:szCs w:val="18"/>
        </w:rPr>
        <w:t>Zagęszczenie poboczy</w:t>
      </w:r>
    </w:p>
    <w:p w:rsidR="00594930" w:rsidRPr="00EB5FEE" w:rsidRDefault="00594930" w:rsidP="00594930">
      <w:pPr>
        <w:rPr>
          <w:rFonts w:cs="Arial"/>
          <w:iCs/>
          <w:sz w:val="18"/>
          <w:szCs w:val="18"/>
        </w:rPr>
      </w:pPr>
      <w:r w:rsidRPr="00EB5FEE">
        <w:rPr>
          <w:rFonts w:cs="Arial"/>
          <w:iCs/>
          <w:sz w:val="18"/>
          <w:szCs w:val="18"/>
        </w:rPr>
        <w:t>Zagęszczenie każdej warstwy powinno odbywać się aż do osiągnięcia wymaganego wskaźnika zagęszczenia.</w:t>
      </w:r>
    </w:p>
    <w:p w:rsidR="00594930" w:rsidRPr="00B6252B" w:rsidRDefault="00594930" w:rsidP="00594930">
      <w:pPr>
        <w:rPr>
          <w:rFonts w:cs="Arial"/>
          <w:iCs/>
          <w:sz w:val="18"/>
          <w:szCs w:val="18"/>
        </w:rPr>
      </w:pPr>
      <w:r>
        <w:tab/>
      </w:r>
      <w:r w:rsidRPr="00B6252B">
        <w:rPr>
          <w:rFonts w:cs="Arial"/>
          <w:iCs/>
          <w:sz w:val="18"/>
          <w:szCs w:val="18"/>
        </w:rPr>
        <w:t xml:space="preserve">Zagęszczenie każdej warstwy powinno odbywać się aż do osiągnięcia wymaganego wskaźnika zagęszczenia  </w:t>
      </w:r>
      <w:proofErr w:type="spellStart"/>
      <w:r w:rsidRPr="00B6252B">
        <w:rPr>
          <w:rFonts w:cs="Arial"/>
          <w:iCs/>
          <w:sz w:val="18"/>
          <w:szCs w:val="18"/>
        </w:rPr>
        <w:t>I</w:t>
      </w:r>
      <w:r>
        <w:rPr>
          <w:rFonts w:cs="Arial"/>
          <w:iCs/>
          <w:sz w:val="18"/>
          <w:szCs w:val="18"/>
          <w:vertAlign w:val="subscript"/>
        </w:rPr>
        <w:t>s</w:t>
      </w:r>
      <w:proofErr w:type="spellEnd"/>
      <w:r w:rsidRPr="00B6252B">
        <w:rPr>
          <w:rFonts w:cs="Arial"/>
          <w:iCs/>
          <w:sz w:val="18"/>
          <w:szCs w:val="18"/>
        </w:rPr>
        <w:t>=1,0</w:t>
      </w:r>
      <w:r>
        <w:rPr>
          <w:rFonts w:cs="Arial"/>
          <w:iCs/>
          <w:sz w:val="18"/>
          <w:szCs w:val="18"/>
        </w:rPr>
        <w:t xml:space="preserve"> </w:t>
      </w:r>
      <w:r w:rsidRPr="00B6252B">
        <w:rPr>
          <w:rFonts w:cs="Arial"/>
          <w:iCs/>
          <w:sz w:val="18"/>
          <w:szCs w:val="18"/>
        </w:rPr>
        <w:t xml:space="preserve">wg metody </w:t>
      </w:r>
      <w:proofErr w:type="spellStart"/>
      <w:r w:rsidRPr="00B6252B">
        <w:rPr>
          <w:rFonts w:cs="Arial"/>
          <w:iCs/>
          <w:sz w:val="18"/>
          <w:szCs w:val="18"/>
        </w:rPr>
        <w:t>Proctora</w:t>
      </w:r>
      <w:proofErr w:type="spellEnd"/>
      <w:r w:rsidRPr="00B6252B">
        <w:rPr>
          <w:rFonts w:cs="Arial"/>
          <w:iCs/>
          <w:sz w:val="18"/>
          <w:szCs w:val="18"/>
        </w:rPr>
        <w:t>.</w:t>
      </w:r>
    </w:p>
    <w:p w:rsidR="00594930" w:rsidRDefault="00594930" w:rsidP="00594930">
      <w:pPr>
        <w:rPr>
          <w:rFonts w:cs="Arial"/>
          <w:iCs/>
          <w:sz w:val="18"/>
          <w:szCs w:val="18"/>
        </w:rPr>
      </w:pPr>
      <w:r w:rsidRPr="00B6252B">
        <w:rPr>
          <w:rFonts w:cs="Arial"/>
          <w:iCs/>
          <w:sz w:val="18"/>
          <w:szCs w:val="18"/>
        </w:rPr>
        <w:t xml:space="preserve">Nośność warstwy należy badać również metodą obciążeń płytowych. </w:t>
      </w:r>
      <w:r>
        <w:rPr>
          <w:rFonts w:cs="Arial"/>
          <w:iCs/>
          <w:sz w:val="18"/>
          <w:szCs w:val="18"/>
        </w:rPr>
        <w:t>W</w:t>
      </w:r>
      <w:r w:rsidRPr="00B6252B">
        <w:rPr>
          <w:rFonts w:cs="Arial"/>
          <w:iCs/>
          <w:sz w:val="18"/>
          <w:szCs w:val="18"/>
        </w:rPr>
        <w:t xml:space="preserve"> przypadku kontroli zagęszczenia przez określenie wskaźnika</w:t>
      </w:r>
      <w:r>
        <w:rPr>
          <w:rFonts w:cs="Arial"/>
          <w:iCs/>
          <w:sz w:val="18"/>
          <w:szCs w:val="18"/>
        </w:rPr>
        <w:t xml:space="preserve"> odkształcenia</w:t>
      </w:r>
      <w:r w:rsidRPr="00B6252B">
        <w:rPr>
          <w:rFonts w:cs="Arial"/>
          <w:iCs/>
          <w:sz w:val="18"/>
          <w:szCs w:val="18"/>
        </w:rPr>
        <w:t xml:space="preserve"> </w:t>
      </w:r>
      <w:proofErr w:type="spellStart"/>
      <w:r w:rsidRPr="00B6252B">
        <w:rPr>
          <w:rFonts w:cs="Arial"/>
          <w:iCs/>
          <w:sz w:val="18"/>
          <w:szCs w:val="18"/>
        </w:rPr>
        <w:t>I</w:t>
      </w:r>
      <w:r w:rsidRPr="00B6252B">
        <w:rPr>
          <w:rFonts w:cs="Arial"/>
          <w:iCs/>
          <w:sz w:val="18"/>
          <w:szCs w:val="18"/>
          <w:vertAlign w:val="subscript"/>
        </w:rPr>
        <w:t>o</w:t>
      </w:r>
      <w:proofErr w:type="spellEnd"/>
      <w:r w:rsidRPr="00B6252B">
        <w:rPr>
          <w:rFonts w:cs="Arial"/>
          <w:iCs/>
          <w:sz w:val="18"/>
          <w:szCs w:val="18"/>
        </w:rPr>
        <w:t xml:space="preserve"> pomiar należy oprzeć na metodzie obciążeń płytowych wg wytycznych GDDKiA pismo DODP – 22/4100/215/98. </w:t>
      </w:r>
    </w:p>
    <w:p w:rsidR="00594930" w:rsidRDefault="00594930" w:rsidP="00594930">
      <w:pPr>
        <w:pStyle w:val="tekstost"/>
      </w:pPr>
      <w:r>
        <w:t>Parametry dla pierwotnego i wtórnego cyklu obciążania:</w:t>
      </w:r>
    </w:p>
    <w:p w:rsidR="00594930" w:rsidRDefault="00594930" w:rsidP="00594930">
      <w:pPr>
        <w:pStyle w:val="tekstost"/>
      </w:pPr>
      <w:r>
        <w:tab/>
        <w:t xml:space="preserve">- w cyklu I od 0,25 – 0,35 </w:t>
      </w:r>
      <w:proofErr w:type="spellStart"/>
      <w:r>
        <w:t>MPa</w:t>
      </w:r>
      <w:proofErr w:type="spellEnd"/>
      <w:r>
        <w:t xml:space="preserve">, a końcowy nacisk 0,55 </w:t>
      </w:r>
      <w:proofErr w:type="spellStart"/>
      <w:r>
        <w:t>MPa</w:t>
      </w:r>
      <w:proofErr w:type="spellEnd"/>
    </w:p>
    <w:p w:rsidR="00594930" w:rsidRPr="00B6252B" w:rsidRDefault="00594930" w:rsidP="00594930">
      <w:pPr>
        <w:rPr>
          <w:rFonts w:cs="Arial"/>
          <w:iCs/>
          <w:sz w:val="18"/>
          <w:szCs w:val="18"/>
        </w:rPr>
      </w:pPr>
      <w:r>
        <w:tab/>
        <w:t xml:space="preserve">- w cyklu II od 0,25 – 0,45 </w:t>
      </w:r>
      <w:proofErr w:type="spellStart"/>
      <w:r>
        <w:t>MPa</w:t>
      </w:r>
      <w:proofErr w:type="spellEnd"/>
      <w:r>
        <w:t xml:space="preserve">, a końcowy nacisk 0,55 </w:t>
      </w:r>
      <w:proofErr w:type="spellStart"/>
      <w:r>
        <w:t>MPa</w:t>
      </w:r>
      <w:proofErr w:type="spellEnd"/>
      <w:r>
        <w:t>.</w:t>
      </w:r>
    </w:p>
    <w:p w:rsidR="00594930" w:rsidRPr="00EB5FEE" w:rsidRDefault="00594930" w:rsidP="00594930">
      <w:pPr>
        <w:rPr>
          <w:rFonts w:cs="Arial"/>
          <w:color w:val="FF0000"/>
          <w:sz w:val="18"/>
          <w:szCs w:val="18"/>
        </w:rPr>
      </w:pPr>
      <w:r w:rsidRPr="00EB5FEE">
        <w:rPr>
          <w:rFonts w:cs="Arial"/>
          <w:iCs/>
          <w:sz w:val="18"/>
          <w:szCs w:val="18"/>
        </w:rPr>
        <w:t>Zagęszczenie poboczy stabilizowanych mechanicznie należy uznać za prawidłowe, gdy stosunek wtórnego modułu E2 do pierwotnego</w:t>
      </w:r>
      <w:r>
        <w:rPr>
          <w:rFonts w:cs="Arial"/>
          <w:iCs/>
          <w:sz w:val="18"/>
          <w:szCs w:val="18"/>
        </w:rPr>
        <w:t xml:space="preserve"> </w:t>
      </w:r>
      <w:r w:rsidRPr="00EB5FEE">
        <w:rPr>
          <w:rFonts w:cs="Arial"/>
          <w:iCs/>
          <w:sz w:val="18"/>
          <w:szCs w:val="18"/>
        </w:rPr>
        <w:t>modułu odkształcenia E1 jest nie większy od 2,2 dla każdej warstwy konstrukcyjnej podbudowy.</w:t>
      </w:r>
    </w:p>
    <w:p w:rsidR="00594930" w:rsidRDefault="00594930" w:rsidP="00594930">
      <w:pPr>
        <w:rPr>
          <w:rFonts w:cs="Arial"/>
          <w:color w:val="FF0000"/>
          <w:sz w:val="18"/>
          <w:szCs w:val="18"/>
        </w:rPr>
      </w:pPr>
    </w:p>
    <w:p w:rsidR="00594930" w:rsidRPr="00EB5FEE" w:rsidRDefault="00594930" w:rsidP="00594930">
      <w:pPr>
        <w:jc w:val="center"/>
        <w:rPr>
          <w:rFonts w:cs="Arial"/>
          <w:szCs w:val="18"/>
        </w:rPr>
      </w:pPr>
      <w:r w:rsidRPr="00EB5FEE">
        <w:rPr>
          <w:rFonts w:cs="Arial"/>
          <w:szCs w:val="18"/>
        </w:rPr>
        <w:t>E</w:t>
      </w:r>
      <w:r w:rsidRPr="00EB5FEE">
        <w:rPr>
          <w:rFonts w:cs="Arial"/>
          <w:szCs w:val="18"/>
          <w:vertAlign w:val="subscript"/>
        </w:rPr>
        <w:t>2</w:t>
      </w:r>
      <w:r w:rsidRPr="00EB5FEE">
        <w:rPr>
          <w:rFonts w:cs="Arial"/>
          <w:szCs w:val="18"/>
        </w:rPr>
        <w:t xml:space="preserve"> / E</w:t>
      </w:r>
      <w:r w:rsidRPr="00EB5FEE">
        <w:rPr>
          <w:rFonts w:cs="Arial"/>
          <w:szCs w:val="18"/>
          <w:vertAlign w:val="subscript"/>
        </w:rPr>
        <w:t>1</w:t>
      </w:r>
      <w:r w:rsidRPr="00EB5FEE">
        <w:rPr>
          <w:rFonts w:cs="Arial"/>
          <w:szCs w:val="18"/>
        </w:rPr>
        <w:t xml:space="preserve"> ≤ 2,2</w:t>
      </w:r>
    </w:p>
    <w:p w:rsidR="00594930" w:rsidRPr="00F72B87" w:rsidRDefault="00594930" w:rsidP="00594930">
      <w:pPr>
        <w:rPr>
          <w:rFonts w:cs="Arial"/>
          <w:iCs/>
          <w:sz w:val="18"/>
          <w:szCs w:val="18"/>
        </w:rPr>
      </w:pPr>
      <w:r w:rsidRPr="00FE3204">
        <w:t>E</w:t>
      </w:r>
      <w:r w:rsidRPr="00FE3204">
        <w:rPr>
          <w:vertAlign w:val="subscript"/>
        </w:rPr>
        <w:t>2</w:t>
      </w:r>
      <w:r>
        <w:rPr>
          <w:vertAlign w:val="subscript"/>
        </w:rPr>
        <w:t xml:space="preserve"> </w:t>
      </w:r>
      <w:r>
        <w:t xml:space="preserve">dla poboczy powinno wynosić </w:t>
      </w:r>
      <w:r w:rsidRPr="005B0FD9">
        <w:rPr>
          <w:i/>
          <w:iCs/>
        </w:rPr>
        <w:t>≥</w:t>
      </w:r>
      <w:r w:rsidRPr="00C35EDC">
        <w:t xml:space="preserve"> 1</w:t>
      </w:r>
      <w:r>
        <w:t>2</w:t>
      </w:r>
      <w:r w:rsidRPr="00C35EDC">
        <w:t xml:space="preserve">0 </w:t>
      </w:r>
      <w:proofErr w:type="spellStart"/>
      <w:r w:rsidRPr="00C35EDC">
        <w:t>MPa</w:t>
      </w:r>
      <w:proofErr w:type="spellEnd"/>
      <w:r>
        <w:t>.</w:t>
      </w:r>
    </w:p>
    <w:p w:rsidR="00594930" w:rsidRDefault="00594930" w:rsidP="00594930">
      <w:pPr>
        <w:rPr>
          <w:rFonts w:cs="Arial"/>
          <w:iCs/>
          <w:sz w:val="18"/>
          <w:szCs w:val="18"/>
        </w:rPr>
      </w:pPr>
      <w:r w:rsidRPr="00FE3204">
        <w:t>Badania nośności podłoża (E</w:t>
      </w:r>
      <w:r w:rsidRPr="00FE3204">
        <w:rPr>
          <w:vertAlign w:val="subscript"/>
        </w:rPr>
        <w:t>2</w:t>
      </w:r>
      <w:r w:rsidRPr="00FE3204">
        <w:t>) i wskaźnika odkształcenia (I</w:t>
      </w:r>
      <w:r w:rsidRPr="00FE3204">
        <w:rPr>
          <w:vertAlign w:val="subscript"/>
        </w:rPr>
        <w:t>O</w:t>
      </w:r>
      <w:r w:rsidRPr="00FE3204">
        <w:t>) wg PN-S-02205: 1998.</w:t>
      </w:r>
    </w:p>
    <w:p w:rsidR="00594930" w:rsidRPr="00B6252B" w:rsidRDefault="00594930" w:rsidP="00594930">
      <w:pPr>
        <w:rPr>
          <w:rFonts w:cs="Arial"/>
          <w:iCs/>
          <w:sz w:val="18"/>
          <w:szCs w:val="18"/>
        </w:rPr>
      </w:pPr>
      <w:r>
        <w:rPr>
          <w:rFonts w:cs="Arial"/>
          <w:iCs/>
          <w:sz w:val="18"/>
          <w:szCs w:val="18"/>
        </w:rPr>
        <w:t>A</w:t>
      </w:r>
      <w:r w:rsidRPr="00B6252B">
        <w:rPr>
          <w:rFonts w:cs="Arial"/>
          <w:iCs/>
          <w:sz w:val="18"/>
          <w:szCs w:val="18"/>
        </w:rPr>
        <w:t>lternatywnie proponuje się uwzględnienie badań płytą dynamiczną po korelacji z aparatem VSS.</w:t>
      </w:r>
    </w:p>
    <w:p w:rsidR="00594930" w:rsidRPr="004F6E64" w:rsidRDefault="00594930" w:rsidP="00594930">
      <w:pPr>
        <w:pStyle w:val="Nagwek3"/>
        <w:widowControl w:val="0"/>
        <w:numPr>
          <w:ilvl w:val="2"/>
          <w:numId w:val="0"/>
        </w:numPr>
        <w:tabs>
          <w:tab w:val="num" w:pos="709"/>
        </w:tabs>
        <w:spacing w:after="0"/>
        <w:ind w:left="709" w:hanging="709"/>
        <w:rPr>
          <w:bCs/>
          <w:iCs/>
          <w:sz w:val="18"/>
        </w:rPr>
      </w:pPr>
      <w:r w:rsidRPr="004F6E64">
        <w:rPr>
          <w:bCs/>
          <w:iCs/>
          <w:sz w:val="18"/>
        </w:rPr>
        <w:t>Właściwości kruszywa</w:t>
      </w:r>
    </w:p>
    <w:p w:rsidR="00594930" w:rsidRPr="00EB5FEE" w:rsidRDefault="00594930" w:rsidP="00594930">
      <w:pPr>
        <w:rPr>
          <w:rFonts w:cs="Arial"/>
          <w:iCs/>
          <w:sz w:val="18"/>
        </w:rPr>
      </w:pPr>
      <w:r w:rsidRPr="00EB5FEE">
        <w:rPr>
          <w:rFonts w:cs="Arial"/>
          <w:iCs/>
          <w:sz w:val="18"/>
        </w:rPr>
        <w:t>Badania kruszywa powinny obejmować ocenę wszystkich właściwości określonych w pkt 2.3.2.</w:t>
      </w:r>
    </w:p>
    <w:p w:rsidR="00594930" w:rsidRPr="00EB5FEE" w:rsidRDefault="00594930" w:rsidP="00594930">
      <w:pPr>
        <w:rPr>
          <w:rFonts w:cs="Arial"/>
          <w:color w:val="FF0000"/>
          <w:sz w:val="16"/>
          <w:szCs w:val="18"/>
        </w:rPr>
      </w:pPr>
      <w:r w:rsidRPr="00EB5FEE">
        <w:rPr>
          <w:rFonts w:cs="Arial"/>
          <w:iCs/>
          <w:sz w:val="18"/>
        </w:rPr>
        <w:t>Próbki do badań pełnych powinny być pobierane przez Wykonawcę w sposób losowy w obecności Inżyniera.</w:t>
      </w:r>
    </w:p>
    <w:p w:rsidR="00594930" w:rsidRPr="004F6E64" w:rsidRDefault="00594930" w:rsidP="00594930">
      <w:pPr>
        <w:pStyle w:val="Nagwek2"/>
        <w:numPr>
          <w:ilvl w:val="1"/>
          <w:numId w:val="0"/>
        </w:numPr>
        <w:tabs>
          <w:tab w:val="num" w:pos="567"/>
        </w:tabs>
        <w:spacing w:before="0" w:after="0"/>
        <w:ind w:left="907" w:hanging="907"/>
      </w:pPr>
      <w:r>
        <w:t>6.4.</w:t>
      </w:r>
      <w:r w:rsidRPr="004F6E64">
        <w:t>Wymagania dotyczące wykonanej podbudowy</w:t>
      </w:r>
    </w:p>
    <w:p w:rsidR="00594930" w:rsidRPr="004F6E64" w:rsidRDefault="00594930" w:rsidP="00594930">
      <w:pPr>
        <w:pStyle w:val="Nagwek3"/>
        <w:widowControl w:val="0"/>
        <w:numPr>
          <w:ilvl w:val="2"/>
          <w:numId w:val="0"/>
        </w:numPr>
        <w:tabs>
          <w:tab w:val="num" w:pos="709"/>
        </w:tabs>
        <w:spacing w:after="0"/>
        <w:ind w:left="709" w:hanging="709"/>
      </w:pPr>
      <w:r w:rsidRPr="004F6E64">
        <w:t>Częstotliwość oraz zakres pomiarów</w:t>
      </w:r>
    </w:p>
    <w:p w:rsidR="00594930" w:rsidRDefault="00594930" w:rsidP="00594930">
      <w:pPr>
        <w:rPr>
          <w:rFonts w:cs="Arial"/>
          <w:iCs/>
          <w:sz w:val="18"/>
          <w:szCs w:val="18"/>
        </w:rPr>
      </w:pPr>
      <w:r w:rsidRPr="004F6E64">
        <w:rPr>
          <w:rFonts w:cs="Arial"/>
          <w:iCs/>
          <w:sz w:val="18"/>
          <w:szCs w:val="18"/>
        </w:rPr>
        <w:t xml:space="preserve">Częstotliwość oraz zakres pomiarów dotyczących cech geometrycznych podano w tablicy </w:t>
      </w:r>
      <w:r>
        <w:rPr>
          <w:rFonts w:cs="Arial"/>
          <w:iCs/>
          <w:sz w:val="18"/>
          <w:szCs w:val="18"/>
        </w:rPr>
        <w:t>4</w:t>
      </w:r>
      <w:r w:rsidRPr="004F6E64">
        <w:rPr>
          <w:rFonts w:cs="Arial"/>
          <w:iCs/>
          <w:sz w:val="18"/>
          <w:szCs w:val="18"/>
        </w:rPr>
        <w:t>.</w:t>
      </w:r>
    </w:p>
    <w:p w:rsidR="00594930" w:rsidRPr="00647DDE" w:rsidRDefault="00594930" w:rsidP="00594930">
      <w:pPr>
        <w:rPr>
          <w:rFonts w:cs="Arial"/>
          <w:sz w:val="18"/>
          <w:szCs w:val="18"/>
        </w:rPr>
      </w:pPr>
      <w:r w:rsidRPr="004F6E64">
        <w:rPr>
          <w:rFonts w:cs="Arial"/>
          <w:iCs/>
          <w:sz w:val="18"/>
          <w:szCs w:val="18"/>
        </w:rPr>
        <w:t xml:space="preserve">Tablica </w:t>
      </w:r>
      <w:r>
        <w:rPr>
          <w:rFonts w:cs="Arial"/>
          <w:iCs/>
          <w:sz w:val="18"/>
          <w:szCs w:val="18"/>
        </w:rPr>
        <w:t>4</w:t>
      </w:r>
      <w:r w:rsidRPr="004F6E64">
        <w:rPr>
          <w:rFonts w:cs="Arial"/>
          <w:iCs/>
          <w:sz w:val="18"/>
          <w:szCs w:val="18"/>
        </w:rPr>
        <w:t xml:space="preserve">. Częstotliwość oraz zakres pomiarów </w:t>
      </w:r>
      <w:r w:rsidRPr="00647DDE">
        <w:rPr>
          <w:rFonts w:cs="Arial"/>
          <w:sz w:val="18"/>
          <w:szCs w:val="18"/>
        </w:rPr>
        <w:t>umacnianych poboczy</w:t>
      </w:r>
    </w:p>
    <w:p w:rsidR="00594930" w:rsidRPr="00647DDE" w:rsidRDefault="00594930" w:rsidP="00594930">
      <w:pPr>
        <w:rPr>
          <w:rFonts w:cs="Arial"/>
          <w:sz w:val="18"/>
          <w:szCs w:val="18"/>
        </w:rPr>
      </w:pPr>
    </w:p>
    <w:tbl>
      <w:tblPr>
        <w:tblpPr w:leftFromText="141" w:rightFromText="141"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3793"/>
      </w:tblGrid>
      <w:tr w:rsidR="00594930" w:rsidTr="00182D13">
        <w:trPr>
          <w:trHeight w:val="340"/>
        </w:trPr>
        <w:tc>
          <w:tcPr>
            <w:tcW w:w="709" w:type="dxa"/>
            <w:vAlign w:val="center"/>
          </w:tcPr>
          <w:p w:rsidR="00594930" w:rsidRPr="00DE4CBA" w:rsidRDefault="00594930" w:rsidP="00182D13">
            <w:pPr>
              <w:jc w:val="center"/>
              <w:rPr>
                <w:sz w:val="18"/>
              </w:rPr>
            </w:pPr>
            <w:r w:rsidRPr="00DE4CBA">
              <w:rPr>
                <w:sz w:val="18"/>
              </w:rPr>
              <w:t>Lp.</w:t>
            </w:r>
          </w:p>
        </w:tc>
        <w:tc>
          <w:tcPr>
            <w:tcW w:w="3544" w:type="dxa"/>
            <w:vAlign w:val="center"/>
          </w:tcPr>
          <w:p w:rsidR="00594930" w:rsidRPr="00DE4CBA" w:rsidRDefault="00594930" w:rsidP="00182D13">
            <w:pPr>
              <w:jc w:val="center"/>
              <w:rPr>
                <w:sz w:val="18"/>
              </w:rPr>
            </w:pPr>
            <w:r w:rsidRPr="00DE4CBA">
              <w:rPr>
                <w:sz w:val="18"/>
              </w:rPr>
              <w:t>Wyszczególnienie</w:t>
            </w:r>
            <w:r>
              <w:rPr>
                <w:sz w:val="18"/>
              </w:rPr>
              <w:t xml:space="preserve"> badań i pomiarów</w:t>
            </w:r>
          </w:p>
        </w:tc>
        <w:tc>
          <w:tcPr>
            <w:tcW w:w="3793" w:type="dxa"/>
            <w:vAlign w:val="center"/>
          </w:tcPr>
          <w:p w:rsidR="00594930" w:rsidRPr="00DE4CBA" w:rsidRDefault="00594930" w:rsidP="00182D13">
            <w:pPr>
              <w:jc w:val="center"/>
              <w:rPr>
                <w:sz w:val="18"/>
              </w:rPr>
            </w:pPr>
            <w:r w:rsidRPr="00DE4CBA">
              <w:rPr>
                <w:sz w:val="18"/>
              </w:rPr>
              <w:t>Minimalna często</w:t>
            </w:r>
            <w:r>
              <w:rPr>
                <w:sz w:val="18"/>
              </w:rPr>
              <w:t>tliwo</w:t>
            </w:r>
            <w:r w:rsidRPr="00DE4CBA">
              <w:rPr>
                <w:sz w:val="18"/>
              </w:rPr>
              <w:t>ść pomiarów</w:t>
            </w:r>
          </w:p>
        </w:tc>
      </w:tr>
      <w:tr w:rsidR="00594930" w:rsidTr="00182D13">
        <w:trPr>
          <w:trHeight w:val="340"/>
        </w:trPr>
        <w:tc>
          <w:tcPr>
            <w:tcW w:w="709" w:type="dxa"/>
            <w:vAlign w:val="center"/>
          </w:tcPr>
          <w:p w:rsidR="00594930" w:rsidRPr="00DE4CBA" w:rsidRDefault="00594930" w:rsidP="00182D13">
            <w:pPr>
              <w:jc w:val="center"/>
              <w:rPr>
                <w:sz w:val="18"/>
              </w:rPr>
            </w:pPr>
            <w:r w:rsidRPr="00DE4CBA">
              <w:rPr>
                <w:sz w:val="18"/>
              </w:rPr>
              <w:t>1</w:t>
            </w:r>
          </w:p>
        </w:tc>
        <w:tc>
          <w:tcPr>
            <w:tcW w:w="3544" w:type="dxa"/>
            <w:vAlign w:val="center"/>
          </w:tcPr>
          <w:p w:rsidR="00594930" w:rsidRPr="00DE4CBA" w:rsidRDefault="00594930" w:rsidP="00182D13">
            <w:pPr>
              <w:jc w:val="center"/>
              <w:rPr>
                <w:sz w:val="18"/>
              </w:rPr>
            </w:pPr>
            <w:r w:rsidRPr="00DE4CBA">
              <w:rPr>
                <w:sz w:val="18"/>
              </w:rPr>
              <w:t>Spadki poprzeczne</w:t>
            </w:r>
          </w:p>
        </w:tc>
        <w:tc>
          <w:tcPr>
            <w:tcW w:w="3793" w:type="dxa"/>
            <w:vAlign w:val="center"/>
          </w:tcPr>
          <w:p w:rsidR="00594930" w:rsidRPr="00DE4CBA" w:rsidRDefault="00594930" w:rsidP="00182D13">
            <w:pPr>
              <w:jc w:val="center"/>
              <w:rPr>
                <w:sz w:val="18"/>
              </w:rPr>
            </w:pPr>
            <w:r w:rsidRPr="00DE4CBA">
              <w:rPr>
                <w:sz w:val="18"/>
              </w:rPr>
              <w:t>2 razy na 100 m</w:t>
            </w:r>
          </w:p>
        </w:tc>
      </w:tr>
      <w:tr w:rsidR="00594930" w:rsidTr="00182D13">
        <w:trPr>
          <w:trHeight w:val="340"/>
        </w:trPr>
        <w:tc>
          <w:tcPr>
            <w:tcW w:w="709" w:type="dxa"/>
            <w:vAlign w:val="center"/>
          </w:tcPr>
          <w:p w:rsidR="00594930" w:rsidRPr="00DE4CBA" w:rsidRDefault="00594930" w:rsidP="00182D13">
            <w:pPr>
              <w:jc w:val="center"/>
              <w:rPr>
                <w:sz w:val="18"/>
              </w:rPr>
            </w:pPr>
            <w:r w:rsidRPr="00DE4CBA">
              <w:rPr>
                <w:sz w:val="18"/>
              </w:rPr>
              <w:t>2</w:t>
            </w:r>
          </w:p>
        </w:tc>
        <w:tc>
          <w:tcPr>
            <w:tcW w:w="3544" w:type="dxa"/>
            <w:vAlign w:val="center"/>
          </w:tcPr>
          <w:p w:rsidR="00594930" w:rsidRPr="00DE4CBA" w:rsidRDefault="00594930" w:rsidP="00182D13">
            <w:pPr>
              <w:jc w:val="center"/>
              <w:rPr>
                <w:sz w:val="18"/>
              </w:rPr>
            </w:pPr>
            <w:r w:rsidRPr="00DE4CBA">
              <w:rPr>
                <w:sz w:val="18"/>
              </w:rPr>
              <w:t>Równość podłużna</w:t>
            </w:r>
          </w:p>
        </w:tc>
        <w:tc>
          <w:tcPr>
            <w:tcW w:w="3793" w:type="dxa"/>
            <w:vMerge w:val="restart"/>
            <w:vAlign w:val="center"/>
          </w:tcPr>
          <w:p w:rsidR="00594930" w:rsidRPr="00DE4CBA" w:rsidRDefault="00594930" w:rsidP="00182D13">
            <w:pPr>
              <w:jc w:val="center"/>
              <w:rPr>
                <w:sz w:val="18"/>
              </w:rPr>
            </w:pPr>
            <w:r w:rsidRPr="00DE4CBA">
              <w:rPr>
                <w:sz w:val="18"/>
              </w:rPr>
              <w:t>co 50 m</w:t>
            </w:r>
          </w:p>
        </w:tc>
      </w:tr>
      <w:tr w:rsidR="00594930" w:rsidTr="00182D13">
        <w:trPr>
          <w:trHeight w:val="340"/>
        </w:trPr>
        <w:tc>
          <w:tcPr>
            <w:tcW w:w="709" w:type="dxa"/>
            <w:vAlign w:val="center"/>
          </w:tcPr>
          <w:p w:rsidR="00594930" w:rsidRPr="00DE4CBA" w:rsidRDefault="00594930" w:rsidP="00182D13">
            <w:pPr>
              <w:jc w:val="center"/>
              <w:rPr>
                <w:sz w:val="18"/>
              </w:rPr>
            </w:pPr>
            <w:r w:rsidRPr="00DE4CBA">
              <w:rPr>
                <w:sz w:val="18"/>
              </w:rPr>
              <w:t>3</w:t>
            </w:r>
          </w:p>
        </w:tc>
        <w:tc>
          <w:tcPr>
            <w:tcW w:w="3544" w:type="dxa"/>
            <w:vAlign w:val="center"/>
          </w:tcPr>
          <w:p w:rsidR="00594930" w:rsidRPr="00DE4CBA" w:rsidRDefault="00594930" w:rsidP="00182D13">
            <w:pPr>
              <w:jc w:val="center"/>
              <w:rPr>
                <w:sz w:val="18"/>
              </w:rPr>
            </w:pPr>
            <w:r w:rsidRPr="00DE4CBA">
              <w:rPr>
                <w:sz w:val="18"/>
              </w:rPr>
              <w:t>Równość poprzeczna</w:t>
            </w:r>
          </w:p>
        </w:tc>
        <w:tc>
          <w:tcPr>
            <w:tcW w:w="3793" w:type="dxa"/>
            <w:vMerge/>
            <w:vAlign w:val="center"/>
          </w:tcPr>
          <w:p w:rsidR="00594930" w:rsidRPr="00DE4CBA" w:rsidRDefault="00594930" w:rsidP="00182D13">
            <w:pPr>
              <w:jc w:val="center"/>
              <w:rPr>
                <w:sz w:val="18"/>
              </w:rPr>
            </w:pPr>
          </w:p>
        </w:tc>
      </w:tr>
    </w:tbl>
    <w:p w:rsidR="00594930" w:rsidRDefault="00594930" w:rsidP="00594930">
      <w:pPr>
        <w:rPr>
          <w:rFonts w:cs="Arial"/>
          <w:color w:val="FF0000"/>
          <w:sz w:val="18"/>
          <w:szCs w:val="18"/>
        </w:rPr>
      </w:pPr>
    </w:p>
    <w:p w:rsidR="00594930" w:rsidRDefault="00594930" w:rsidP="00594930">
      <w:pPr>
        <w:rPr>
          <w:rFonts w:cs="Arial"/>
          <w:color w:val="FF0000"/>
          <w:sz w:val="18"/>
          <w:szCs w:val="18"/>
        </w:rPr>
      </w:pPr>
    </w:p>
    <w:p w:rsidR="00594930" w:rsidRDefault="00594930" w:rsidP="00594930">
      <w:pPr>
        <w:rPr>
          <w:rFonts w:cs="Arial"/>
          <w:color w:val="FF0000"/>
          <w:sz w:val="18"/>
          <w:szCs w:val="18"/>
        </w:rPr>
      </w:pPr>
    </w:p>
    <w:p w:rsidR="00594930" w:rsidRDefault="00594930" w:rsidP="00594930"/>
    <w:p w:rsidR="00594930" w:rsidRDefault="00594930" w:rsidP="00594930"/>
    <w:p w:rsidR="00594930" w:rsidRDefault="00594930" w:rsidP="00594930"/>
    <w:p w:rsidR="00594930" w:rsidRDefault="00594930" w:rsidP="00594930"/>
    <w:p w:rsidR="00594930" w:rsidRPr="004C194D" w:rsidRDefault="00594930" w:rsidP="00594930">
      <w:pPr>
        <w:pStyle w:val="Nagwek3"/>
        <w:widowControl w:val="0"/>
        <w:numPr>
          <w:ilvl w:val="2"/>
          <w:numId w:val="0"/>
        </w:numPr>
        <w:tabs>
          <w:tab w:val="num" w:pos="851"/>
        </w:tabs>
        <w:spacing w:after="0"/>
        <w:ind w:left="567" w:hanging="567"/>
        <w:rPr>
          <w:sz w:val="18"/>
        </w:rPr>
      </w:pPr>
      <w:r w:rsidRPr="004C194D">
        <w:rPr>
          <w:sz w:val="18"/>
        </w:rPr>
        <w:t>Spadki poprzeczne poboczy</w:t>
      </w:r>
    </w:p>
    <w:p w:rsidR="00594930" w:rsidRPr="004C194D" w:rsidRDefault="00594930" w:rsidP="00594930">
      <w:pPr>
        <w:ind w:left="567" w:hanging="567"/>
        <w:rPr>
          <w:rFonts w:cs="Arial"/>
          <w:sz w:val="18"/>
        </w:rPr>
      </w:pPr>
      <w:r w:rsidRPr="004C194D">
        <w:rPr>
          <w:rFonts w:cs="Arial"/>
          <w:sz w:val="18"/>
        </w:rPr>
        <w:t>Spadki poprzeczne poboczy powinny by</w:t>
      </w:r>
      <w:r>
        <w:rPr>
          <w:rFonts w:cs="Arial"/>
          <w:sz w:val="18"/>
        </w:rPr>
        <w:t>ć</w:t>
      </w:r>
      <w:r w:rsidRPr="004C194D">
        <w:rPr>
          <w:rFonts w:cs="Arial"/>
          <w:sz w:val="18"/>
        </w:rPr>
        <w:t xml:space="preserve"> zgodne z </w:t>
      </w:r>
      <w:r>
        <w:rPr>
          <w:rFonts w:cs="Arial"/>
          <w:sz w:val="18"/>
        </w:rPr>
        <w:t>D</w:t>
      </w:r>
      <w:r w:rsidRPr="004C194D">
        <w:rPr>
          <w:rFonts w:cs="Arial"/>
          <w:sz w:val="18"/>
        </w:rPr>
        <w:t>okumentacj</w:t>
      </w:r>
      <w:r>
        <w:rPr>
          <w:rFonts w:cs="Arial"/>
          <w:sz w:val="18"/>
        </w:rPr>
        <w:t>ą</w:t>
      </w:r>
      <w:r w:rsidRPr="004C194D">
        <w:rPr>
          <w:rFonts w:cs="Arial"/>
          <w:sz w:val="18"/>
        </w:rPr>
        <w:t xml:space="preserve"> </w:t>
      </w:r>
      <w:r>
        <w:rPr>
          <w:rFonts w:cs="Arial"/>
          <w:sz w:val="18"/>
        </w:rPr>
        <w:t>P</w:t>
      </w:r>
      <w:r w:rsidRPr="004C194D">
        <w:rPr>
          <w:rFonts w:cs="Arial"/>
          <w:sz w:val="18"/>
        </w:rPr>
        <w:t>rojektow</w:t>
      </w:r>
      <w:r>
        <w:rPr>
          <w:rFonts w:cs="Arial"/>
          <w:sz w:val="18"/>
        </w:rPr>
        <w:t>ą</w:t>
      </w:r>
      <w:r w:rsidRPr="004C194D">
        <w:rPr>
          <w:rFonts w:cs="Arial"/>
          <w:sz w:val="18"/>
        </w:rPr>
        <w:t>, z tolerancj</w:t>
      </w:r>
      <w:r>
        <w:rPr>
          <w:rFonts w:cs="Arial"/>
          <w:sz w:val="18"/>
        </w:rPr>
        <w:t>ą</w:t>
      </w:r>
      <w:r w:rsidRPr="004C194D">
        <w:rPr>
          <w:rFonts w:cs="Arial"/>
          <w:sz w:val="18"/>
        </w:rPr>
        <w:t xml:space="preserve"> ± 1%.</w:t>
      </w:r>
    </w:p>
    <w:p w:rsidR="00594930" w:rsidRPr="004C194D" w:rsidRDefault="00594930" w:rsidP="00594930">
      <w:pPr>
        <w:pStyle w:val="Nagwek3"/>
        <w:widowControl w:val="0"/>
        <w:numPr>
          <w:ilvl w:val="2"/>
          <w:numId w:val="0"/>
        </w:numPr>
        <w:tabs>
          <w:tab w:val="num" w:pos="851"/>
        </w:tabs>
        <w:spacing w:after="0"/>
        <w:ind w:left="567" w:hanging="567"/>
        <w:rPr>
          <w:sz w:val="18"/>
        </w:rPr>
      </w:pPr>
      <w:r w:rsidRPr="004C194D">
        <w:rPr>
          <w:sz w:val="18"/>
        </w:rPr>
        <w:t>Równo</w:t>
      </w:r>
      <w:r>
        <w:rPr>
          <w:sz w:val="18"/>
        </w:rPr>
        <w:t>ść</w:t>
      </w:r>
      <w:r w:rsidRPr="004C194D">
        <w:rPr>
          <w:sz w:val="18"/>
        </w:rPr>
        <w:t xml:space="preserve"> poboczy</w:t>
      </w:r>
    </w:p>
    <w:p w:rsidR="00594930" w:rsidRPr="004C194D" w:rsidRDefault="00594930" w:rsidP="00594930">
      <w:pPr>
        <w:rPr>
          <w:rFonts w:cs="Arial"/>
          <w:sz w:val="16"/>
          <w:szCs w:val="18"/>
        </w:rPr>
      </w:pPr>
      <w:r w:rsidRPr="004C194D">
        <w:rPr>
          <w:rFonts w:cs="Arial"/>
          <w:sz w:val="18"/>
        </w:rPr>
        <w:t>Nierówno</w:t>
      </w:r>
      <w:r>
        <w:rPr>
          <w:rFonts w:cs="Arial"/>
          <w:sz w:val="18"/>
        </w:rPr>
        <w:t>ś</w:t>
      </w:r>
      <w:r w:rsidRPr="004C194D">
        <w:rPr>
          <w:rFonts w:cs="Arial"/>
          <w:sz w:val="18"/>
        </w:rPr>
        <w:t>ci podłu</w:t>
      </w:r>
      <w:r>
        <w:rPr>
          <w:rFonts w:cs="Arial"/>
          <w:sz w:val="18"/>
        </w:rPr>
        <w:t>ż</w:t>
      </w:r>
      <w:r w:rsidRPr="004C194D">
        <w:rPr>
          <w:rFonts w:cs="Arial"/>
          <w:sz w:val="18"/>
        </w:rPr>
        <w:t>ne i poprzeczne nale</w:t>
      </w:r>
      <w:r>
        <w:rPr>
          <w:rFonts w:cs="Arial"/>
          <w:sz w:val="18"/>
        </w:rPr>
        <w:t>ż</w:t>
      </w:r>
      <w:r w:rsidRPr="004C194D">
        <w:rPr>
          <w:rFonts w:cs="Arial"/>
          <w:sz w:val="18"/>
        </w:rPr>
        <w:t>y mierzy</w:t>
      </w:r>
      <w:r>
        <w:rPr>
          <w:rFonts w:cs="Arial"/>
          <w:sz w:val="18"/>
        </w:rPr>
        <w:t>ć</w:t>
      </w:r>
      <w:r w:rsidRPr="004C194D">
        <w:rPr>
          <w:rFonts w:cs="Arial"/>
          <w:sz w:val="18"/>
        </w:rPr>
        <w:t xml:space="preserve"> łat</w:t>
      </w:r>
      <w:r>
        <w:rPr>
          <w:rFonts w:cs="Arial"/>
          <w:sz w:val="18"/>
        </w:rPr>
        <w:t>ą</w:t>
      </w:r>
      <w:r w:rsidRPr="004C194D">
        <w:rPr>
          <w:rFonts w:cs="Arial"/>
          <w:sz w:val="18"/>
        </w:rPr>
        <w:t xml:space="preserve"> 4-metrow</w:t>
      </w:r>
      <w:r>
        <w:rPr>
          <w:rFonts w:cs="Arial"/>
          <w:sz w:val="18"/>
        </w:rPr>
        <w:t>ą</w:t>
      </w:r>
      <w:r w:rsidRPr="004C194D">
        <w:rPr>
          <w:rFonts w:cs="Arial"/>
          <w:sz w:val="18"/>
        </w:rPr>
        <w:t xml:space="preserve"> wg BN-68/8931-04. Maksymalny</w:t>
      </w:r>
      <w:r>
        <w:rPr>
          <w:rFonts w:cs="Arial"/>
          <w:sz w:val="18"/>
        </w:rPr>
        <w:t xml:space="preserve"> </w:t>
      </w:r>
      <w:r w:rsidRPr="004C194D">
        <w:rPr>
          <w:rFonts w:cs="Arial"/>
          <w:sz w:val="18"/>
        </w:rPr>
        <w:t>prze</w:t>
      </w:r>
      <w:r>
        <w:rPr>
          <w:rFonts w:cs="Arial"/>
          <w:sz w:val="18"/>
        </w:rPr>
        <w:t>ś</w:t>
      </w:r>
      <w:r w:rsidRPr="004C194D">
        <w:rPr>
          <w:rFonts w:cs="Arial"/>
          <w:sz w:val="18"/>
        </w:rPr>
        <w:t>wit pod łat</w:t>
      </w:r>
      <w:r>
        <w:rPr>
          <w:rFonts w:cs="Arial"/>
          <w:sz w:val="18"/>
        </w:rPr>
        <w:t>ą</w:t>
      </w:r>
      <w:r w:rsidRPr="004C194D">
        <w:rPr>
          <w:rFonts w:cs="Arial"/>
          <w:sz w:val="18"/>
        </w:rPr>
        <w:t xml:space="preserve"> nie mo</w:t>
      </w:r>
      <w:r>
        <w:rPr>
          <w:rFonts w:cs="Arial"/>
          <w:sz w:val="18"/>
        </w:rPr>
        <w:t>ż</w:t>
      </w:r>
      <w:r w:rsidRPr="004C194D">
        <w:rPr>
          <w:rFonts w:cs="Arial"/>
          <w:sz w:val="18"/>
        </w:rPr>
        <w:t>e przekracza</w:t>
      </w:r>
      <w:r>
        <w:rPr>
          <w:rFonts w:cs="Arial"/>
          <w:sz w:val="18"/>
        </w:rPr>
        <w:t xml:space="preserve">ć </w:t>
      </w:r>
      <w:r w:rsidRPr="004C194D">
        <w:rPr>
          <w:rFonts w:cs="Arial"/>
          <w:sz w:val="18"/>
        </w:rPr>
        <w:t>15 mm.</w:t>
      </w:r>
    </w:p>
    <w:p w:rsidR="00594930" w:rsidRDefault="00594930" w:rsidP="00594930">
      <w:pPr>
        <w:rPr>
          <w:sz w:val="18"/>
          <w:szCs w:val="18"/>
        </w:rPr>
      </w:pPr>
    </w:p>
    <w:p w:rsidR="00594930" w:rsidRPr="00946436" w:rsidRDefault="00594930" w:rsidP="00594930">
      <w:pPr>
        <w:rPr>
          <w:b/>
          <w:vanish/>
          <w:sz w:val="18"/>
          <w:szCs w:val="18"/>
        </w:rPr>
      </w:pPr>
      <w:r w:rsidRPr="00946436">
        <w:rPr>
          <w:b/>
          <w:sz w:val="18"/>
          <w:szCs w:val="18"/>
        </w:rPr>
        <w:t>7.</w:t>
      </w:r>
      <w:r w:rsidRPr="00946436">
        <w:rPr>
          <w:b/>
          <w:vanish/>
          <w:sz w:val="18"/>
          <w:szCs w:val="18"/>
        </w:rPr>
        <w:t>dokładności wypełnienia szczelin między prefabrykatami - pełna głębokość.</w:t>
      </w:r>
    </w:p>
    <w:p w:rsidR="00594930" w:rsidRPr="00946436" w:rsidRDefault="00594930" w:rsidP="00594930">
      <w:pPr>
        <w:pStyle w:val="Nagwek1"/>
        <w:tabs>
          <w:tab w:val="num" w:pos="567"/>
        </w:tabs>
        <w:spacing w:before="0" w:after="0"/>
        <w:ind w:left="907" w:hanging="907"/>
      </w:pPr>
      <w:r w:rsidRPr="00946436">
        <w:t>OBMIAR ROBÓT</w:t>
      </w:r>
    </w:p>
    <w:p w:rsidR="00594930" w:rsidRPr="00060973" w:rsidRDefault="00594930" w:rsidP="00594930">
      <w:pPr>
        <w:pStyle w:val="Nagwek2"/>
        <w:numPr>
          <w:ilvl w:val="1"/>
          <w:numId w:val="0"/>
        </w:numPr>
        <w:tabs>
          <w:tab w:val="num" w:pos="567"/>
        </w:tabs>
        <w:spacing w:before="0" w:after="0"/>
        <w:ind w:left="907" w:hanging="907"/>
      </w:pPr>
      <w:r>
        <w:t>7.1.</w:t>
      </w:r>
      <w:r w:rsidRPr="00060973">
        <w:t>Ogólne zasady obmiaru robót</w:t>
      </w:r>
    </w:p>
    <w:p w:rsidR="00594930" w:rsidRPr="00060973" w:rsidRDefault="00594930" w:rsidP="00594930">
      <w:pPr>
        <w:numPr>
          <w:ilvl w:val="12"/>
          <w:numId w:val="0"/>
        </w:numPr>
        <w:rPr>
          <w:rFonts w:cs="Arial"/>
          <w:sz w:val="18"/>
          <w:szCs w:val="18"/>
        </w:rPr>
      </w:pPr>
      <w:r w:rsidRPr="00060973">
        <w:rPr>
          <w:rFonts w:cs="Arial"/>
          <w:sz w:val="18"/>
          <w:szCs w:val="18"/>
        </w:rPr>
        <w:t xml:space="preserve">Ogólne zasady obmiaru robót podano w </w:t>
      </w:r>
      <w:r>
        <w:rPr>
          <w:rFonts w:cs="Arial"/>
          <w:sz w:val="18"/>
          <w:szCs w:val="18"/>
        </w:rPr>
        <w:t>STWIORB</w:t>
      </w:r>
      <w:r w:rsidRPr="00060973">
        <w:rPr>
          <w:rFonts w:cs="Arial"/>
          <w:sz w:val="18"/>
          <w:szCs w:val="18"/>
        </w:rPr>
        <w:t xml:space="preserve"> D-M-00.00.00 „Wymagania ogólne” pkt 7.</w:t>
      </w:r>
    </w:p>
    <w:p w:rsidR="00594930" w:rsidRPr="00060973" w:rsidRDefault="00594930" w:rsidP="00594930">
      <w:pPr>
        <w:pStyle w:val="Nagwek2"/>
        <w:numPr>
          <w:ilvl w:val="1"/>
          <w:numId w:val="0"/>
        </w:numPr>
        <w:tabs>
          <w:tab w:val="num" w:pos="567"/>
        </w:tabs>
        <w:spacing w:before="0" w:after="0"/>
        <w:ind w:left="907" w:hanging="907"/>
      </w:pPr>
      <w:r>
        <w:t xml:space="preserve">7.2 </w:t>
      </w:r>
      <w:r w:rsidRPr="00060973">
        <w:t>Jednostka obmiarowa</w:t>
      </w:r>
    </w:p>
    <w:p w:rsidR="00594930" w:rsidRPr="00060973" w:rsidRDefault="00594930" w:rsidP="00594930">
      <w:pPr>
        <w:numPr>
          <w:ilvl w:val="12"/>
          <w:numId w:val="0"/>
        </w:numPr>
        <w:rPr>
          <w:rFonts w:cs="Arial"/>
          <w:sz w:val="18"/>
          <w:szCs w:val="18"/>
        </w:rPr>
      </w:pPr>
      <w:r w:rsidRPr="00060973">
        <w:rPr>
          <w:rFonts w:cs="Arial"/>
          <w:sz w:val="18"/>
          <w:szCs w:val="18"/>
        </w:rPr>
        <w:t>Jednostką obmiarową jest</w:t>
      </w:r>
      <w:r>
        <w:rPr>
          <w:rFonts w:cs="Arial"/>
          <w:sz w:val="18"/>
          <w:szCs w:val="18"/>
        </w:rPr>
        <w:t xml:space="preserve"> </w:t>
      </w:r>
      <w:r w:rsidRPr="00060973">
        <w:rPr>
          <w:rFonts w:cs="Arial"/>
          <w:sz w:val="18"/>
          <w:szCs w:val="18"/>
        </w:rPr>
        <w:t>m</w:t>
      </w:r>
      <w:r w:rsidRPr="00060973">
        <w:rPr>
          <w:rFonts w:cs="Arial"/>
          <w:sz w:val="18"/>
          <w:szCs w:val="18"/>
          <w:vertAlign w:val="superscript"/>
        </w:rPr>
        <w:t>2</w:t>
      </w:r>
      <w:r w:rsidRPr="00060973">
        <w:rPr>
          <w:rFonts w:cs="Arial"/>
          <w:sz w:val="18"/>
          <w:szCs w:val="18"/>
        </w:rPr>
        <w:t xml:space="preserve"> [metr kwadratowy] umocnienia powierzchni </w:t>
      </w:r>
      <w:r>
        <w:rPr>
          <w:rFonts w:cs="Arial"/>
          <w:sz w:val="18"/>
          <w:szCs w:val="18"/>
        </w:rPr>
        <w:t>poboczy kruszywem w jasnej barwie wg wymagań Dokumentacji Projektowej i niniejszej STWIORB</w:t>
      </w:r>
      <w:r w:rsidRPr="00060973">
        <w:rPr>
          <w:rFonts w:cs="Arial"/>
          <w:sz w:val="18"/>
          <w:szCs w:val="18"/>
        </w:rPr>
        <w:t>.</w:t>
      </w:r>
    </w:p>
    <w:p w:rsidR="00594930" w:rsidRPr="0071027C" w:rsidRDefault="00594930" w:rsidP="00594930">
      <w:pPr>
        <w:numPr>
          <w:ilvl w:val="0"/>
          <w:numId w:val="1"/>
        </w:numPr>
        <w:overflowPunct w:val="0"/>
        <w:autoSpaceDE w:val="0"/>
        <w:autoSpaceDN w:val="0"/>
        <w:adjustRightInd w:val="0"/>
        <w:jc w:val="both"/>
        <w:textAlignment w:val="baseline"/>
        <w:rPr>
          <w:rFonts w:cs="Arial"/>
          <w:vanish/>
          <w:color w:val="FF0000"/>
          <w:sz w:val="18"/>
          <w:szCs w:val="18"/>
        </w:rPr>
      </w:pPr>
      <w:r w:rsidRPr="0071027C">
        <w:rPr>
          <w:rFonts w:cs="Arial"/>
          <w:vanish/>
          <w:color w:val="FF0000"/>
          <w:sz w:val="18"/>
          <w:szCs w:val="18"/>
        </w:rPr>
        <w:t>m</w:t>
      </w:r>
      <w:r w:rsidRPr="0071027C">
        <w:rPr>
          <w:rFonts w:cs="Arial"/>
          <w:vanish/>
          <w:color w:val="FF0000"/>
          <w:sz w:val="18"/>
          <w:szCs w:val="18"/>
          <w:vertAlign w:val="superscript"/>
        </w:rPr>
        <w:t>2</w:t>
      </w:r>
      <w:r w:rsidRPr="0071027C">
        <w:rPr>
          <w:rFonts w:cs="Arial"/>
          <w:vanish/>
          <w:color w:val="FF0000"/>
          <w:sz w:val="18"/>
          <w:szCs w:val="18"/>
        </w:rPr>
        <w:t xml:space="preserve"> (metr kwadratowy) powierzchni poboczy wykonanych z materiału pofrzowego</w:t>
      </w:r>
    </w:p>
    <w:p w:rsidR="00594930" w:rsidRPr="0071027C" w:rsidRDefault="00594930" w:rsidP="00594930">
      <w:pPr>
        <w:numPr>
          <w:ilvl w:val="0"/>
          <w:numId w:val="1"/>
        </w:numPr>
        <w:overflowPunct w:val="0"/>
        <w:autoSpaceDE w:val="0"/>
        <w:autoSpaceDN w:val="0"/>
        <w:adjustRightInd w:val="0"/>
        <w:jc w:val="both"/>
        <w:textAlignment w:val="baseline"/>
        <w:rPr>
          <w:rFonts w:cs="Arial"/>
          <w:vanish/>
          <w:color w:val="FF0000"/>
          <w:sz w:val="18"/>
          <w:szCs w:val="18"/>
        </w:rPr>
      </w:pPr>
      <w:r w:rsidRPr="0071027C">
        <w:rPr>
          <w:rFonts w:cs="Arial"/>
          <w:vanish/>
          <w:color w:val="FF0000"/>
          <w:sz w:val="18"/>
          <w:szCs w:val="18"/>
        </w:rPr>
        <w:t>m (metr) ułożonego ścieku z elementów prefabrykowanych lub oczyszczonego rowu.</w:t>
      </w:r>
    </w:p>
    <w:p w:rsidR="00594930" w:rsidRDefault="00594930" w:rsidP="00594930">
      <w:pPr>
        <w:pStyle w:val="Nagwek1"/>
        <w:tabs>
          <w:tab w:val="num" w:pos="567"/>
        </w:tabs>
        <w:spacing w:before="0" w:after="0"/>
        <w:ind w:left="907" w:hanging="907"/>
      </w:pPr>
    </w:p>
    <w:p w:rsidR="00594930" w:rsidRPr="00632442" w:rsidRDefault="00594930" w:rsidP="00594930">
      <w:pPr>
        <w:pStyle w:val="Nagwek1"/>
        <w:tabs>
          <w:tab w:val="num" w:pos="567"/>
        </w:tabs>
        <w:spacing w:before="0" w:after="0"/>
        <w:ind w:left="907" w:hanging="907"/>
      </w:pPr>
      <w:r>
        <w:t>8.</w:t>
      </w:r>
      <w:r w:rsidRPr="00632442">
        <w:t>ODBIÓR ROBÓT</w:t>
      </w:r>
    </w:p>
    <w:p w:rsidR="00594930" w:rsidRPr="00632442" w:rsidRDefault="00594930" w:rsidP="00594930">
      <w:pPr>
        <w:numPr>
          <w:ilvl w:val="12"/>
          <w:numId w:val="0"/>
        </w:numPr>
        <w:rPr>
          <w:rFonts w:cs="Arial"/>
          <w:sz w:val="18"/>
          <w:szCs w:val="18"/>
        </w:rPr>
      </w:pPr>
      <w:r w:rsidRPr="00632442">
        <w:rPr>
          <w:rFonts w:cs="Arial"/>
          <w:sz w:val="18"/>
          <w:szCs w:val="18"/>
        </w:rPr>
        <w:t xml:space="preserve">Ogólne zasady odbioru robót podano w </w:t>
      </w:r>
      <w:r>
        <w:rPr>
          <w:rFonts w:cs="Arial"/>
          <w:sz w:val="18"/>
          <w:szCs w:val="18"/>
        </w:rPr>
        <w:t>STWIORB</w:t>
      </w:r>
      <w:r w:rsidRPr="00632442">
        <w:rPr>
          <w:rFonts w:cs="Arial"/>
          <w:sz w:val="18"/>
          <w:szCs w:val="18"/>
        </w:rPr>
        <w:t xml:space="preserve"> D-M-00.00.00 „Wymagania ogólne” pkt 8.</w:t>
      </w:r>
    </w:p>
    <w:p w:rsidR="00594930" w:rsidRPr="00632442" w:rsidRDefault="00594930" w:rsidP="00594930">
      <w:pPr>
        <w:numPr>
          <w:ilvl w:val="12"/>
          <w:numId w:val="0"/>
        </w:numPr>
        <w:rPr>
          <w:rFonts w:cs="Arial"/>
          <w:sz w:val="18"/>
          <w:szCs w:val="18"/>
        </w:rPr>
      </w:pPr>
      <w:r w:rsidRPr="00632442">
        <w:rPr>
          <w:rFonts w:cs="Arial"/>
          <w:sz w:val="18"/>
          <w:szCs w:val="18"/>
        </w:rPr>
        <w:t xml:space="preserve">Roboty uznaje się za wykonane zgodnie z dokumentacją projektową, </w:t>
      </w:r>
      <w:r>
        <w:rPr>
          <w:rFonts w:cs="Arial"/>
          <w:sz w:val="18"/>
          <w:szCs w:val="18"/>
        </w:rPr>
        <w:t>STWIORB</w:t>
      </w:r>
      <w:r w:rsidRPr="00632442">
        <w:rPr>
          <w:rFonts w:cs="Arial"/>
          <w:sz w:val="18"/>
          <w:szCs w:val="18"/>
        </w:rPr>
        <w:t xml:space="preserve"> i wymaganiami Inżyniera, jeżeli wszystkie pomiary i badania z zachowaniem tolerancji wg </w:t>
      </w:r>
      <w:proofErr w:type="spellStart"/>
      <w:r w:rsidRPr="00632442">
        <w:rPr>
          <w:rFonts w:cs="Arial"/>
          <w:sz w:val="18"/>
          <w:szCs w:val="18"/>
        </w:rPr>
        <w:t>pktu</w:t>
      </w:r>
      <w:proofErr w:type="spellEnd"/>
      <w:r w:rsidRPr="00632442">
        <w:rPr>
          <w:rFonts w:cs="Arial"/>
          <w:sz w:val="18"/>
          <w:szCs w:val="18"/>
        </w:rPr>
        <w:t xml:space="preserve"> 6 dały wyniki pozytywne.</w:t>
      </w:r>
    </w:p>
    <w:p w:rsidR="00594930" w:rsidRDefault="00594930" w:rsidP="00594930">
      <w:pPr>
        <w:pStyle w:val="Nagwek1"/>
        <w:tabs>
          <w:tab w:val="num" w:pos="567"/>
        </w:tabs>
        <w:spacing w:before="0" w:after="0"/>
        <w:ind w:left="907" w:hanging="907"/>
      </w:pPr>
    </w:p>
    <w:p w:rsidR="00594930" w:rsidRPr="00597F41" w:rsidRDefault="00594930" w:rsidP="00594930">
      <w:pPr>
        <w:pStyle w:val="Nagwek1"/>
        <w:tabs>
          <w:tab w:val="num" w:pos="567"/>
        </w:tabs>
        <w:spacing w:before="0" w:after="0"/>
        <w:ind w:left="907" w:hanging="907"/>
      </w:pPr>
      <w:r>
        <w:t>9.</w:t>
      </w:r>
      <w:r w:rsidRPr="00597F41">
        <w:t>PODSTAWA PŁATNOŚCI</w:t>
      </w:r>
    </w:p>
    <w:p w:rsidR="00594930" w:rsidRPr="00597F41" w:rsidRDefault="00594930" w:rsidP="00594930">
      <w:pPr>
        <w:pStyle w:val="Nagwek2"/>
        <w:numPr>
          <w:ilvl w:val="1"/>
          <w:numId w:val="0"/>
        </w:numPr>
        <w:tabs>
          <w:tab w:val="num" w:pos="567"/>
        </w:tabs>
        <w:spacing w:before="0" w:after="0"/>
        <w:ind w:left="907" w:hanging="907"/>
      </w:pPr>
      <w:r>
        <w:t>9.1.</w:t>
      </w:r>
      <w:r w:rsidRPr="00597F41">
        <w:t>Ogólne ustalenia dotyczące podstawy płatności</w:t>
      </w:r>
    </w:p>
    <w:p w:rsidR="00594930" w:rsidRPr="00597F41" w:rsidRDefault="00594930" w:rsidP="00594930">
      <w:pPr>
        <w:numPr>
          <w:ilvl w:val="12"/>
          <w:numId w:val="0"/>
        </w:numPr>
        <w:rPr>
          <w:rFonts w:cs="Arial"/>
          <w:sz w:val="18"/>
          <w:szCs w:val="18"/>
        </w:rPr>
      </w:pPr>
      <w:r w:rsidRPr="00597F41">
        <w:rPr>
          <w:rFonts w:cs="Arial"/>
          <w:sz w:val="18"/>
          <w:szCs w:val="18"/>
        </w:rPr>
        <w:t xml:space="preserve">Ogólne ustalenia dotyczące podstawy płatności podano w </w:t>
      </w:r>
      <w:r>
        <w:rPr>
          <w:rFonts w:cs="Arial"/>
          <w:sz w:val="18"/>
          <w:szCs w:val="18"/>
        </w:rPr>
        <w:t>STWIORB</w:t>
      </w:r>
      <w:r w:rsidRPr="00597F41">
        <w:rPr>
          <w:rFonts w:cs="Arial"/>
          <w:sz w:val="18"/>
          <w:szCs w:val="18"/>
        </w:rPr>
        <w:t xml:space="preserve"> D-M-00.00.00 „Wymagania ogólne” pkt 9.</w:t>
      </w:r>
    </w:p>
    <w:p w:rsidR="00594930" w:rsidRPr="00597F41" w:rsidRDefault="00594930" w:rsidP="00594930">
      <w:pPr>
        <w:pStyle w:val="Nagwek2"/>
        <w:numPr>
          <w:ilvl w:val="1"/>
          <w:numId w:val="0"/>
        </w:numPr>
        <w:tabs>
          <w:tab w:val="num" w:pos="567"/>
        </w:tabs>
        <w:spacing w:before="0" w:after="0"/>
        <w:ind w:left="907" w:hanging="907"/>
      </w:pPr>
      <w:r>
        <w:t>9.2.</w:t>
      </w:r>
      <w:r w:rsidRPr="00597F41">
        <w:t>Cena jednostki obmiarowej</w:t>
      </w:r>
    </w:p>
    <w:p w:rsidR="00594930" w:rsidRPr="00A110DE" w:rsidRDefault="00594930" w:rsidP="00594930">
      <w:pPr>
        <w:numPr>
          <w:ilvl w:val="12"/>
          <w:numId w:val="0"/>
        </w:numPr>
        <w:rPr>
          <w:rFonts w:cs="Arial"/>
          <w:sz w:val="18"/>
          <w:szCs w:val="18"/>
        </w:rPr>
      </w:pPr>
      <w:r w:rsidRPr="00A110DE">
        <w:rPr>
          <w:rFonts w:cs="Arial"/>
          <w:sz w:val="18"/>
          <w:szCs w:val="18"/>
        </w:rPr>
        <w:t>Cena wykonania m</w:t>
      </w:r>
      <w:r w:rsidRPr="00A110DE">
        <w:rPr>
          <w:rFonts w:cs="Arial"/>
          <w:sz w:val="18"/>
          <w:szCs w:val="18"/>
          <w:vertAlign w:val="superscript"/>
        </w:rPr>
        <w:t>2</w:t>
      </w:r>
      <w:r w:rsidRPr="00A110DE">
        <w:rPr>
          <w:rFonts w:cs="Arial"/>
          <w:sz w:val="18"/>
          <w:szCs w:val="18"/>
        </w:rPr>
        <w:t xml:space="preserve"> umocnienia poboczy obejmuje:</w:t>
      </w:r>
    </w:p>
    <w:p w:rsidR="00594930" w:rsidRDefault="00594930" w:rsidP="00594930">
      <w:pPr>
        <w:widowControl w:val="0"/>
        <w:numPr>
          <w:ilvl w:val="0"/>
          <w:numId w:val="3"/>
        </w:numPr>
        <w:tabs>
          <w:tab w:val="left" w:pos="851"/>
        </w:tabs>
        <w:ind w:hanging="873"/>
        <w:jc w:val="both"/>
        <w:rPr>
          <w:rFonts w:cs="Arial"/>
          <w:sz w:val="18"/>
          <w:szCs w:val="18"/>
        </w:rPr>
      </w:pPr>
      <w:r w:rsidRPr="00A110DE">
        <w:rPr>
          <w:rFonts w:cs="Arial"/>
          <w:sz w:val="18"/>
          <w:szCs w:val="18"/>
        </w:rPr>
        <w:t>koszt zapewnienia niezbędnych czynników produkcji</w:t>
      </w:r>
      <w:r>
        <w:rPr>
          <w:rFonts w:cs="Arial"/>
          <w:sz w:val="18"/>
          <w:szCs w:val="18"/>
        </w:rPr>
        <w:t>,</w:t>
      </w:r>
    </w:p>
    <w:p w:rsidR="00594930" w:rsidRDefault="00594930" w:rsidP="00594930">
      <w:pPr>
        <w:widowControl w:val="0"/>
        <w:numPr>
          <w:ilvl w:val="0"/>
          <w:numId w:val="3"/>
        </w:numPr>
        <w:tabs>
          <w:tab w:val="left" w:pos="851"/>
        </w:tabs>
        <w:ind w:hanging="873"/>
        <w:jc w:val="both"/>
        <w:rPr>
          <w:rFonts w:cs="Arial"/>
          <w:sz w:val="18"/>
          <w:szCs w:val="18"/>
        </w:rPr>
      </w:pPr>
      <w:r w:rsidRPr="00A110DE">
        <w:rPr>
          <w:rFonts w:cs="Arial"/>
          <w:sz w:val="18"/>
          <w:szCs w:val="18"/>
        </w:rPr>
        <w:t>roboty pomiarowe i przygotowawcze,</w:t>
      </w:r>
    </w:p>
    <w:p w:rsidR="00594930" w:rsidRPr="00A110DE" w:rsidRDefault="00594930" w:rsidP="00594930">
      <w:pPr>
        <w:widowControl w:val="0"/>
        <w:numPr>
          <w:ilvl w:val="0"/>
          <w:numId w:val="3"/>
        </w:numPr>
        <w:tabs>
          <w:tab w:val="left" w:pos="851"/>
        </w:tabs>
        <w:ind w:hanging="873"/>
        <w:jc w:val="both"/>
        <w:rPr>
          <w:rFonts w:cs="Arial"/>
          <w:sz w:val="18"/>
          <w:szCs w:val="18"/>
        </w:rPr>
      </w:pPr>
      <w:r w:rsidRPr="00A110DE">
        <w:rPr>
          <w:rFonts w:cs="Arial"/>
          <w:sz w:val="18"/>
          <w:szCs w:val="18"/>
        </w:rPr>
        <w:t>profilowanie i zag</w:t>
      </w:r>
      <w:r>
        <w:rPr>
          <w:rFonts w:cs="Arial"/>
          <w:sz w:val="18"/>
          <w:szCs w:val="18"/>
        </w:rPr>
        <w:t>ę</w:t>
      </w:r>
      <w:r w:rsidRPr="00A110DE">
        <w:rPr>
          <w:rFonts w:cs="Arial"/>
          <w:sz w:val="18"/>
          <w:szCs w:val="18"/>
        </w:rPr>
        <w:t>szczenie podło</w:t>
      </w:r>
      <w:r>
        <w:rPr>
          <w:rFonts w:cs="Arial"/>
          <w:sz w:val="18"/>
          <w:szCs w:val="18"/>
        </w:rPr>
        <w:t>ż</w:t>
      </w:r>
      <w:r w:rsidRPr="00A110DE">
        <w:rPr>
          <w:rFonts w:cs="Arial"/>
          <w:sz w:val="18"/>
          <w:szCs w:val="18"/>
        </w:rPr>
        <w:t>a,</w:t>
      </w:r>
    </w:p>
    <w:p w:rsidR="00594930" w:rsidRDefault="00594930" w:rsidP="00594930">
      <w:pPr>
        <w:widowControl w:val="0"/>
        <w:numPr>
          <w:ilvl w:val="0"/>
          <w:numId w:val="3"/>
        </w:numPr>
        <w:tabs>
          <w:tab w:val="left" w:pos="851"/>
        </w:tabs>
        <w:ind w:left="851" w:hanging="284"/>
        <w:jc w:val="both"/>
        <w:rPr>
          <w:rFonts w:cs="Arial"/>
          <w:sz w:val="18"/>
          <w:szCs w:val="18"/>
        </w:rPr>
      </w:pPr>
      <w:r w:rsidRPr="00A110DE">
        <w:rPr>
          <w:rFonts w:cs="Arial"/>
          <w:sz w:val="18"/>
          <w:szCs w:val="18"/>
        </w:rPr>
        <w:t>równomierne rozło</w:t>
      </w:r>
      <w:r>
        <w:rPr>
          <w:rFonts w:cs="Arial"/>
          <w:sz w:val="18"/>
          <w:szCs w:val="18"/>
        </w:rPr>
        <w:t>ż</w:t>
      </w:r>
      <w:r w:rsidRPr="00A110DE">
        <w:rPr>
          <w:rFonts w:cs="Arial"/>
          <w:sz w:val="18"/>
          <w:szCs w:val="18"/>
        </w:rPr>
        <w:t>enie</w:t>
      </w:r>
      <w:r>
        <w:rPr>
          <w:rFonts w:cs="Arial"/>
          <w:sz w:val="18"/>
          <w:szCs w:val="18"/>
        </w:rPr>
        <w:t xml:space="preserve"> kruszywa</w:t>
      </w:r>
      <w:r w:rsidRPr="00A110DE">
        <w:rPr>
          <w:rFonts w:cs="Arial"/>
          <w:sz w:val="18"/>
          <w:szCs w:val="18"/>
        </w:rPr>
        <w:t>, wyprofilowanie, nadanie odpowiedniego spadku oraz zag</w:t>
      </w:r>
      <w:r>
        <w:rPr>
          <w:rFonts w:cs="Arial"/>
          <w:sz w:val="18"/>
          <w:szCs w:val="18"/>
        </w:rPr>
        <w:t>ę</w:t>
      </w:r>
      <w:r w:rsidRPr="00A110DE">
        <w:rPr>
          <w:rFonts w:cs="Arial"/>
          <w:sz w:val="18"/>
          <w:szCs w:val="18"/>
        </w:rPr>
        <w:t>szczenie warstwy</w:t>
      </w:r>
      <w:r>
        <w:rPr>
          <w:rFonts w:cs="Arial"/>
          <w:sz w:val="18"/>
          <w:szCs w:val="18"/>
        </w:rPr>
        <w:t xml:space="preserve"> kruszywa</w:t>
      </w:r>
      <w:r w:rsidRPr="00A110DE">
        <w:rPr>
          <w:rFonts w:cs="Arial"/>
          <w:sz w:val="18"/>
          <w:szCs w:val="18"/>
        </w:rPr>
        <w:t xml:space="preserve"> o grubo</w:t>
      </w:r>
      <w:r>
        <w:rPr>
          <w:rFonts w:cs="Arial"/>
          <w:sz w:val="18"/>
          <w:szCs w:val="18"/>
        </w:rPr>
        <w:t>ś</w:t>
      </w:r>
      <w:r w:rsidRPr="00A110DE">
        <w:rPr>
          <w:rFonts w:cs="Arial"/>
          <w:sz w:val="18"/>
          <w:szCs w:val="18"/>
        </w:rPr>
        <w:t>ci 1</w:t>
      </w:r>
      <w:r>
        <w:rPr>
          <w:rFonts w:cs="Arial"/>
          <w:sz w:val="18"/>
          <w:szCs w:val="18"/>
        </w:rPr>
        <w:t>5</w:t>
      </w:r>
      <w:r w:rsidRPr="00A110DE">
        <w:rPr>
          <w:rFonts w:cs="Arial"/>
          <w:sz w:val="18"/>
          <w:szCs w:val="18"/>
        </w:rPr>
        <w:t xml:space="preserve"> cm,</w:t>
      </w:r>
    </w:p>
    <w:p w:rsidR="00594930" w:rsidRPr="00A110DE" w:rsidRDefault="00594930" w:rsidP="00594930">
      <w:pPr>
        <w:widowControl w:val="0"/>
        <w:numPr>
          <w:ilvl w:val="0"/>
          <w:numId w:val="3"/>
        </w:numPr>
        <w:tabs>
          <w:tab w:val="left" w:pos="851"/>
        </w:tabs>
        <w:ind w:left="851" w:hanging="284"/>
        <w:jc w:val="both"/>
        <w:rPr>
          <w:rFonts w:cs="Arial"/>
          <w:sz w:val="18"/>
          <w:szCs w:val="18"/>
        </w:rPr>
      </w:pPr>
      <w:r w:rsidRPr="00A110DE">
        <w:rPr>
          <w:rFonts w:cs="Arial"/>
          <w:sz w:val="18"/>
          <w:szCs w:val="18"/>
        </w:rPr>
        <w:t>przeprowadzenie badań i pomiarów wymaganych w specyfikacji technicznej,</w:t>
      </w:r>
    </w:p>
    <w:p w:rsidR="00594930" w:rsidRPr="00A110DE" w:rsidRDefault="00594930" w:rsidP="00594930">
      <w:pPr>
        <w:widowControl w:val="0"/>
        <w:numPr>
          <w:ilvl w:val="0"/>
          <w:numId w:val="3"/>
        </w:numPr>
        <w:tabs>
          <w:tab w:val="left" w:pos="851"/>
        </w:tabs>
        <w:ind w:hanging="873"/>
        <w:jc w:val="both"/>
        <w:rPr>
          <w:rFonts w:cs="Arial"/>
          <w:sz w:val="18"/>
          <w:szCs w:val="18"/>
        </w:rPr>
      </w:pPr>
      <w:r w:rsidRPr="00A110DE">
        <w:rPr>
          <w:rFonts w:cs="Arial"/>
          <w:sz w:val="18"/>
          <w:szCs w:val="18"/>
        </w:rPr>
        <w:lastRenderedPageBreak/>
        <w:t>uporz</w:t>
      </w:r>
      <w:r>
        <w:rPr>
          <w:rFonts w:cs="Arial"/>
          <w:sz w:val="18"/>
          <w:szCs w:val="18"/>
        </w:rPr>
        <w:t>ą</w:t>
      </w:r>
      <w:r w:rsidRPr="00A110DE">
        <w:rPr>
          <w:rFonts w:cs="Arial"/>
          <w:sz w:val="18"/>
          <w:szCs w:val="18"/>
        </w:rPr>
        <w:t>dkowanie miejsca budowy.</w:t>
      </w:r>
    </w:p>
    <w:p w:rsidR="00594930" w:rsidRDefault="00594930" w:rsidP="00594930">
      <w:pPr>
        <w:pStyle w:val="Nagwek1"/>
        <w:tabs>
          <w:tab w:val="num" w:pos="567"/>
        </w:tabs>
        <w:spacing w:before="0" w:after="0"/>
        <w:ind w:left="907" w:hanging="907"/>
      </w:pPr>
    </w:p>
    <w:p w:rsidR="00594930" w:rsidRPr="00A110DE" w:rsidRDefault="00594930" w:rsidP="00594930">
      <w:pPr>
        <w:pStyle w:val="Nagwek1"/>
        <w:tabs>
          <w:tab w:val="num" w:pos="567"/>
        </w:tabs>
        <w:spacing w:before="0" w:after="0"/>
        <w:ind w:left="907" w:hanging="907"/>
      </w:pPr>
      <w:r>
        <w:t>10.</w:t>
      </w:r>
      <w:r w:rsidRPr="00A110DE">
        <w:t>PRZEPISY ZWIĄZANE</w:t>
      </w:r>
    </w:p>
    <w:p w:rsidR="00594930" w:rsidRPr="00A110DE" w:rsidRDefault="00594930" w:rsidP="00594930">
      <w:pPr>
        <w:pStyle w:val="Nagwek2"/>
        <w:numPr>
          <w:ilvl w:val="1"/>
          <w:numId w:val="0"/>
        </w:numPr>
        <w:tabs>
          <w:tab w:val="num" w:pos="567"/>
        </w:tabs>
        <w:spacing w:before="0" w:after="0"/>
        <w:ind w:left="907" w:hanging="907"/>
      </w:pPr>
      <w:r>
        <w:t>10.1.</w:t>
      </w:r>
      <w:r w:rsidRPr="00A110DE">
        <w:t>Normy</w:t>
      </w:r>
    </w:p>
    <w:p w:rsidR="00594930" w:rsidRPr="00E37C85" w:rsidRDefault="00594930" w:rsidP="00594930">
      <w:pPr>
        <w:rPr>
          <w:rFonts w:cs="Arial"/>
          <w:sz w:val="18"/>
          <w:szCs w:val="18"/>
        </w:rPr>
      </w:pPr>
      <w:r w:rsidRPr="00E37C85">
        <w:rPr>
          <w:rFonts w:cs="Arial"/>
          <w:sz w:val="18"/>
          <w:szCs w:val="18"/>
        </w:rPr>
        <w:t>BN-68/8931-04</w:t>
      </w:r>
      <w:r w:rsidRPr="00E37C85">
        <w:rPr>
          <w:rFonts w:cs="Arial"/>
          <w:sz w:val="18"/>
          <w:szCs w:val="18"/>
        </w:rPr>
        <w:tab/>
      </w:r>
      <w:r w:rsidRPr="00E37C85">
        <w:rPr>
          <w:rFonts w:cs="Arial"/>
          <w:sz w:val="18"/>
          <w:szCs w:val="18"/>
        </w:rPr>
        <w:tab/>
        <w:t xml:space="preserve">Drogi samochodowe. Pomiar </w:t>
      </w:r>
      <w:proofErr w:type="spellStart"/>
      <w:r w:rsidRPr="00E37C85">
        <w:rPr>
          <w:rFonts w:cs="Arial"/>
          <w:sz w:val="18"/>
          <w:szCs w:val="18"/>
        </w:rPr>
        <w:t>równosci</w:t>
      </w:r>
      <w:proofErr w:type="spellEnd"/>
      <w:r w:rsidRPr="00E37C85">
        <w:rPr>
          <w:rFonts w:cs="Arial"/>
          <w:sz w:val="18"/>
          <w:szCs w:val="18"/>
        </w:rPr>
        <w:t xml:space="preserve"> nawierzchni </w:t>
      </w:r>
      <w:proofErr w:type="spellStart"/>
      <w:r w:rsidRPr="00E37C85">
        <w:rPr>
          <w:rFonts w:cs="Arial"/>
          <w:sz w:val="18"/>
          <w:szCs w:val="18"/>
        </w:rPr>
        <w:t>planografem</w:t>
      </w:r>
      <w:proofErr w:type="spellEnd"/>
      <w:r w:rsidRPr="00E37C85">
        <w:rPr>
          <w:rFonts w:cs="Arial"/>
          <w:sz w:val="18"/>
          <w:szCs w:val="18"/>
        </w:rPr>
        <w:t xml:space="preserve"> i łata</w:t>
      </w:r>
    </w:p>
    <w:p w:rsidR="00594930" w:rsidRPr="00E37C85" w:rsidRDefault="00594930" w:rsidP="00594930">
      <w:pPr>
        <w:rPr>
          <w:rFonts w:cs="Arial"/>
          <w:sz w:val="18"/>
          <w:szCs w:val="18"/>
        </w:rPr>
      </w:pPr>
      <w:r w:rsidRPr="00E37C85">
        <w:rPr>
          <w:rFonts w:cs="Arial"/>
          <w:sz w:val="18"/>
          <w:szCs w:val="18"/>
        </w:rPr>
        <w:t>PN-B-04481</w:t>
      </w:r>
      <w:r w:rsidRPr="00E37C85">
        <w:rPr>
          <w:rFonts w:cs="Arial"/>
          <w:sz w:val="18"/>
          <w:szCs w:val="18"/>
        </w:rPr>
        <w:tab/>
      </w:r>
      <w:r w:rsidRPr="00E37C85">
        <w:rPr>
          <w:rFonts w:cs="Arial"/>
          <w:sz w:val="18"/>
          <w:szCs w:val="18"/>
        </w:rPr>
        <w:tab/>
        <w:t>Grunty budowlane. Badania laboratoryjne</w:t>
      </w:r>
    </w:p>
    <w:p w:rsidR="00594930" w:rsidRPr="00E37C85" w:rsidRDefault="00594930" w:rsidP="00594930">
      <w:pPr>
        <w:rPr>
          <w:rFonts w:cs="Arial"/>
          <w:sz w:val="18"/>
          <w:szCs w:val="18"/>
        </w:rPr>
      </w:pPr>
      <w:r w:rsidRPr="00E37C85">
        <w:rPr>
          <w:rFonts w:cs="Arial"/>
          <w:sz w:val="18"/>
          <w:szCs w:val="18"/>
        </w:rPr>
        <w:t>BN-77/8931-12</w:t>
      </w:r>
      <w:r w:rsidRPr="00E37C85">
        <w:rPr>
          <w:rFonts w:cs="Arial"/>
          <w:sz w:val="18"/>
          <w:szCs w:val="18"/>
        </w:rPr>
        <w:tab/>
      </w:r>
      <w:r w:rsidRPr="00E37C85">
        <w:rPr>
          <w:rFonts w:cs="Arial"/>
          <w:sz w:val="18"/>
          <w:szCs w:val="18"/>
        </w:rPr>
        <w:tab/>
        <w:t>Oznaczenie wskaźnika zagęszczenia gruntu.</w:t>
      </w:r>
    </w:p>
    <w:p w:rsidR="00594930" w:rsidRPr="00E37C85" w:rsidRDefault="00594930" w:rsidP="00594930">
      <w:pPr>
        <w:ind w:left="2124" w:hanging="2124"/>
        <w:rPr>
          <w:rFonts w:cs="Arial"/>
          <w:sz w:val="18"/>
          <w:szCs w:val="18"/>
        </w:rPr>
      </w:pPr>
      <w:r w:rsidRPr="00E37C85">
        <w:rPr>
          <w:rFonts w:cs="Arial"/>
          <w:sz w:val="18"/>
          <w:szCs w:val="18"/>
        </w:rPr>
        <w:t>PN-EN 13242</w:t>
      </w:r>
      <w:r w:rsidRPr="00E37C85">
        <w:rPr>
          <w:rFonts w:cs="Arial"/>
          <w:sz w:val="18"/>
          <w:szCs w:val="18"/>
        </w:rPr>
        <w:tab/>
        <w:t>Kruszywa do niezwiązanych i hydraulicznie związanych materiałów stosowanych w obiektach budowlanych i budownictwie drogowym</w:t>
      </w:r>
    </w:p>
    <w:p w:rsidR="00594930" w:rsidRPr="00E32F68" w:rsidRDefault="00594930" w:rsidP="00594930">
      <w:pPr>
        <w:pStyle w:val="Nagwek2"/>
        <w:numPr>
          <w:ilvl w:val="1"/>
          <w:numId w:val="0"/>
        </w:numPr>
        <w:spacing w:before="0" w:after="0"/>
        <w:ind w:left="907" w:hanging="907"/>
      </w:pPr>
      <w:r>
        <w:t>10.2.</w:t>
      </w:r>
      <w:r w:rsidRPr="00E32F68">
        <w:t>Wymagania techniczne (rekomendowane przez Ministra Infrastruktury)</w:t>
      </w:r>
    </w:p>
    <w:p w:rsidR="00594930" w:rsidRPr="00E32F68" w:rsidRDefault="00594930" w:rsidP="00594930">
      <w:pPr>
        <w:rPr>
          <w:rFonts w:cs="Arial"/>
          <w:sz w:val="18"/>
          <w:szCs w:val="18"/>
        </w:rPr>
      </w:pPr>
      <w:r w:rsidRPr="00E32F68">
        <w:rPr>
          <w:rFonts w:cs="Arial"/>
          <w:sz w:val="18"/>
          <w:szCs w:val="18"/>
        </w:rPr>
        <w:t>WT-4 Mieszanki niezwiązane do dróg krajowych 2010, Warszawa 2010</w:t>
      </w:r>
    </w:p>
    <w:p w:rsidR="00594930" w:rsidRPr="00A110DE" w:rsidRDefault="00594930" w:rsidP="00594930">
      <w:pPr>
        <w:pStyle w:val="Nagwek2"/>
        <w:numPr>
          <w:ilvl w:val="1"/>
          <w:numId w:val="0"/>
        </w:numPr>
        <w:tabs>
          <w:tab w:val="num" w:pos="567"/>
        </w:tabs>
        <w:spacing w:before="0" w:after="0"/>
        <w:ind w:left="907" w:hanging="907"/>
      </w:pPr>
      <w:r>
        <w:t xml:space="preserve">10.3. </w:t>
      </w:r>
      <w:r w:rsidRPr="00A110DE">
        <w:t>Inne materiały</w:t>
      </w:r>
    </w:p>
    <w:p w:rsidR="00A67038" w:rsidRDefault="00594930" w:rsidP="00594930">
      <w:r w:rsidRPr="00A110DE">
        <w:rPr>
          <w:rFonts w:cs="Arial"/>
          <w:sz w:val="18"/>
          <w:szCs w:val="18"/>
        </w:rPr>
        <w:t xml:space="preserve">Katalog powtarzalnych elementów drogowych (KPED), </w:t>
      </w:r>
      <w:proofErr w:type="spellStart"/>
      <w:r w:rsidRPr="00A110DE">
        <w:rPr>
          <w:rFonts w:cs="Arial"/>
          <w:sz w:val="18"/>
          <w:szCs w:val="18"/>
        </w:rPr>
        <w:t>Transprojekt</w:t>
      </w:r>
      <w:proofErr w:type="spellEnd"/>
      <w:r w:rsidRPr="00A110DE">
        <w:rPr>
          <w:rFonts w:cs="Arial"/>
          <w:sz w:val="18"/>
          <w:szCs w:val="18"/>
        </w:rPr>
        <w:t>-Warszawa, 1979.</w:t>
      </w:r>
      <w:bookmarkStart w:id="1" w:name="_GoBack"/>
      <w:bookmarkEnd w:id="1"/>
    </w:p>
    <w:sectPr w:rsidR="00A67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452A0DA"/>
    <w:lvl w:ilvl="0">
      <w:numFmt w:val="decimal"/>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571"/>
        </w:tabs>
        <w:ind w:left="571" w:hanging="283"/>
      </w:pPr>
    </w:lvl>
  </w:abstractNum>
  <w:abstractNum w:abstractNumId="2" w15:restartNumberingAfterBreak="0">
    <w:nsid w:val="19C316A0"/>
    <w:multiLevelType w:val="hybridMultilevel"/>
    <w:tmpl w:val="6E84438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78F93D2F"/>
    <w:multiLevelType w:val="hybridMultilevel"/>
    <w:tmpl w:val="F5BA9838"/>
    <w:lvl w:ilvl="0" w:tplc="30720FD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30"/>
    <w:rsid w:val="00280ACB"/>
    <w:rsid w:val="00487E2D"/>
    <w:rsid w:val="00594930"/>
    <w:rsid w:val="007C2CBC"/>
    <w:rsid w:val="00974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1844A-BC3B-4D05-8644-9AA5722E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930"/>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Title 11,Title 12,Title 13,Title 14,Title 15,Title 16,Title 17,Title 18,Title 19,Title 110,Title 111,Title 112,Title 113,Title 114,Title 115,Title 116,Title 117,Title 118,Title 121,Title 131,Title 141,Title 151,Title 161,Title 171, Zn"/>
    <w:basedOn w:val="Normalny"/>
    <w:next w:val="Normalny"/>
    <w:link w:val="Nagwek1Znak"/>
    <w:qFormat/>
    <w:rsid w:val="00594930"/>
    <w:pPr>
      <w:keepNext/>
      <w:keepLines/>
      <w:suppressAutoHyphens/>
      <w:overflowPunct w:val="0"/>
      <w:autoSpaceDE w:val="0"/>
      <w:autoSpaceDN w:val="0"/>
      <w:adjustRightInd w:val="0"/>
      <w:spacing w:before="240" w:after="120"/>
      <w:jc w:val="both"/>
      <w:textAlignment w:val="baseline"/>
      <w:outlineLvl w:val="0"/>
    </w:pPr>
    <w:rPr>
      <w:b/>
      <w:caps/>
      <w:kern w:val="28"/>
      <w:lang w:val="x-none" w:eastAsia="x-none"/>
    </w:rPr>
  </w:style>
  <w:style w:type="paragraph" w:styleId="Nagwek2">
    <w:name w:val="heading 2"/>
    <w:aliases w:val="Title 2,Title 21,Title 22,Title 23,Title 24,Title 25,Title 26,Title 27,Title 28,Title 211,Title 221,Title 231,Title 241,Title 251,Title 261,Title 29,Title 212,Title 222,Title 232,Title 242,Title 252,Title 262,Title 210,Title 213,Title 223,h 3"/>
    <w:basedOn w:val="Normalny"/>
    <w:next w:val="Normalny"/>
    <w:link w:val="Nagwek2Znak"/>
    <w:qFormat/>
    <w:rsid w:val="00594930"/>
    <w:pPr>
      <w:keepNext/>
      <w:overflowPunct w:val="0"/>
      <w:autoSpaceDE w:val="0"/>
      <w:autoSpaceDN w:val="0"/>
      <w:adjustRightInd w:val="0"/>
      <w:spacing w:before="120" w:after="120"/>
      <w:jc w:val="both"/>
      <w:textAlignment w:val="baseline"/>
      <w:outlineLvl w:val="1"/>
    </w:pPr>
    <w:rPr>
      <w:b/>
      <w:lang w:val="x-none" w:eastAsia="x-none"/>
    </w:rPr>
  </w:style>
  <w:style w:type="paragraph" w:styleId="Nagwek3">
    <w:name w:val="heading 3"/>
    <w:aliases w:val="Title 3, Znak5,Znak5,Podtytuł2"/>
    <w:basedOn w:val="Normalny"/>
    <w:next w:val="Normalny"/>
    <w:link w:val="Nagwek3Znak"/>
    <w:uiPriority w:val="9"/>
    <w:qFormat/>
    <w:rsid w:val="00594930"/>
    <w:pPr>
      <w:keepNext/>
      <w:spacing w:after="120"/>
      <w:outlineLvl w:val="2"/>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Title 11 Znak,Title 12 Znak,Title 13 Znak,Title 14 Znak,Title 15 Znak,Title 16 Znak,Title 17 Znak,Title 18 Znak,Title 19 Znak,Title 110 Znak,Title 111 Znak,Title 112 Znak,Title 113 Znak,Title 114 Znak,Title 115 Znak, Zn Znak"/>
    <w:basedOn w:val="Domylnaczcionkaakapitu"/>
    <w:link w:val="Nagwek1"/>
    <w:rsid w:val="00594930"/>
    <w:rPr>
      <w:rFonts w:ascii="Times New Roman" w:eastAsia="Times New Roman" w:hAnsi="Times New Roman" w:cs="Times New Roman"/>
      <w:b/>
      <w:caps/>
      <w:kern w:val="28"/>
      <w:sz w:val="20"/>
      <w:szCs w:val="20"/>
      <w:lang w:val="x-none" w:eastAsia="x-none"/>
    </w:rPr>
  </w:style>
  <w:style w:type="character" w:customStyle="1" w:styleId="Nagwek2Znak">
    <w:name w:val="Nagłówek 2 Znak"/>
    <w:aliases w:val="Title 2 Znak,Title 21 Znak,Title 22 Znak,Title 23 Znak,Title 24 Znak,Title 25 Znak,Title 26 Znak,Title 27 Znak,Title 28 Znak,Title 211 Znak,Title 221 Znak,Title 231 Znak,Title 241 Znak,Title 251 Znak,Title 261 Znak,Title 29 Znak,h 3 Znak"/>
    <w:basedOn w:val="Domylnaczcionkaakapitu"/>
    <w:link w:val="Nagwek2"/>
    <w:rsid w:val="00594930"/>
    <w:rPr>
      <w:rFonts w:ascii="Times New Roman" w:eastAsia="Times New Roman" w:hAnsi="Times New Roman" w:cs="Times New Roman"/>
      <w:b/>
      <w:sz w:val="20"/>
      <w:szCs w:val="20"/>
      <w:lang w:val="x-none" w:eastAsia="x-none"/>
    </w:rPr>
  </w:style>
  <w:style w:type="character" w:customStyle="1" w:styleId="Nagwek3Znak">
    <w:name w:val="Nagłówek 3 Znak"/>
    <w:aliases w:val="Title 3 Znak, Znak5 Znak,Znak5 Znak,Podtytuł2 Znak"/>
    <w:basedOn w:val="Domylnaczcionkaakapitu"/>
    <w:link w:val="Nagwek3"/>
    <w:uiPriority w:val="9"/>
    <w:rsid w:val="00594930"/>
    <w:rPr>
      <w:rFonts w:ascii="Times New Roman" w:eastAsia="Times New Roman" w:hAnsi="Times New Roman" w:cs="Times New Roman"/>
      <w:sz w:val="24"/>
      <w:szCs w:val="20"/>
      <w:lang w:val="x-none" w:eastAsia="x-none"/>
    </w:rPr>
  </w:style>
  <w:style w:type="paragraph" w:customStyle="1" w:styleId="Standardowytekst">
    <w:name w:val="Standardowy.tekst"/>
    <w:link w:val="StandardowytekstZnak"/>
    <w:rsid w:val="005949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ost">
    <w:name w:val="tekst ost"/>
    <w:basedOn w:val="Normalny"/>
    <w:link w:val="tekstostZnak"/>
    <w:rsid w:val="00594930"/>
    <w:pPr>
      <w:overflowPunct w:val="0"/>
      <w:autoSpaceDE w:val="0"/>
      <w:autoSpaceDN w:val="0"/>
      <w:adjustRightInd w:val="0"/>
      <w:jc w:val="both"/>
      <w:textAlignment w:val="baseline"/>
    </w:pPr>
  </w:style>
  <w:style w:type="character" w:customStyle="1" w:styleId="tekstostZnak">
    <w:name w:val="tekst ost Znak"/>
    <w:basedOn w:val="Domylnaczcionkaakapitu"/>
    <w:link w:val="tekstost"/>
    <w:rsid w:val="00594930"/>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locked/>
    <w:rsid w:val="00594930"/>
    <w:rPr>
      <w:rFonts w:ascii="Times New Roman" w:eastAsia="Times New Roman" w:hAnsi="Times New Roman" w:cs="Times New Roman"/>
      <w:sz w:val="20"/>
      <w:szCs w:val="20"/>
      <w:lang w:eastAsia="pl-PL"/>
    </w:rPr>
  </w:style>
  <w:style w:type="character" w:customStyle="1" w:styleId="Teksttreci">
    <w:name w:val="Tekst treści"/>
    <w:link w:val="Teksttreci1"/>
    <w:rsid w:val="00594930"/>
    <w:rPr>
      <w:rFonts w:ascii="Tahoma" w:hAnsi="Tahoma"/>
    </w:rPr>
  </w:style>
  <w:style w:type="character" w:customStyle="1" w:styleId="Teksttreci4">
    <w:name w:val="Tekst treści (4)"/>
    <w:link w:val="Teksttreci41"/>
    <w:rsid w:val="00594930"/>
    <w:rPr>
      <w:rFonts w:ascii="Tahoma" w:hAnsi="Tahoma"/>
    </w:rPr>
  </w:style>
  <w:style w:type="character" w:customStyle="1" w:styleId="Teksttreci8">
    <w:name w:val="Tekst treści (8)"/>
    <w:link w:val="Teksttreci81"/>
    <w:rsid w:val="00594930"/>
    <w:rPr>
      <w:rFonts w:ascii="Tahoma" w:hAnsi="Tahoma"/>
      <w:i/>
      <w:iCs/>
    </w:rPr>
  </w:style>
  <w:style w:type="character" w:customStyle="1" w:styleId="Teksttreci18">
    <w:name w:val="Tekst treści (18)"/>
    <w:link w:val="Teksttreci181"/>
    <w:rsid w:val="00594930"/>
    <w:rPr>
      <w:rFonts w:ascii="Tahoma" w:hAnsi="Tahoma"/>
      <w:noProof/>
    </w:rPr>
  </w:style>
  <w:style w:type="paragraph" w:customStyle="1" w:styleId="Teksttreci1">
    <w:name w:val="Tekst treści1"/>
    <w:basedOn w:val="Normalny"/>
    <w:link w:val="Teksttreci"/>
    <w:rsid w:val="00594930"/>
    <w:pPr>
      <w:spacing w:after="120" w:line="235" w:lineRule="exact"/>
      <w:ind w:firstLine="660"/>
      <w:jc w:val="both"/>
    </w:pPr>
    <w:rPr>
      <w:rFonts w:ascii="Tahoma" w:eastAsiaTheme="minorHAnsi" w:hAnsi="Tahoma" w:cstheme="minorBidi"/>
      <w:sz w:val="22"/>
      <w:szCs w:val="22"/>
      <w:lang w:eastAsia="en-US"/>
    </w:rPr>
  </w:style>
  <w:style w:type="paragraph" w:customStyle="1" w:styleId="Teksttreci41">
    <w:name w:val="Tekst treści (4)1"/>
    <w:basedOn w:val="Normalny"/>
    <w:link w:val="Teksttreci4"/>
    <w:rsid w:val="00594930"/>
    <w:pPr>
      <w:spacing w:line="235" w:lineRule="exact"/>
    </w:pPr>
    <w:rPr>
      <w:rFonts w:ascii="Tahoma" w:eastAsiaTheme="minorHAnsi" w:hAnsi="Tahoma" w:cstheme="minorBidi"/>
      <w:sz w:val="22"/>
      <w:szCs w:val="22"/>
      <w:lang w:eastAsia="en-US"/>
    </w:rPr>
  </w:style>
  <w:style w:type="paragraph" w:customStyle="1" w:styleId="Teksttreci81">
    <w:name w:val="Tekst treści (8)1"/>
    <w:basedOn w:val="Normalny"/>
    <w:link w:val="Teksttreci8"/>
    <w:rsid w:val="00594930"/>
    <w:pPr>
      <w:spacing w:line="240" w:lineRule="atLeast"/>
    </w:pPr>
    <w:rPr>
      <w:rFonts w:ascii="Tahoma" w:eastAsiaTheme="minorHAnsi" w:hAnsi="Tahoma" w:cstheme="minorBidi"/>
      <w:i/>
      <w:iCs/>
      <w:sz w:val="22"/>
      <w:szCs w:val="22"/>
      <w:lang w:eastAsia="en-US"/>
    </w:rPr>
  </w:style>
  <w:style w:type="paragraph" w:customStyle="1" w:styleId="Teksttreci181">
    <w:name w:val="Tekst treści (18)1"/>
    <w:basedOn w:val="Normalny"/>
    <w:link w:val="Teksttreci18"/>
    <w:rsid w:val="00594930"/>
    <w:pPr>
      <w:spacing w:line="240" w:lineRule="atLeast"/>
    </w:pPr>
    <w:rPr>
      <w:rFonts w:ascii="Tahoma" w:eastAsiaTheme="minorHAnsi" w:hAnsi="Tahoma"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2332</Words>
  <Characters>13995</Characters>
  <Application>Microsoft Office Word</Application>
  <DocSecurity>0</DocSecurity>
  <Lines>116</Lines>
  <Paragraphs>32</Paragraphs>
  <ScaleCrop>false</ScaleCrop>
  <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Nieczypor</dc:creator>
  <cp:keywords/>
  <dc:description/>
  <cp:lastModifiedBy>Robert Malorny</cp:lastModifiedBy>
  <cp:revision>4</cp:revision>
  <dcterms:created xsi:type="dcterms:W3CDTF">2019-03-01T12:29:00Z</dcterms:created>
  <dcterms:modified xsi:type="dcterms:W3CDTF">2019-03-05T12:57:00Z</dcterms:modified>
</cp:coreProperties>
</file>