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C2" w:rsidRPr="00994FC2" w:rsidRDefault="00994FC2" w:rsidP="00994FC2">
      <w:pPr>
        <w:spacing w:after="0" w:line="312" w:lineRule="auto"/>
        <w:jc w:val="right"/>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Białystok, dnia </w:t>
      </w:r>
      <w:r w:rsidR="00CD4BC5">
        <w:rPr>
          <w:rFonts w:ascii="Times New Roman" w:eastAsia="Calibri" w:hAnsi="Times New Roman" w:cs="Times New Roman"/>
          <w:sz w:val="24"/>
          <w:szCs w:val="24"/>
        </w:rPr>
        <w:t>02.12</w:t>
      </w:r>
      <w:r w:rsidRPr="00994FC2">
        <w:rPr>
          <w:rFonts w:ascii="Times New Roman" w:eastAsia="Calibri" w:hAnsi="Times New Roman" w:cs="Times New Roman"/>
          <w:sz w:val="24"/>
          <w:szCs w:val="24"/>
        </w:rPr>
        <w:t>.2021 r.</w:t>
      </w:r>
    </w:p>
    <w:p w:rsidR="00994FC2" w:rsidRP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spacing w:after="0" w:line="312" w:lineRule="auto"/>
        <w:jc w:val="center"/>
        <w:rPr>
          <w:rFonts w:ascii="Times New Roman" w:eastAsia="Calibri" w:hAnsi="Times New Roman" w:cs="Times New Roman"/>
          <w:b/>
          <w:bCs/>
          <w:sz w:val="24"/>
          <w:szCs w:val="24"/>
        </w:rPr>
      </w:pPr>
      <w:r w:rsidRPr="00994FC2">
        <w:rPr>
          <w:rFonts w:ascii="Times New Roman" w:eastAsia="Calibri" w:hAnsi="Times New Roman" w:cs="Times New Roman"/>
          <w:b/>
          <w:bCs/>
          <w:sz w:val="24"/>
          <w:szCs w:val="24"/>
        </w:rPr>
        <w:t>SPECYFIKACJA WARUNKÓW ZAMÓWIENIA</w:t>
      </w:r>
    </w:p>
    <w:p w:rsidR="00994FC2" w:rsidRPr="00994FC2" w:rsidRDefault="00994FC2" w:rsidP="00994FC2">
      <w:pPr>
        <w:spacing w:after="0" w:line="312" w:lineRule="auto"/>
        <w:jc w:val="center"/>
        <w:rPr>
          <w:rFonts w:ascii="Times New Roman" w:eastAsia="Calibri" w:hAnsi="Times New Roman" w:cs="Times New Roman"/>
          <w:sz w:val="24"/>
          <w:szCs w:val="24"/>
        </w:rPr>
      </w:pPr>
    </w:p>
    <w:p w:rsidR="00994FC2" w:rsidRPr="00994FC2" w:rsidRDefault="00994FC2" w:rsidP="00994FC2">
      <w:pPr>
        <w:spacing w:after="0" w:line="312" w:lineRule="auto"/>
        <w:ind w:left="993" w:hanging="993"/>
        <w:jc w:val="center"/>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w postępowaniu </w:t>
      </w:r>
      <w:bookmarkStart w:id="0" w:name="_Hlk75622940"/>
      <w:r w:rsidRPr="00994FC2">
        <w:rPr>
          <w:rFonts w:ascii="Times New Roman" w:eastAsia="Calibri" w:hAnsi="Times New Roman" w:cs="Times New Roman"/>
          <w:sz w:val="24"/>
          <w:szCs w:val="24"/>
        </w:rPr>
        <w:t>prowadzonym w trybie przetargu nieograniczonego na:</w:t>
      </w:r>
    </w:p>
    <w:p w:rsidR="00994FC2" w:rsidRPr="00994FC2" w:rsidRDefault="00994FC2" w:rsidP="00994FC2">
      <w:pPr>
        <w:spacing w:after="0" w:line="312" w:lineRule="auto"/>
        <w:ind w:left="993" w:hanging="993"/>
        <w:jc w:val="center"/>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 „</w:t>
      </w:r>
      <w:r w:rsidRPr="00994FC2">
        <w:rPr>
          <w:rFonts w:ascii="Times New Roman" w:eastAsia="Calibri" w:hAnsi="Times New Roman" w:cs="Times New Roman"/>
          <w:i/>
          <w:iCs/>
          <w:sz w:val="24"/>
          <w:szCs w:val="24"/>
        </w:rPr>
        <w:t>Dostawę stacji roboczych z zakresu informatyki śledczej oraz przeprowadzenie szkoleń</w:t>
      </w:r>
      <w:r w:rsidRPr="00994FC2">
        <w:rPr>
          <w:rFonts w:ascii="Times New Roman" w:eastAsia="Calibri" w:hAnsi="Times New Roman" w:cs="Times New Roman"/>
          <w:sz w:val="24"/>
          <w:szCs w:val="24"/>
        </w:rPr>
        <w:t xml:space="preserve">” </w:t>
      </w:r>
    </w:p>
    <w:p w:rsidR="00994FC2" w:rsidRPr="00994FC2" w:rsidRDefault="00994FC2" w:rsidP="00994FC2">
      <w:pPr>
        <w:spacing w:after="0" w:line="312" w:lineRule="auto"/>
        <w:jc w:val="center"/>
        <w:rPr>
          <w:rFonts w:ascii="Times New Roman" w:eastAsia="Calibri" w:hAnsi="Times New Roman" w:cs="Times New Roman"/>
          <w:sz w:val="24"/>
          <w:szCs w:val="24"/>
        </w:rPr>
      </w:pPr>
      <w:r w:rsidRPr="00994FC2">
        <w:rPr>
          <w:rFonts w:ascii="Times New Roman" w:eastAsia="Calibri" w:hAnsi="Times New Roman" w:cs="Times New Roman"/>
          <w:sz w:val="24"/>
          <w:szCs w:val="24"/>
        </w:rPr>
        <w:t>w ramach realizacji Projektu pn. „</w:t>
      </w:r>
      <w:proofErr w:type="spellStart"/>
      <w:r w:rsidRPr="00994FC2">
        <w:rPr>
          <w:rFonts w:ascii="Times New Roman" w:eastAsia="Calibri" w:hAnsi="Times New Roman" w:cs="Times New Roman"/>
          <w:i/>
          <w:iCs/>
          <w:sz w:val="24"/>
          <w:szCs w:val="24"/>
        </w:rPr>
        <w:t>Providing</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technical</w:t>
      </w:r>
      <w:proofErr w:type="spellEnd"/>
      <w:r w:rsidRPr="00994FC2">
        <w:rPr>
          <w:rFonts w:ascii="Times New Roman" w:eastAsia="Calibri" w:hAnsi="Times New Roman" w:cs="Times New Roman"/>
          <w:i/>
          <w:iCs/>
          <w:sz w:val="24"/>
          <w:szCs w:val="24"/>
        </w:rPr>
        <w:t xml:space="preserve"> and </w:t>
      </w:r>
      <w:proofErr w:type="spellStart"/>
      <w:r w:rsidRPr="00994FC2">
        <w:rPr>
          <w:rFonts w:ascii="Times New Roman" w:eastAsia="Calibri" w:hAnsi="Times New Roman" w:cs="Times New Roman"/>
          <w:i/>
          <w:iCs/>
          <w:sz w:val="24"/>
          <w:szCs w:val="24"/>
        </w:rPr>
        <w:t>operational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support</w:t>
      </w:r>
      <w:proofErr w:type="spellEnd"/>
      <w:r w:rsidRPr="00994FC2">
        <w:rPr>
          <w:rFonts w:ascii="Times New Roman" w:eastAsia="Calibri" w:hAnsi="Times New Roman" w:cs="Times New Roman"/>
          <w:i/>
          <w:iCs/>
          <w:sz w:val="24"/>
          <w:szCs w:val="24"/>
        </w:rPr>
        <w:t xml:space="preserve"> in the proces of </w:t>
      </w:r>
      <w:proofErr w:type="spellStart"/>
      <w:r w:rsidRPr="00994FC2">
        <w:rPr>
          <w:rFonts w:ascii="Times New Roman" w:eastAsia="Calibri" w:hAnsi="Times New Roman" w:cs="Times New Roman"/>
          <w:i/>
          <w:iCs/>
          <w:sz w:val="24"/>
          <w:szCs w:val="24"/>
        </w:rPr>
        <w:t>obtaining</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digital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material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evidence</w:t>
      </w:r>
      <w:proofErr w:type="spellEnd"/>
      <w:r w:rsidRPr="00994FC2">
        <w:rPr>
          <w:rFonts w:ascii="Times New Roman" w:eastAsia="Calibri" w:hAnsi="Times New Roman" w:cs="Times New Roman"/>
          <w:i/>
          <w:iCs/>
          <w:sz w:val="24"/>
          <w:szCs w:val="24"/>
        </w:rPr>
        <w:t xml:space="preserve"> in </w:t>
      </w:r>
      <w:proofErr w:type="spellStart"/>
      <w:r w:rsidRPr="00994FC2">
        <w:rPr>
          <w:rFonts w:ascii="Times New Roman" w:eastAsia="Calibri" w:hAnsi="Times New Roman" w:cs="Times New Roman"/>
          <w:i/>
          <w:iCs/>
          <w:sz w:val="24"/>
          <w:szCs w:val="24"/>
        </w:rPr>
        <w:t>proceedings</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against</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illegal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acts</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aimed</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towards</w:t>
      </w:r>
      <w:proofErr w:type="spellEnd"/>
      <w:r w:rsidRPr="00994FC2">
        <w:rPr>
          <w:rFonts w:ascii="Times New Roman" w:eastAsia="Calibri" w:hAnsi="Times New Roman" w:cs="Times New Roman"/>
          <w:i/>
          <w:iCs/>
          <w:sz w:val="24"/>
          <w:szCs w:val="24"/>
        </w:rPr>
        <w:t xml:space="preserve"> the </w:t>
      </w:r>
      <w:proofErr w:type="spellStart"/>
      <w:r w:rsidRPr="00994FC2">
        <w:rPr>
          <w:rFonts w:ascii="Times New Roman" w:eastAsia="Calibri" w:hAnsi="Times New Roman" w:cs="Times New Roman"/>
          <w:i/>
          <w:iCs/>
          <w:sz w:val="24"/>
          <w:szCs w:val="24"/>
        </w:rPr>
        <w:t>financial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interests</w:t>
      </w:r>
      <w:proofErr w:type="spellEnd"/>
      <w:r w:rsidRPr="00994FC2">
        <w:rPr>
          <w:rFonts w:ascii="Times New Roman" w:eastAsia="Calibri" w:hAnsi="Times New Roman" w:cs="Times New Roman"/>
          <w:i/>
          <w:iCs/>
          <w:sz w:val="24"/>
          <w:szCs w:val="24"/>
        </w:rPr>
        <w:t xml:space="preserve"> of the </w:t>
      </w:r>
      <w:proofErr w:type="spellStart"/>
      <w:r w:rsidRPr="00994FC2">
        <w:rPr>
          <w:rFonts w:ascii="Times New Roman" w:eastAsia="Calibri" w:hAnsi="Times New Roman" w:cs="Times New Roman"/>
          <w:i/>
          <w:iCs/>
          <w:sz w:val="24"/>
          <w:szCs w:val="24"/>
        </w:rPr>
        <w:t>European</w:t>
      </w:r>
      <w:proofErr w:type="spellEnd"/>
      <w:r w:rsidRPr="00994FC2">
        <w:rPr>
          <w:rFonts w:ascii="Times New Roman" w:eastAsia="Calibri" w:hAnsi="Times New Roman" w:cs="Times New Roman"/>
          <w:i/>
          <w:iCs/>
          <w:sz w:val="24"/>
          <w:szCs w:val="24"/>
        </w:rPr>
        <w:t xml:space="preserve"> Union</w:t>
      </w:r>
      <w:r w:rsidRPr="00994FC2">
        <w:rPr>
          <w:rFonts w:ascii="Times New Roman" w:eastAsia="Calibri" w:hAnsi="Times New Roman" w:cs="Times New Roman"/>
          <w:sz w:val="24"/>
          <w:szCs w:val="24"/>
        </w:rPr>
        <w:t>” („</w:t>
      </w:r>
      <w:bookmarkStart w:id="1" w:name="_Hlk77840159"/>
      <w:r w:rsidRPr="00994FC2">
        <w:rPr>
          <w:rFonts w:ascii="Times New Roman" w:eastAsia="Calibri" w:hAnsi="Times New Roman" w:cs="Times New Roman"/>
          <w:i/>
          <w:iCs/>
          <w:sz w:val="24"/>
          <w:szCs w:val="24"/>
        </w:rPr>
        <w:t>Wsparcie techniczne i operacyjne w procesie pozyskiwania materiału dowodowego w postaci cyfrowej w sprawach zwalczania nadużyć naruszających interesy finansowe Unii Europejskiej</w:t>
      </w:r>
      <w:bookmarkEnd w:id="1"/>
      <w:r w:rsidRPr="00994FC2">
        <w:rPr>
          <w:rFonts w:ascii="Times New Roman" w:eastAsia="Calibri" w:hAnsi="Times New Roman" w:cs="Times New Roman"/>
          <w:sz w:val="24"/>
          <w:szCs w:val="24"/>
        </w:rPr>
        <w:t>”)</w:t>
      </w:r>
    </w:p>
    <w:p w:rsidR="00994FC2" w:rsidRPr="00994FC2" w:rsidRDefault="00994FC2" w:rsidP="00994FC2">
      <w:pPr>
        <w:spacing w:after="0" w:line="312" w:lineRule="auto"/>
        <w:jc w:val="center"/>
        <w:rPr>
          <w:rFonts w:ascii="Times New Roman" w:eastAsia="Calibri" w:hAnsi="Times New Roman" w:cs="Times New Roman"/>
          <w:i/>
          <w:iCs/>
          <w:sz w:val="24"/>
          <w:szCs w:val="24"/>
        </w:rPr>
      </w:pPr>
      <w:bookmarkStart w:id="2" w:name="_Hlk75594067"/>
      <w:r w:rsidRPr="00994FC2">
        <w:rPr>
          <w:rFonts w:ascii="Times New Roman" w:eastAsia="Calibri" w:hAnsi="Times New Roman" w:cs="Times New Roman"/>
          <w:sz w:val="24"/>
          <w:szCs w:val="24"/>
        </w:rPr>
        <w:t xml:space="preserve">finansowanego z Programu Unii Europejskiej </w:t>
      </w:r>
      <w:proofErr w:type="spellStart"/>
      <w:r w:rsidRPr="00994FC2">
        <w:rPr>
          <w:rFonts w:ascii="Times New Roman" w:eastAsia="Calibri" w:hAnsi="Times New Roman" w:cs="Times New Roman"/>
          <w:sz w:val="24"/>
          <w:szCs w:val="24"/>
        </w:rPr>
        <w:t>Hercule</w:t>
      </w:r>
      <w:proofErr w:type="spellEnd"/>
      <w:r w:rsidRPr="00994FC2">
        <w:rPr>
          <w:rFonts w:ascii="Times New Roman" w:eastAsia="Calibri" w:hAnsi="Times New Roman" w:cs="Times New Roman"/>
          <w:sz w:val="24"/>
          <w:szCs w:val="24"/>
        </w:rPr>
        <w:t xml:space="preserve"> III </w:t>
      </w:r>
    </w:p>
    <w:bookmarkEnd w:id="0"/>
    <w:bookmarkEnd w:id="2"/>
    <w:p w:rsidR="00994FC2" w:rsidRPr="00994FC2" w:rsidRDefault="00994FC2" w:rsidP="00994FC2">
      <w:pPr>
        <w:spacing w:after="0" w:line="312" w:lineRule="auto"/>
        <w:ind w:left="993" w:hanging="993"/>
        <w:jc w:val="center"/>
        <w:rPr>
          <w:rFonts w:ascii="Times New Roman" w:eastAsia="Calibri" w:hAnsi="Times New Roman" w:cs="Times New Roman"/>
          <w:sz w:val="24"/>
          <w:szCs w:val="24"/>
        </w:rPr>
      </w:pPr>
      <w:r w:rsidRPr="00994FC2">
        <w:rPr>
          <w:rFonts w:ascii="Times New Roman" w:eastAsia="Calibri" w:hAnsi="Times New Roman" w:cs="Times New Roman"/>
          <w:i/>
          <w:iCs/>
          <w:sz w:val="24"/>
          <w:szCs w:val="24"/>
        </w:rPr>
        <w:t>Nr postępowania</w:t>
      </w:r>
      <w:r w:rsidRPr="00994FC2">
        <w:rPr>
          <w:rFonts w:ascii="Times New Roman" w:eastAsia="Calibri" w:hAnsi="Times New Roman" w:cs="Times New Roman"/>
          <w:sz w:val="24"/>
          <w:szCs w:val="24"/>
        </w:rPr>
        <w:t>: 46/L/21</w:t>
      </w:r>
    </w:p>
    <w:p w:rsidR="00994FC2" w:rsidRP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spacing w:after="0" w:line="312"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___________________________________________________________________________</w:t>
      </w:r>
    </w:p>
    <w:p w:rsidR="00994FC2" w:rsidRPr="00994FC2" w:rsidRDefault="00994FC2" w:rsidP="00994FC2">
      <w:pPr>
        <w:spacing w:after="0" w:line="312"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Komenda Wojewódzka Policji w Białymstoku, zwana dalej Zamawiającym, zaprasza do wzięcia udziału w postępowaniu prowadzonym w trybie przetargu nieograniczonego na „</w:t>
      </w:r>
      <w:r w:rsidRPr="00994FC2">
        <w:rPr>
          <w:rFonts w:ascii="Times New Roman" w:eastAsia="Calibri" w:hAnsi="Times New Roman" w:cs="Times New Roman"/>
          <w:i/>
          <w:iCs/>
          <w:sz w:val="24"/>
          <w:szCs w:val="24"/>
        </w:rPr>
        <w:t xml:space="preserve">Dostawę stacji roboczych z zakresu informatyki śledczej oraz przeprowadzenie szkoleń </w:t>
      </w:r>
      <w:r w:rsidRPr="00994FC2">
        <w:rPr>
          <w:rFonts w:ascii="Times New Roman" w:eastAsia="Calibri" w:hAnsi="Times New Roman" w:cs="Times New Roman"/>
          <w:sz w:val="24"/>
          <w:szCs w:val="24"/>
        </w:rPr>
        <w:t xml:space="preserve">”, nr postępowania </w:t>
      </w:r>
      <w:r w:rsidR="00D76136">
        <w:rPr>
          <w:rFonts w:ascii="Times New Roman" w:eastAsia="Calibri" w:hAnsi="Times New Roman" w:cs="Times New Roman"/>
          <w:sz w:val="24"/>
          <w:szCs w:val="24"/>
        </w:rPr>
        <w:t>46</w:t>
      </w:r>
      <w:r w:rsidRPr="00994FC2">
        <w:rPr>
          <w:rFonts w:ascii="Times New Roman" w:eastAsia="Calibri" w:hAnsi="Times New Roman" w:cs="Times New Roman"/>
          <w:sz w:val="24"/>
          <w:szCs w:val="24"/>
        </w:rPr>
        <w:t>/L/21 w ramach realizacji Projektu pn. „</w:t>
      </w:r>
      <w:bookmarkStart w:id="3" w:name="_Hlk74813020"/>
      <w:proofErr w:type="spellStart"/>
      <w:r w:rsidRPr="00994FC2">
        <w:rPr>
          <w:rFonts w:ascii="Times New Roman" w:eastAsia="Calibri" w:hAnsi="Times New Roman" w:cs="Times New Roman"/>
          <w:i/>
          <w:iCs/>
          <w:sz w:val="24"/>
          <w:szCs w:val="24"/>
        </w:rPr>
        <w:t>Providing</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technical</w:t>
      </w:r>
      <w:proofErr w:type="spellEnd"/>
      <w:r w:rsidRPr="00994FC2">
        <w:rPr>
          <w:rFonts w:ascii="Times New Roman" w:eastAsia="Calibri" w:hAnsi="Times New Roman" w:cs="Times New Roman"/>
          <w:i/>
          <w:iCs/>
          <w:sz w:val="24"/>
          <w:szCs w:val="24"/>
        </w:rPr>
        <w:t xml:space="preserve"> and </w:t>
      </w:r>
      <w:proofErr w:type="spellStart"/>
      <w:r w:rsidRPr="00994FC2">
        <w:rPr>
          <w:rFonts w:ascii="Times New Roman" w:eastAsia="Calibri" w:hAnsi="Times New Roman" w:cs="Times New Roman"/>
          <w:i/>
          <w:iCs/>
          <w:sz w:val="24"/>
          <w:szCs w:val="24"/>
        </w:rPr>
        <w:t>operational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support</w:t>
      </w:r>
      <w:proofErr w:type="spellEnd"/>
      <w:r w:rsidRPr="00994FC2">
        <w:rPr>
          <w:rFonts w:ascii="Times New Roman" w:eastAsia="Calibri" w:hAnsi="Times New Roman" w:cs="Times New Roman"/>
          <w:i/>
          <w:iCs/>
          <w:sz w:val="24"/>
          <w:szCs w:val="24"/>
        </w:rPr>
        <w:t xml:space="preserve"> in the proces of </w:t>
      </w:r>
      <w:proofErr w:type="spellStart"/>
      <w:r w:rsidRPr="00994FC2">
        <w:rPr>
          <w:rFonts w:ascii="Times New Roman" w:eastAsia="Calibri" w:hAnsi="Times New Roman" w:cs="Times New Roman"/>
          <w:i/>
          <w:iCs/>
          <w:sz w:val="24"/>
          <w:szCs w:val="24"/>
        </w:rPr>
        <w:t>obtaining</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digital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material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evidence</w:t>
      </w:r>
      <w:proofErr w:type="spellEnd"/>
      <w:r w:rsidRPr="00994FC2">
        <w:rPr>
          <w:rFonts w:ascii="Times New Roman" w:eastAsia="Calibri" w:hAnsi="Times New Roman" w:cs="Times New Roman"/>
          <w:i/>
          <w:iCs/>
          <w:sz w:val="24"/>
          <w:szCs w:val="24"/>
        </w:rPr>
        <w:t xml:space="preserve"> in </w:t>
      </w:r>
      <w:proofErr w:type="spellStart"/>
      <w:r w:rsidRPr="00994FC2">
        <w:rPr>
          <w:rFonts w:ascii="Times New Roman" w:eastAsia="Calibri" w:hAnsi="Times New Roman" w:cs="Times New Roman"/>
          <w:i/>
          <w:iCs/>
          <w:sz w:val="24"/>
          <w:szCs w:val="24"/>
        </w:rPr>
        <w:t>proceedings</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against</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illegal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acts</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aimed</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towards</w:t>
      </w:r>
      <w:proofErr w:type="spellEnd"/>
      <w:r w:rsidRPr="00994FC2">
        <w:rPr>
          <w:rFonts w:ascii="Times New Roman" w:eastAsia="Calibri" w:hAnsi="Times New Roman" w:cs="Times New Roman"/>
          <w:i/>
          <w:iCs/>
          <w:sz w:val="24"/>
          <w:szCs w:val="24"/>
        </w:rPr>
        <w:t xml:space="preserve"> the </w:t>
      </w:r>
      <w:proofErr w:type="spellStart"/>
      <w:r w:rsidRPr="00994FC2">
        <w:rPr>
          <w:rFonts w:ascii="Times New Roman" w:eastAsia="Calibri" w:hAnsi="Times New Roman" w:cs="Times New Roman"/>
          <w:i/>
          <w:iCs/>
          <w:sz w:val="24"/>
          <w:szCs w:val="24"/>
        </w:rPr>
        <w:t>financial</w:t>
      </w:r>
      <w:proofErr w:type="spellEnd"/>
      <w:r w:rsidRPr="00994FC2">
        <w:rPr>
          <w:rFonts w:ascii="Times New Roman" w:eastAsia="Calibri" w:hAnsi="Times New Roman" w:cs="Times New Roman"/>
          <w:i/>
          <w:iCs/>
          <w:sz w:val="24"/>
          <w:szCs w:val="24"/>
        </w:rPr>
        <w:t xml:space="preserve"> </w:t>
      </w:r>
      <w:proofErr w:type="spellStart"/>
      <w:r w:rsidRPr="00994FC2">
        <w:rPr>
          <w:rFonts w:ascii="Times New Roman" w:eastAsia="Calibri" w:hAnsi="Times New Roman" w:cs="Times New Roman"/>
          <w:i/>
          <w:iCs/>
          <w:sz w:val="24"/>
          <w:szCs w:val="24"/>
        </w:rPr>
        <w:t>interests</w:t>
      </w:r>
      <w:proofErr w:type="spellEnd"/>
      <w:r w:rsidRPr="00994FC2">
        <w:rPr>
          <w:rFonts w:ascii="Times New Roman" w:eastAsia="Calibri" w:hAnsi="Times New Roman" w:cs="Times New Roman"/>
          <w:i/>
          <w:iCs/>
          <w:sz w:val="24"/>
          <w:szCs w:val="24"/>
        </w:rPr>
        <w:t xml:space="preserve"> of the </w:t>
      </w:r>
      <w:proofErr w:type="spellStart"/>
      <w:r w:rsidRPr="00994FC2">
        <w:rPr>
          <w:rFonts w:ascii="Times New Roman" w:eastAsia="Calibri" w:hAnsi="Times New Roman" w:cs="Times New Roman"/>
          <w:i/>
          <w:iCs/>
          <w:sz w:val="24"/>
          <w:szCs w:val="24"/>
        </w:rPr>
        <w:t>European</w:t>
      </w:r>
      <w:proofErr w:type="spellEnd"/>
      <w:r w:rsidRPr="00994FC2">
        <w:rPr>
          <w:rFonts w:ascii="Times New Roman" w:eastAsia="Calibri" w:hAnsi="Times New Roman" w:cs="Times New Roman"/>
          <w:i/>
          <w:iCs/>
          <w:sz w:val="24"/>
          <w:szCs w:val="24"/>
        </w:rPr>
        <w:t xml:space="preserve"> Union</w:t>
      </w:r>
      <w:r w:rsidRPr="00994FC2">
        <w:rPr>
          <w:rFonts w:ascii="Times New Roman" w:eastAsia="Calibri" w:hAnsi="Times New Roman" w:cs="Times New Roman"/>
          <w:sz w:val="24"/>
          <w:szCs w:val="24"/>
        </w:rPr>
        <w:t>” („</w:t>
      </w:r>
      <w:r w:rsidRPr="00994FC2">
        <w:rPr>
          <w:rFonts w:ascii="Times New Roman" w:eastAsia="Calibri" w:hAnsi="Times New Roman" w:cs="Times New Roman"/>
          <w:i/>
          <w:iCs/>
          <w:sz w:val="24"/>
          <w:szCs w:val="24"/>
        </w:rPr>
        <w:t>Wsparcie techniczne i operacyjne w procesie pozyskiwania materiału dowodowego w postaci cyfrowej w sprawach zwalczania nadużyć naruszających interesy finansowe Unii Europejskiej</w:t>
      </w:r>
      <w:r w:rsidRPr="00994FC2">
        <w:rPr>
          <w:rFonts w:ascii="Times New Roman" w:eastAsia="Calibri" w:hAnsi="Times New Roman" w:cs="Times New Roman"/>
          <w:sz w:val="24"/>
          <w:szCs w:val="24"/>
        </w:rPr>
        <w:t xml:space="preserve">”) finansowanego z Programu Unii Europejskiej </w:t>
      </w:r>
      <w:proofErr w:type="spellStart"/>
      <w:r w:rsidRPr="00994FC2">
        <w:rPr>
          <w:rFonts w:ascii="Times New Roman" w:eastAsia="Calibri" w:hAnsi="Times New Roman" w:cs="Times New Roman"/>
          <w:sz w:val="24"/>
          <w:szCs w:val="24"/>
        </w:rPr>
        <w:t>Hercule</w:t>
      </w:r>
      <w:proofErr w:type="spellEnd"/>
      <w:r w:rsidRPr="00994FC2">
        <w:rPr>
          <w:rFonts w:ascii="Times New Roman" w:eastAsia="Calibri" w:hAnsi="Times New Roman" w:cs="Times New Roman"/>
          <w:sz w:val="24"/>
          <w:szCs w:val="24"/>
        </w:rPr>
        <w:t xml:space="preserve"> III</w:t>
      </w:r>
      <w:bookmarkEnd w:id="3"/>
      <w:r w:rsidRPr="00994FC2">
        <w:rPr>
          <w:rFonts w:ascii="Times New Roman" w:eastAsia="Calibri" w:hAnsi="Times New Roman" w:cs="Times New Roman"/>
          <w:sz w:val="24"/>
          <w:szCs w:val="24"/>
        </w:rPr>
        <w:t>.</w:t>
      </w:r>
    </w:p>
    <w:p w:rsid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spacing w:after="0" w:line="312"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ab/>
        <w:t xml:space="preserve">Przedmiotowe postępowanie prowadzone jest przy użyciu środków komunikacji elektronicznej. Składanie ofert następuje za pośrednictwem platformy zakupowej dostępnej pod adresem internetowym: </w:t>
      </w:r>
      <w:hyperlink r:id="rId8" w:history="1">
        <w:r w:rsidRPr="00994FC2">
          <w:rPr>
            <w:rFonts w:ascii="Times New Roman" w:eastAsia="Calibri" w:hAnsi="Times New Roman" w:cs="Times New Roman"/>
            <w:color w:val="0000FF"/>
            <w:sz w:val="24"/>
            <w:szCs w:val="24"/>
            <w:u w:val="single"/>
          </w:rPr>
          <w:t>https://platformazakupowa.pl/pn/kwp_bialystok</w:t>
        </w:r>
      </w:hyperlink>
      <w:r w:rsidRPr="00994FC2">
        <w:rPr>
          <w:rFonts w:ascii="Times New Roman" w:eastAsia="Calibri" w:hAnsi="Times New Roman" w:cs="Times New Roman"/>
          <w:sz w:val="24"/>
          <w:szCs w:val="24"/>
        </w:rPr>
        <w:t xml:space="preserve"> </w:t>
      </w:r>
    </w:p>
    <w:p w:rsidR="00994FC2" w:rsidRP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spacing w:after="0" w:line="312"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NAZWA ORAZ ADRES ZAMAWIAJĄCEGO</w:t>
      </w:r>
    </w:p>
    <w:p w:rsidR="00994FC2" w:rsidRPr="00994FC2" w:rsidRDefault="00994FC2" w:rsidP="00994FC2">
      <w:pPr>
        <w:spacing w:after="0" w:line="312"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KOMENDA WOJEWÓDZKA POLICJI W BIAŁYMSTOKU</w:t>
      </w:r>
    </w:p>
    <w:p w:rsidR="00994FC2" w:rsidRPr="00994FC2" w:rsidRDefault="00994FC2" w:rsidP="00994FC2">
      <w:pPr>
        <w:spacing w:after="0" w:line="312" w:lineRule="auto"/>
        <w:ind w:left="426"/>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15-003 Białystok, ul. Sienkiewicza 65</w:t>
      </w:r>
    </w:p>
    <w:p w:rsidR="00994FC2" w:rsidRPr="00994FC2" w:rsidRDefault="00994FC2" w:rsidP="00994FC2">
      <w:pPr>
        <w:spacing w:after="0" w:line="312" w:lineRule="auto"/>
        <w:ind w:left="426"/>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NIP: 542-020-78-68, REGON: 050252820</w:t>
      </w:r>
    </w:p>
    <w:p w:rsidR="00994FC2" w:rsidRPr="00994FC2" w:rsidRDefault="00994FC2" w:rsidP="00994FC2">
      <w:pPr>
        <w:autoSpaceDE w:val="0"/>
        <w:autoSpaceDN w:val="0"/>
        <w:adjustRightInd w:val="0"/>
        <w:spacing w:after="0" w:line="312" w:lineRule="auto"/>
        <w:ind w:left="426"/>
        <w:jc w:val="both"/>
        <w:rPr>
          <w:rFonts w:ascii="Times New Roman" w:eastAsia="CIDFont+F1" w:hAnsi="Times New Roman" w:cs="Times New Roman"/>
          <w:color w:val="000000"/>
          <w:sz w:val="24"/>
          <w:szCs w:val="24"/>
        </w:rPr>
      </w:pPr>
      <w:r w:rsidRPr="00994FC2">
        <w:rPr>
          <w:rFonts w:ascii="Times New Roman" w:eastAsia="CIDFont+F1" w:hAnsi="Times New Roman" w:cs="Times New Roman"/>
          <w:color w:val="000000"/>
          <w:sz w:val="24"/>
          <w:szCs w:val="24"/>
        </w:rPr>
        <w:t>tel.: 47 711 3137, faks: 47 711 2842</w:t>
      </w:r>
    </w:p>
    <w:p w:rsidR="00994FC2" w:rsidRPr="00994FC2" w:rsidRDefault="00994FC2" w:rsidP="00994FC2">
      <w:pPr>
        <w:spacing w:after="0" w:line="312" w:lineRule="auto"/>
        <w:ind w:left="426"/>
        <w:jc w:val="both"/>
        <w:rPr>
          <w:rFonts w:ascii="Times New Roman" w:eastAsia="CIDFont+F1" w:hAnsi="Times New Roman" w:cs="Times New Roman"/>
          <w:color w:val="0000FF"/>
          <w:sz w:val="24"/>
          <w:szCs w:val="24"/>
          <w:lang w:val="en-GB"/>
        </w:rPr>
      </w:pPr>
      <w:r w:rsidRPr="00994FC2">
        <w:rPr>
          <w:rFonts w:ascii="Times New Roman" w:eastAsia="Times New Roman" w:hAnsi="Times New Roman" w:cs="Times New Roman"/>
          <w:color w:val="000000"/>
          <w:sz w:val="24"/>
          <w:szCs w:val="24"/>
          <w:lang w:val="en-GB" w:eastAsia="pl-PL"/>
        </w:rPr>
        <w:t xml:space="preserve">e-mail: </w:t>
      </w:r>
      <w:hyperlink r:id="rId9" w:history="1">
        <w:r w:rsidRPr="00994FC2">
          <w:rPr>
            <w:rFonts w:ascii="Times New Roman" w:eastAsia="CIDFont+F1" w:hAnsi="Times New Roman" w:cs="Times New Roman"/>
            <w:color w:val="0000FF"/>
            <w:sz w:val="24"/>
            <w:szCs w:val="24"/>
            <w:u w:val="single"/>
            <w:lang w:val="en-GB"/>
          </w:rPr>
          <w:t>zamowienia.kwp@bk.policja.gov.pl</w:t>
        </w:r>
      </w:hyperlink>
    </w:p>
    <w:p w:rsidR="00994FC2" w:rsidRPr="00994FC2" w:rsidRDefault="00994FC2" w:rsidP="00994FC2">
      <w:pPr>
        <w:autoSpaceDE w:val="0"/>
        <w:autoSpaceDN w:val="0"/>
        <w:adjustRightInd w:val="0"/>
        <w:spacing w:after="0" w:line="312" w:lineRule="auto"/>
        <w:ind w:left="426"/>
        <w:jc w:val="both"/>
        <w:rPr>
          <w:rFonts w:ascii="Times New Roman" w:eastAsia="CIDFont+F1" w:hAnsi="Times New Roman" w:cs="Times New Roman"/>
          <w:color w:val="0000FF"/>
          <w:sz w:val="24"/>
          <w:szCs w:val="24"/>
        </w:rPr>
      </w:pPr>
      <w:r w:rsidRPr="00994FC2">
        <w:rPr>
          <w:rFonts w:ascii="Times New Roman" w:eastAsia="CIDFont+F1" w:hAnsi="Times New Roman" w:cs="Times New Roman"/>
          <w:color w:val="000000"/>
          <w:sz w:val="24"/>
          <w:szCs w:val="24"/>
        </w:rPr>
        <w:t xml:space="preserve">adres strony internetowej: </w:t>
      </w:r>
      <w:r w:rsidRPr="00994FC2">
        <w:rPr>
          <w:rFonts w:ascii="Times New Roman" w:eastAsia="CIDFont+F1" w:hAnsi="Times New Roman" w:cs="Times New Roman"/>
          <w:color w:val="0000FF"/>
          <w:sz w:val="24"/>
          <w:szCs w:val="24"/>
        </w:rPr>
        <w:t>www.podlaska.policja.gov.pl</w:t>
      </w:r>
    </w:p>
    <w:p w:rsidR="00994FC2" w:rsidRPr="00994FC2" w:rsidRDefault="00994FC2" w:rsidP="00994FC2">
      <w:pPr>
        <w:spacing w:after="0" w:line="312" w:lineRule="auto"/>
        <w:ind w:left="426"/>
        <w:jc w:val="both"/>
        <w:rPr>
          <w:rFonts w:ascii="Times New Roman" w:eastAsia="Calibri" w:hAnsi="Times New Roman" w:cs="Times New Roman"/>
          <w:color w:val="002060"/>
          <w:sz w:val="24"/>
          <w:szCs w:val="24"/>
        </w:rPr>
      </w:pPr>
      <w:r w:rsidRPr="00994FC2">
        <w:rPr>
          <w:rFonts w:ascii="Times New Roman" w:eastAsia="Calibri" w:hAnsi="Times New Roman" w:cs="Times New Roman"/>
          <w:bCs/>
          <w:sz w:val="24"/>
          <w:szCs w:val="24"/>
        </w:rPr>
        <w:lastRenderedPageBreak/>
        <w:t>Adres strony internetowej, na której jest prowadzone postępowanie i na której będą dostępne wszelkie dokumenty związane z prowadzoną procedurą, w tym zmiany i wyjaśnienia treści Specyfikacji Warunków Zamówienia</w:t>
      </w:r>
      <w:r w:rsidRPr="00994FC2">
        <w:rPr>
          <w:rFonts w:ascii="Times New Roman" w:eastAsia="Calibri" w:hAnsi="Times New Roman" w:cs="Times New Roman"/>
          <w:bCs/>
          <w:color w:val="002060"/>
          <w:sz w:val="24"/>
          <w:szCs w:val="24"/>
        </w:rPr>
        <w:t xml:space="preserve">: </w:t>
      </w:r>
      <w:hyperlink r:id="rId10" w:history="1">
        <w:r w:rsidRPr="00994FC2">
          <w:rPr>
            <w:rFonts w:ascii="Times New Roman" w:eastAsia="Calibri" w:hAnsi="Times New Roman" w:cs="Times New Roman"/>
            <w:color w:val="0000FF"/>
            <w:sz w:val="24"/>
            <w:szCs w:val="24"/>
            <w:u w:val="single"/>
          </w:rPr>
          <w:t>https://platformazakupowa.pl/pn/kwp_bialystok</w:t>
        </w:r>
      </w:hyperlink>
    </w:p>
    <w:p w:rsidR="00994FC2" w:rsidRPr="00994FC2" w:rsidRDefault="00994FC2" w:rsidP="00994FC2">
      <w:pPr>
        <w:spacing w:after="0" w:line="312" w:lineRule="auto"/>
        <w:jc w:val="both"/>
        <w:rPr>
          <w:rFonts w:ascii="Times New Roman" w:eastAsia="Calibri" w:hAnsi="Times New Roman" w:cs="Times New Roman"/>
          <w:b/>
          <w:bCs/>
          <w:sz w:val="24"/>
          <w:szCs w:val="24"/>
          <w:u w:val="single"/>
        </w:rPr>
      </w:pPr>
      <w:bookmarkStart w:id="4" w:name="_GoBack"/>
      <w:bookmarkEnd w:id="4"/>
    </w:p>
    <w:p w:rsidR="00994FC2" w:rsidRPr="00994FC2" w:rsidRDefault="00994FC2" w:rsidP="00994FC2">
      <w:pPr>
        <w:numPr>
          <w:ilvl w:val="0"/>
          <w:numId w:val="1"/>
        </w:numPr>
        <w:spacing w:after="0" w:line="312"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INFORMACJE OGÓLNE</w:t>
      </w:r>
    </w:p>
    <w:p w:rsidR="00994FC2" w:rsidRPr="00994FC2" w:rsidRDefault="00994FC2" w:rsidP="00994FC2">
      <w:pPr>
        <w:numPr>
          <w:ilvl w:val="0"/>
          <w:numId w:val="2"/>
        </w:numPr>
        <w:spacing w:after="0" w:line="312" w:lineRule="auto"/>
        <w:ind w:left="425"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 udzielenia przedmiotowego zamówienia stosuje się przepisy ustawy z dnia 11 września 2019 r. – Prawo zamówień publicznych (Dz. U. z 2021 r., poz. 1129 ze zm.), zwanej dalej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0"/>
          <w:numId w:val="2"/>
        </w:numPr>
        <w:autoSpaceDE w:val="0"/>
        <w:autoSpaceDN w:val="0"/>
        <w:adjustRightInd w:val="0"/>
        <w:spacing w:after="0" w:line="312" w:lineRule="auto"/>
        <w:ind w:left="425" w:hanging="425"/>
        <w:contextualSpacing/>
        <w:jc w:val="both"/>
        <w:rPr>
          <w:rFonts w:ascii="Times New Roman" w:eastAsia="CIDFont+F1" w:hAnsi="Times New Roman" w:cs="Times New Roman"/>
          <w:color w:val="000000"/>
          <w:sz w:val="24"/>
          <w:szCs w:val="24"/>
        </w:rPr>
      </w:pPr>
      <w:r w:rsidRPr="00994FC2">
        <w:rPr>
          <w:rFonts w:ascii="Times New Roman" w:eastAsia="CIDFont+F1" w:hAnsi="Times New Roman" w:cs="Times New Roman"/>
          <w:color w:val="000000"/>
          <w:sz w:val="24"/>
          <w:szCs w:val="24"/>
        </w:rPr>
        <w:t xml:space="preserve">W zakresie nieuregulowanym niniejszą Specyfikacją Warunków Zamówienia, zwaną dalej „SWZ”, zastosowanie mają przepisy </w:t>
      </w:r>
      <w:proofErr w:type="spellStart"/>
      <w:r w:rsidRPr="00994FC2">
        <w:rPr>
          <w:rFonts w:ascii="Times New Roman" w:eastAsia="CIDFont+F1" w:hAnsi="Times New Roman" w:cs="Times New Roman"/>
          <w:color w:val="000000"/>
          <w:sz w:val="24"/>
          <w:szCs w:val="24"/>
        </w:rPr>
        <w:t>p.z.p</w:t>
      </w:r>
      <w:proofErr w:type="spellEnd"/>
      <w:r w:rsidRPr="00994FC2">
        <w:rPr>
          <w:rFonts w:ascii="Times New Roman" w:eastAsia="CIDFont+F1" w:hAnsi="Times New Roman" w:cs="Times New Roman"/>
          <w:color w:val="000000"/>
          <w:sz w:val="24"/>
          <w:szCs w:val="24"/>
        </w:rPr>
        <w:t>. oraz akty wykonawcze wydane na jej podstawie.</w:t>
      </w:r>
    </w:p>
    <w:p w:rsidR="00994FC2" w:rsidRPr="00994FC2" w:rsidRDefault="00994FC2" w:rsidP="00994FC2">
      <w:pPr>
        <w:numPr>
          <w:ilvl w:val="0"/>
          <w:numId w:val="2"/>
        </w:numPr>
        <w:autoSpaceDE w:val="0"/>
        <w:autoSpaceDN w:val="0"/>
        <w:adjustRightInd w:val="0"/>
        <w:spacing w:after="0" w:line="312" w:lineRule="auto"/>
        <w:ind w:left="425" w:hanging="425"/>
        <w:contextualSpacing/>
        <w:jc w:val="both"/>
        <w:rPr>
          <w:rFonts w:ascii="Times New Roman" w:eastAsia="DengXian" w:hAnsi="Times New Roman" w:cs="Times New Roman"/>
          <w:color w:val="0000FF"/>
          <w:sz w:val="24"/>
          <w:szCs w:val="24"/>
          <w:u w:val="single"/>
        </w:rPr>
      </w:pPr>
      <w:r w:rsidRPr="00994FC2">
        <w:rPr>
          <w:rFonts w:ascii="Times New Roman" w:eastAsia="DengXian" w:hAnsi="Times New Roman" w:cs="Times New Roman"/>
          <w:sz w:val="24"/>
          <w:szCs w:val="24"/>
          <w:shd w:val="clear" w:color="auto" w:fill="FFFFFF"/>
        </w:rPr>
        <w:t xml:space="preserve">Postępowanie o udzielenie przedmiotowego zamówienia publicznego prowadzi się w języku polskim, na elektronicznej platformie zakupowej pod adresem: </w:t>
      </w:r>
      <w:hyperlink r:id="rId11" w:history="1">
        <w:r w:rsidRPr="00994FC2">
          <w:rPr>
            <w:rFonts w:ascii="Times New Roman" w:eastAsia="DengXian" w:hAnsi="Times New Roman" w:cs="Times New Roman"/>
            <w:color w:val="0000FF"/>
            <w:sz w:val="24"/>
            <w:szCs w:val="24"/>
            <w:u w:val="single"/>
            <w:shd w:val="clear" w:color="auto" w:fill="FFFFFF"/>
          </w:rPr>
          <w:t>h</w:t>
        </w:r>
        <w:r w:rsidRPr="00994FC2">
          <w:rPr>
            <w:rFonts w:ascii="Times New Roman" w:eastAsia="DengXian" w:hAnsi="Times New Roman" w:cs="Times New Roman"/>
            <w:color w:val="0000FF"/>
            <w:sz w:val="24"/>
            <w:szCs w:val="24"/>
            <w:u w:val="single"/>
          </w:rPr>
          <w:t>ttps://platformazakupowa.pl/pn/kwp_bialystok</w:t>
        </w:r>
      </w:hyperlink>
    </w:p>
    <w:p w:rsidR="00994FC2" w:rsidRPr="00CD4BC5" w:rsidRDefault="00994FC2" w:rsidP="00994FC2">
      <w:pPr>
        <w:numPr>
          <w:ilvl w:val="0"/>
          <w:numId w:val="2"/>
        </w:numPr>
        <w:autoSpaceDE w:val="0"/>
        <w:autoSpaceDN w:val="0"/>
        <w:adjustRightInd w:val="0"/>
        <w:spacing w:after="0" w:line="312" w:lineRule="auto"/>
        <w:ind w:left="425" w:hanging="425"/>
        <w:contextualSpacing/>
        <w:jc w:val="both"/>
        <w:rPr>
          <w:rFonts w:ascii="Times New Roman" w:eastAsia="DengXian" w:hAnsi="Times New Roman" w:cs="Times New Roman"/>
          <w:sz w:val="24"/>
          <w:szCs w:val="24"/>
        </w:rPr>
      </w:pPr>
      <w:r w:rsidRPr="00CD4BC5">
        <w:rPr>
          <w:rFonts w:ascii="Times New Roman" w:eastAsia="DengXian" w:hAnsi="Times New Roman" w:cs="Times New Roman"/>
          <w:sz w:val="24"/>
          <w:szCs w:val="24"/>
        </w:rPr>
        <w:t xml:space="preserve">Zamawiający nie dokonuje podziału zamówienia na części, z uwagi na konieczność zapewnienia integralności poszczególnych wyspecjalizowanych elementów stanowiska badawczego. Zamawiane elementy wspólnie tworzą zespół kompetencji niezbędnych dla właściwego zabezpieczenia dowodów cyfrowych. Sprzęt i oprogramowanie muszą zachować najwyższy poziom kompatybilności. Wysoce specjalistyczne oprogramowanie do akwizycji oraz analizy danych z urządzeń mobilnych, w celu efektywnego korzystania ze stanowiska badawczego, wymaga przeszkolenia osób, które będą się nim posługiwać. </w:t>
      </w:r>
    </w:p>
    <w:p w:rsidR="00994FC2" w:rsidRPr="00994FC2" w:rsidRDefault="00994FC2" w:rsidP="00994FC2">
      <w:pPr>
        <w:numPr>
          <w:ilvl w:val="0"/>
          <w:numId w:val="1"/>
        </w:numPr>
        <w:spacing w:after="0" w:line="312"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TRYB UDZIELENIA ZAMÓWIENIA</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Niniejsze postępowanie prowadzone jest w trybie przetargu nieograniczonego, o którym mowa w art. 132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Wykonawcy ponoszą wszelkie koszty związane z przygotowaniem i złożeniem oferty. Zamawiający nie przewiduje zwrotu kosztów udziału w postępowaniu.</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trike/>
          <w:sz w:val="24"/>
          <w:szCs w:val="24"/>
        </w:rPr>
      </w:pPr>
      <w:r w:rsidRPr="00994FC2">
        <w:rPr>
          <w:rFonts w:ascii="Times New Roman" w:eastAsia="DengXian" w:hAnsi="Times New Roman" w:cs="Times New Roman"/>
          <w:sz w:val="24"/>
          <w:szCs w:val="24"/>
        </w:rPr>
        <w:t xml:space="preserve">Zamawiający przewiduje zastosowanie tzw. procedury odwróconej, o której mowa w art. 139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tj. Zamawiający najpierw dokona badania i oceny ofert, a następnie dokona kwalifikacji podmiotowej Wykonawcy, którego oferta została najwyżej oceniona, w zakresie braku podstaw wykluczenia.</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przewiduje aukcji elektronicznej.</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prowadzi postępowania w celu zawarcia umowy ramowej.</w:t>
      </w:r>
    </w:p>
    <w:p w:rsidR="00994FC2" w:rsidRPr="00994FC2" w:rsidRDefault="00994FC2" w:rsidP="00994FC2">
      <w:pPr>
        <w:numPr>
          <w:ilvl w:val="0"/>
          <w:numId w:val="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zastrzega możliwości ubiegania się o udzielenie zamówienia wyłącznie przez wykonawców, o których mowa w art. 94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dopuszcza składania ofert wariantowych oraz ofert w postaci katalogów elektronicznych.</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CIDFont+F1" w:hAnsi="Times New Roman" w:cs="Times New Roman"/>
          <w:sz w:val="24"/>
          <w:szCs w:val="24"/>
        </w:rPr>
        <w:lastRenderedPageBreak/>
        <w:t xml:space="preserve">Zamawiający nie dopuszcza możliwości składania </w:t>
      </w:r>
      <w:r w:rsidRPr="00994FC2">
        <w:rPr>
          <w:rFonts w:ascii="Times New Roman" w:eastAsia="DengXian" w:hAnsi="Times New Roman" w:cs="Times New Roman"/>
          <w:sz w:val="24"/>
          <w:szCs w:val="24"/>
        </w:rPr>
        <w:t xml:space="preserve">ofert częściowych. </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przewiduje wizji lokalnej.</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przewiduje możliwości udzielenia zamówień dodatkowych, o których mowa w art. 214 ust. 1 pkt 8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przewiduje możliwość unieważnienia postępowania na podstawie art. 257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tj. w przypadku, gdy środki publiczne, które Zamawiający zamierzał przeznaczyć na sfinansowanie całości lub części zamówienia, nie zostały mu przyznane. </w:t>
      </w:r>
    </w:p>
    <w:p w:rsidR="00994FC2" w:rsidRPr="00994FC2" w:rsidRDefault="00994FC2" w:rsidP="00994FC2">
      <w:pPr>
        <w:numPr>
          <w:ilvl w:val="0"/>
          <w:numId w:val="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przewiduje rozliczenia w walutach obcych.</w:t>
      </w: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PRZEDMIOTU ZAMÓWIENIA</w:t>
      </w:r>
    </w:p>
    <w:p w:rsidR="00994FC2" w:rsidRPr="00994FC2" w:rsidRDefault="00994FC2" w:rsidP="00994FC2">
      <w:pPr>
        <w:numPr>
          <w:ilvl w:val="0"/>
          <w:numId w:val="4"/>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Wspólny Słownik Zamówień – kody CPV: </w:t>
      </w:r>
    </w:p>
    <w:p w:rsidR="00994FC2" w:rsidRPr="00994FC2" w:rsidRDefault="00994FC2" w:rsidP="00994FC2">
      <w:pPr>
        <w:spacing w:after="0" w:line="312" w:lineRule="auto"/>
        <w:ind w:left="703" w:right="-289"/>
        <w:rPr>
          <w:rFonts w:ascii="Times New Roman" w:eastAsia="Calibri" w:hAnsi="Times New Roman" w:cs="Times New Roman"/>
          <w:sz w:val="24"/>
          <w:szCs w:val="24"/>
        </w:rPr>
      </w:pPr>
      <w:r w:rsidRPr="00994FC2">
        <w:rPr>
          <w:rFonts w:ascii="Times New Roman" w:eastAsia="Calibri" w:hAnsi="Times New Roman" w:cs="Times New Roman"/>
          <w:sz w:val="24"/>
          <w:szCs w:val="24"/>
        </w:rPr>
        <w:t>30214000-2 - stacje robocze, 30213100-6 - komputery przenośne, 48700000-5 - pakiety oprogramowania użytkowego, 30233000-1 - urządzenia do przechowywania i odczytu danych, 80500000-9 - usługi szkoleniowe.</w:t>
      </w:r>
    </w:p>
    <w:p w:rsidR="00994FC2" w:rsidRPr="00994FC2" w:rsidRDefault="00994FC2" w:rsidP="00994FC2">
      <w:pPr>
        <w:numPr>
          <w:ilvl w:val="0"/>
          <w:numId w:val="4"/>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Przedmiot zamówienia obejmuje w szczególności: </w:t>
      </w:r>
    </w:p>
    <w:p w:rsidR="00994FC2" w:rsidRPr="00994FC2" w:rsidRDefault="00994FC2" w:rsidP="00994FC2">
      <w:pPr>
        <w:widowControl w:val="0"/>
        <w:numPr>
          <w:ilvl w:val="0"/>
          <w:numId w:val="5"/>
        </w:numPr>
        <w:suppressAutoHyphens/>
        <w:spacing w:after="0" w:line="312" w:lineRule="auto"/>
        <w:ind w:left="714" w:hanging="288"/>
        <w:contextualSpacing/>
        <w:jc w:val="both"/>
        <w:rPr>
          <w:rFonts w:ascii="Times New Roman" w:eastAsia="Times New Roman" w:hAnsi="Times New Roman" w:cs="Times New Roman"/>
          <w:bCs/>
          <w:sz w:val="24"/>
          <w:szCs w:val="24"/>
          <w:lang w:eastAsia="ar-SA"/>
        </w:rPr>
      </w:pPr>
      <w:r w:rsidRPr="00994FC2">
        <w:rPr>
          <w:rFonts w:ascii="Times New Roman" w:eastAsia="DengXian" w:hAnsi="Times New Roman" w:cs="Times New Roman"/>
          <w:sz w:val="24"/>
          <w:szCs w:val="24"/>
        </w:rPr>
        <w:t xml:space="preserve">dostawę 23 kompletów stacji roboczych wraz z wyposażeniem oraz oprogramowaniem </w:t>
      </w:r>
      <w:r w:rsidRPr="00994FC2">
        <w:rPr>
          <w:rFonts w:ascii="Times New Roman" w:eastAsia="Times New Roman" w:hAnsi="Times New Roman" w:cs="Times New Roman"/>
          <w:color w:val="000000"/>
          <w:sz w:val="24"/>
          <w:szCs w:val="24"/>
        </w:rPr>
        <w:t xml:space="preserve">(dalej jako stacje robocze), szczegółowo opisanych w Szczegółowym opisie przedmiotu zamówienia, stanowiącym Załącznik nr 1 do SWZ, </w:t>
      </w:r>
    </w:p>
    <w:p w:rsidR="00994FC2" w:rsidRPr="00994FC2" w:rsidRDefault="00994FC2" w:rsidP="00994FC2">
      <w:pPr>
        <w:widowControl w:val="0"/>
        <w:numPr>
          <w:ilvl w:val="0"/>
          <w:numId w:val="5"/>
        </w:numPr>
        <w:suppressAutoHyphens/>
        <w:spacing w:after="0" w:line="312" w:lineRule="auto"/>
        <w:ind w:left="714" w:hanging="288"/>
        <w:contextualSpacing/>
        <w:jc w:val="both"/>
        <w:rPr>
          <w:rFonts w:ascii="Times New Roman" w:eastAsia="Times New Roman" w:hAnsi="Times New Roman" w:cs="Times New Roman"/>
          <w:bCs/>
          <w:sz w:val="24"/>
          <w:szCs w:val="24"/>
          <w:lang w:eastAsia="ar-SA"/>
        </w:rPr>
      </w:pPr>
      <w:r w:rsidRPr="00994FC2">
        <w:rPr>
          <w:rFonts w:ascii="Times New Roman" w:eastAsia="Times New Roman" w:hAnsi="Times New Roman" w:cs="Times New Roman"/>
          <w:bCs/>
          <w:sz w:val="24"/>
          <w:szCs w:val="24"/>
          <w:lang w:eastAsia="ar-SA"/>
        </w:rPr>
        <w:t xml:space="preserve">udzielenie Zamawiającemu gwarancji na przedmiot zamówienia na warunkach szczegółowo określonych we </w:t>
      </w:r>
      <w:bookmarkStart w:id="5" w:name="_Hlk74307385"/>
      <w:r w:rsidRPr="00994FC2">
        <w:rPr>
          <w:rFonts w:ascii="Times New Roman" w:eastAsia="Times New Roman" w:hAnsi="Times New Roman" w:cs="Times New Roman"/>
          <w:bCs/>
          <w:sz w:val="24"/>
          <w:szCs w:val="24"/>
          <w:lang w:eastAsia="ar-SA"/>
        </w:rPr>
        <w:t xml:space="preserve">Wzorze umowy, stanowiącym Załącznik nr 6 do SWZ, </w:t>
      </w:r>
    </w:p>
    <w:bookmarkEnd w:id="5"/>
    <w:p w:rsidR="00994FC2" w:rsidRPr="00994FC2" w:rsidRDefault="00994FC2" w:rsidP="00994FC2">
      <w:pPr>
        <w:widowControl w:val="0"/>
        <w:numPr>
          <w:ilvl w:val="0"/>
          <w:numId w:val="5"/>
        </w:numPr>
        <w:suppressAutoHyphens/>
        <w:spacing w:after="0" w:line="312" w:lineRule="auto"/>
        <w:ind w:left="714" w:hanging="288"/>
        <w:contextualSpacing/>
        <w:jc w:val="both"/>
        <w:rPr>
          <w:rFonts w:ascii="Times New Roman" w:eastAsia="Times New Roman" w:hAnsi="Times New Roman" w:cs="Times New Roman"/>
          <w:bCs/>
          <w:sz w:val="24"/>
          <w:szCs w:val="24"/>
          <w:lang w:eastAsia="ar-SA"/>
        </w:rPr>
      </w:pPr>
      <w:r w:rsidRPr="00994FC2">
        <w:rPr>
          <w:rFonts w:ascii="Times New Roman" w:eastAsia="Times New Roman" w:hAnsi="Times New Roman" w:cs="Times New Roman"/>
          <w:bCs/>
          <w:sz w:val="24"/>
          <w:szCs w:val="24"/>
          <w:lang w:eastAsia="ar-SA"/>
        </w:rPr>
        <w:t>zapewnienie Zamawiającemu niewyłącznej licencji na korzystanie z oprogramowania zainstalowanego w ramach przedmiotu zamówienia oraz dokumentacji dostarczonego oprogramowania, w zakresie szczegółowo określonym we Wzorze umowy, stanowiącym Załącznik nr 6 do SWZ,</w:t>
      </w:r>
    </w:p>
    <w:p w:rsidR="00994FC2" w:rsidRPr="00994FC2" w:rsidRDefault="00994FC2" w:rsidP="00994FC2">
      <w:pPr>
        <w:widowControl w:val="0"/>
        <w:numPr>
          <w:ilvl w:val="0"/>
          <w:numId w:val="5"/>
        </w:numPr>
        <w:suppressAutoHyphens/>
        <w:spacing w:after="0" w:line="312" w:lineRule="auto"/>
        <w:ind w:left="714" w:hanging="288"/>
        <w:contextualSpacing/>
        <w:jc w:val="both"/>
        <w:rPr>
          <w:rFonts w:ascii="Times New Roman" w:eastAsia="Times New Roman" w:hAnsi="Times New Roman" w:cs="Times New Roman"/>
          <w:bCs/>
          <w:sz w:val="24"/>
          <w:szCs w:val="24"/>
          <w:lang w:eastAsia="ar-SA"/>
        </w:rPr>
      </w:pPr>
      <w:r w:rsidRPr="00994FC2">
        <w:rPr>
          <w:rFonts w:ascii="Times New Roman" w:eastAsia="Times New Roman" w:hAnsi="Times New Roman" w:cs="Times New Roman"/>
          <w:bCs/>
          <w:sz w:val="24"/>
          <w:szCs w:val="24"/>
          <w:lang w:eastAsia="ar-SA"/>
        </w:rPr>
        <w:t>zapewnienie Zamawiającemu wsparcia technicznego na zaoferowane oprogramowanie na warunkach określonych we Wzorze umowy, stanowiącym Załącznik nr 6 do SWZ,</w:t>
      </w:r>
    </w:p>
    <w:p w:rsidR="00994FC2" w:rsidRPr="00994FC2" w:rsidRDefault="00994FC2" w:rsidP="00994FC2">
      <w:pPr>
        <w:widowControl w:val="0"/>
        <w:numPr>
          <w:ilvl w:val="0"/>
          <w:numId w:val="5"/>
        </w:numPr>
        <w:suppressAutoHyphens/>
        <w:spacing w:after="0" w:line="312" w:lineRule="auto"/>
        <w:ind w:left="714" w:hanging="288"/>
        <w:contextualSpacing/>
        <w:jc w:val="both"/>
        <w:rPr>
          <w:rFonts w:ascii="Times New Roman" w:eastAsia="Times New Roman" w:hAnsi="Times New Roman" w:cs="Times New Roman"/>
          <w:bCs/>
          <w:sz w:val="24"/>
          <w:szCs w:val="24"/>
          <w:lang w:eastAsia="ar-SA"/>
        </w:rPr>
      </w:pPr>
      <w:r w:rsidRPr="00994FC2">
        <w:rPr>
          <w:rFonts w:ascii="Times New Roman" w:eastAsia="Times New Roman" w:hAnsi="Times New Roman" w:cs="Times New Roman"/>
          <w:bCs/>
          <w:sz w:val="24"/>
          <w:szCs w:val="24"/>
          <w:lang w:eastAsia="ar-SA"/>
        </w:rPr>
        <w:t xml:space="preserve">przeprowadzenie szkolenia z zakresu obsługi oprogramowania do akwizycji i analizy danych z urządzeń mobilnych, obejmujące w szczególności zapewnienie osób prowadzących szkolenia, </w:t>
      </w:r>
      <w:proofErr w:type="spellStart"/>
      <w:r w:rsidRPr="00994FC2">
        <w:rPr>
          <w:rFonts w:ascii="Times New Roman" w:eastAsia="Times New Roman" w:hAnsi="Times New Roman" w:cs="Times New Roman"/>
          <w:bCs/>
          <w:sz w:val="24"/>
          <w:szCs w:val="24"/>
          <w:lang w:eastAsia="ar-SA"/>
        </w:rPr>
        <w:t>sal</w:t>
      </w:r>
      <w:proofErr w:type="spellEnd"/>
      <w:r w:rsidRPr="00994FC2">
        <w:rPr>
          <w:rFonts w:ascii="Times New Roman" w:eastAsia="Times New Roman" w:hAnsi="Times New Roman" w:cs="Times New Roman"/>
          <w:bCs/>
          <w:sz w:val="24"/>
          <w:szCs w:val="24"/>
          <w:lang w:eastAsia="ar-SA"/>
        </w:rPr>
        <w:t xml:space="preserve"> szkoleniowych, zakwaterowania i wyżywienia.</w:t>
      </w:r>
    </w:p>
    <w:p w:rsidR="00994FC2" w:rsidRPr="00994FC2" w:rsidRDefault="00994FC2" w:rsidP="00994FC2">
      <w:pPr>
        <w:widowControl w:val="0"/>
        <w:numPr>
          <w:ilvl w:val="0"/>
          <w:numId w:val="4"/>
        </w:numPr>
        <w:suppressAutoHyphens/>
        <w:spacing w:after="0" w:line="312" w:lineRule="auto"/>
        <w:ind w:left="426" w:hanging="426"/>
        <w:contextualSpacing/>
        <w:jc w:val="both"/>
        <w:rPr>
          <w:rFonts w:ascii="Times New Roman" w:eastAsia="Times New Roman" w:hAnsi="Times New Roman" w:cs="Times New Roman"/>
          <w:bCs/>
          <w:sz w:val="24"/>
          <w:szCs w:val="24"/>
          <w:lang w:eastAsia="ar-SA"/>
        </w:rPr>
      </w:pPr>
      <w:r w:rsidRPr="00994FC2">
        <w:rPr>
          <w:rFonts w:ascii="Times New Roman" w:eastAsia="DengXian" w:hAnsi="Times New Roman" w:cs="Times New Roman"/>
          <w:sz w:val="24"/>
          <w:szCs w:val="24"/>
        </w:rPr>
        <w:t>Stacje robocze muszą być fabrycznie nowe</w:t>
      </w:r>
      <w:bookmarkStart w:id="6" w:name="_Hlk75601229"/>
      <w:r w:rsidRPr="00994FC2">
        <w:rPr>
          <w:rFonts w:ascii="Times New Roman" w:eastAsia="DengXian" w:hAnsi="Times New Roman" w:cs="Times New Roman"/>
          <w:sz w:val="24"/>
          <w:szCs w:val="24"/>
        </w:rPr>
        <w:t xml:space="preserve">, nieużywane, kompletne, </w:t>
      </w:r>
      <w:r w:rsidRPr="00994FC2">
        <w:rPr>
          <w:rFonts w:ascii="Times New Roman" w:eastAsia="DengXian" w:hAnsi="Times New Roman" w:cs="Times New Roman"/>
          <w:bCs/>
          <w:sz w:val="24"/>
          <w:szCs w:val="24"/>
        </w:rPr>
        <w:t>wolne od wad fizycznych oraz prawnych i ograniczających możliwość ich prawidłowego użytkowania, a także obciążeń prawami osób trzecich</w:t>
      </w:r>
      <w:r w:rsidRPr="00994FC2">
        <w:rPr>
          <w:rFonts w:ascii="Times New Roman" w:eastAsia="DengXian" w:hAnsi="Times New Roman" w:cs="Times New Roman"/>
          <w:sz w:val="24"/>
          <w:szCs w:val="24"/>
        </w:rPr>
        <w:t>.</w:t>
      </w:r>
      <w:bookmarkEnd w:id="6"/>
    </w:p>
    <w:p w:rsidR="00994FC2" w:rsidRPr="00994FC2" w:rsidRDefault="00994FC2" w:rsidP="00994FC2">
      <w:pPr>
        <w:numPr>
          <w:ilvl w:val="0"/>
          <w:numId w:val="4"/>
        </w:numPr>
        <w:autoSpaceDE w:val="0"/>
        <w:autoSpaceDN w:val="0"/>
        <w:adjustRightInd w:val="0"/>
        <w:spacing w:after="0" w:line="312" w:lineRule="auto"/>
        <w:ind w:left="426" w:hanging="426"/>
        <w:contextualSpacing/>
        <w:jc w:val="both"/>
        <w:rPr>
          <w:rFonts w:ascii="Times New Roman" w:eastAsia="DengXian" w:hAnsi="Times New Roman" w:cs="Times New Roman"/>
          <w:sz w:val="24"/>
          <w:szCs w:val="24"/>
          <w:lang w:eastAsia="pl-PL"/>
        </w:rPr>
      </w:pPr>
      <w:r w:rsidRPr="00994FC2">
        <w:rPr>
          <w:rFonts w:ascii="Times New Roman" w:eastAsia="DengXian" w:hAnsi="Times New Roman" w:cs="Times New Roman"/>
          <w:sz w:val="24"/>
          <w:szCs w:val="24"/>
        </w:rPr>
        <w:t xml:space="preserve">Szczegółowe wymagania dla przedmiotu zamówienia określa Szczegółowy opis przedmiotu zamówienia, stanowiący Załącznik nr 1 do SWZ oraz Wzór umowy, stanowiący Załącznik nr 6 do SWZ. </w:t>
      </w:r>
    </w:p>
    <w:p w:rsidR="00994FC2" w:rsidRPr="00994FC2" w:rsidRDefault="00994FC2" w:rsidP="00994FC2">
      <w:pPr>
        <w:numPr>
          <w:ilvl w:val="0"/>
          <w:numId w:val="4"/>
        </w:numPr>
        <w:autoSpaceDE w:val="0"/>
        <w:autoSpaceDN w:val="0"/>
        <w:adjustRightInd w:val="0"/>
        <w:spacing w:after="0" w:line="312" w:lineRule="auto"/>
        <w:ind w:left="385" w:hanging="426"/>
        <w:contextualSpacing/>
        <w:jc w:val="both"/>
        <w:rPr>
          <w:rFonts w:ascii="Times New Roman" w:eastAsia="DengXian" w:hAnsi="Times New Roman" w:cs="Times New Roman"/>
          <w:sz w:val="24"/>
          <w:szCs w:val="24"/>
        </w:rPr>
      </w:pPr>
      <w:r w:rsidRPr="00994FC2">
        <w:rPr>
          <w:rFonts w:ascii="Times New Roman" w:eastAsia="CIDFont+F1" w:hAnsi="Times New Roman" w:cs="Times New Roman"/>
          <w:sz w:val="24"/>
          <w:szCs w:val="24"/>
        </w:rPr>
        <w:t>W przypadku, gdy Szczegółowy opis przedmiotu zamówienia (Załącznik nr 1 do SWZ) odnosi się do norm</w:t>
      </w:r>
      <w:r w:rsidRPr="00994FC2">
        <w:rPr>
          <w:rFonts w:ascii="Times New Roman" w:eastAsia="DengXian" w:hAnsi="Times New Roman" w:cs="Times New Roman"/>
          <w:sz w:val="24"/>
          <w:szCs w:val="24"/>
          <w:shd w:val="clear" w:color="auto" w:fill="FFFFFF"/>
        </w:rPr>
        <w:t xml:space="preserve">, ocen technicznych, specyfikacji technicznych i systemów referencji technicznych, o których mowa w art. 101 ust. 1 pkt 2 oraz ust. 3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Zamawiający </w:t>
      </w:r>
      <w:r w:rsidRPr="00994FC2">
        <w:rPr>
          <w:rFonts w:ascii="Times New Roman" w:eastAsia="DengXian" w:hAnsi="Times New Roman" w:cs="Times New Roman"/>
          <w:sz w:val="24"/>
          <w:szCs w:val="24"/>
          <w:shd w:val="clear" w:color="auto" w:fill="FFFFFF"/>
        </w:rPr>
        <w:lastRenderedPageBreak/>
        <w:t>dopuszcza rozwiązania równoważne opisywanym. N</w:t>
      </w:r>
      <w:r w:rsidRPr="00994FC2">
        <w:rPr>
          <w:rFonts w:ascii="Times New Roman" w:eastAsia="CIDFont+F1" w:hAnsi="Times New Roman" w:cs="Times New Roman"/>
          <w:sz w:val="24"/>
          <w:szCs w:val="24"/>
        </w:rPr>
        <w:t xml:space="preserve">ależy przyjąć, że wszystkim takim odniesieniom towarzyszą wyrazy „lub równoważne”. Zamawiający nie może odrzucić oferty tylko dlatego, że oferowane dostawy nie są zgodne z normami, ocenami technicznymi, specyfikacjami technicznymi i systemami referencji technicznych, do których Szczegółowy opis przedmiotu zamówienia (Załącznik nr 1 do SWZ) się odnosi, pod warunkiem, że wykonawca udowodni w ofercie, w szczególności za pomocą przedmiotowych środków dowodowych, że proponowane rozwiązania w równoważnym stopniu spełniają wymagania określone w Szczegółowym opisie przedmiotu zamówienia (Załącznik nr 1 do SWZ). </w:t>
      </w:r>
    </w:p>
    <w:p w:rsidR="00994FC2" w:rsidRPr="00994FC2" w:rsidRDefault="00994FC2" w:rsidP="00994FC2">
      <w:pPr>
        <w:autoSpaceDE w:val="0"/>
        <w:autoSpaceDN w:val="0"/>
        <w:adjustRightInd w:val="0"/>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autoSpaceDE w:val="0"/>
        <w:autoSpaceDN w:val="0"/>
        <w:adjustRightInd w:val="0"/>
        <w:spacing w:after="0" w:line="312"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PRZEDMIOTOWE ŚRODKI DOWODOWE</w:t>
      </w:r>
    </w:p>
    <w:p w:rsidR="00994FC2" w:rsidRPr="00994FC2" w:rsidRDefault="00994FC2" w:rsidP="00994FC2">
      <w:pPr>
        <w:numPr>
          <w:ilvl w:val="3"/>
          <w:numId w:val="5"/>
        </w:numPr>
        <w:autoSpaceDE w:val="0"/>
        <w:autoSpaceDN w:val="0"/>
        <w:adjustRightInd w:val="0"/>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żąda, na potwierdzenie, że oferowane dostawy spełniają wymagania określone przez Zamawiającego, złożenia </w:t>
      </w:r>
      <w:r w:rsidRPr="00994FC2">
        <w:rPr>
          <w:rFonts w:ascii="Times New Roman" w:eastAsia="DengXian" w:hAnsi="Times New Roman" w:cs="Times New Roman"/>
          <w:b/>
          <w:bCs/>
          <w:sz w:val="24"/>
          <w:szCs w:val="24"/>
        </w:rPr>
        <w:t>wraz z ofertą</w:t>
      </w:r>
      <w:r w:rsidRPr="00994FC2">
        <w:rPr>
          <w:rFonts w:ascii="Times New Roman" w:eastAsia="DengXian" w:hAnsi="Times New Roman" w:cs="Times New Roman"/>
          <w:sz w:val="24"/>
          <w:szCs w:val="24"/>
        </w:rPr>
        <w:t xml:space="preserve"> następujących przedmiotowych środków dowodowych: </w:t>
      </w:r>
    </w:p>
    <w:p w:rsidR="00994FC2" w:rsidRPr="00994FC2" w:rsidRDefault="00994FC2" w:rsidP="00994FC2">
      <w:pPr>
        <w:numPr>
          <w:ilvl w:val="0"/>
          <w:numId w:val="6"/>
        </w:numPr>
        <w:autoSpaceDE w:val="0"/>
        <w:autoSpaceDN w:val="0"/>
        <w:adjustRightInd w:val="0"/>
        <w:spacing w:after="0" w:line="312" w:lineRule="auto"/>
        <w:ind w:hanging="29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Wykazu spełniania parametrów technicznych, według wzoru stanowiącego Załącznik nr 7 do SWZ, </w:t>
      </w:r>
    </w:p>
    <w:p w:rsidR="00994FC2" w:rsidRPr="00994FC2" w:rsidRDefault="00994FC2" w:rsidP="00994FC2">
      <w:pPr>
        <w:numPr>
          <w:ilvl w:val="0"/>
          <w:numId w:val="7"/>
        </w:numPr>
        <w:shd w:val="clear" w:color="auto" w:fill="FFFFFF"/>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Zamawiający akceptuje równoważne przedmiotowe środki dowodowe, jeśli potwierdzają, że oferowane dostawy spełniają określone przez Zamawiającego wymagania, cechy lub kryteria.</w:t>
      </w:r>
    </w:p>
    <w:p w:rsidR="00994FC2" w:rsidRPr="00994FC2" w:rsidRDefault="00994FC2" w:rsidP="00994FC2">
      <w:pPr>
        <w:numPr>
          <w:ilvl w:val="0"/>
          <w:numId w:val="7"/>
        </w:numPr>
        <w:shd w:val="clear" w:color="auto" w:fill="FFFFFF"/>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994FC2" w:rsidRPr="00994FC2" w:rsidRDefault="00994FC2" w:rsidP="00994FC2">
      <w:pPr>
        <w:numPr>
          <w:ilvl w:val="0"/>
          <w:numId w:val="7"/>
        </w:numPr>
        <w:shd w:val="clear" w:color="auto" w:fill="FFFFFF"/>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Zamawiający może żądać od wykonawców wyjaśnień dotyczących treści przedmiotowych środków dowodowych.</w:t>
      </w:r>
    </w:p>
    <w:p w:rsidR="00994FC2" w:rsidRPr="00994FC2" w:rsidRDefault="00994FC2" w:rsidP="00994FC2">
      <w:pPr>
        <w:shd w:val="clear" w:color="auto" w:fill="FFFFFF"/>
        <w:spacing w:after="0" w:line="312" w:lineRule="auto"/>
        <w:contextualSpacing/>
        <w:jc w:val="both"/>
        <w:rPr>
          <w:rFonts w:ascii="Times New Roman" w:eastAsia="Times New Roman" w:hAnsi="Times New Roman" w:cs="Times New Roman"/>
          <w:sz w:val="24"/>
          <w:szCs w:val="24"/>
        </w:rPr>
      </w:pPr>
    </w:p>
    <w:p w:rsidR="00994FC2" w:rsidRPr="00994FC2" w:rsidRDefault="00994FC2" w:rsidP="00994FC2">
      <w:pPr>
        <w:numPr>
          <w:ilvl w:val="0"/>
          <w:numId w:val="1"/>
        </w:numPr>
        <w:shd w:val="clear" w:color="auto" w:fill="FFFFFF"/>
        <w:spacing w:after="0" w:line="312" w:lineRule="auto"/>
        <w:ind w:left="426" w:hanging="426"/>
        <w:contextualSpacing/>
        <w:jc w:val="both"/>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TERMIN WYKONANIA ZAMÓWIENIA</w:t>
      </w:r>
    </w:p>
    <w:p w:rsidR="00994FC2" w:rsidRPr="00994FC2" w:rsidRDefault="00994FC2" w:rsidP="00994FC2">
      <w:pPr>
        <w:shd w:val="clear" w:color="auto" w:fill="FFFFFF"/>
        <w:spacing w:after="0" w:line="312" w:lineRule="auto"/>
        <w:jc w:val="both"/>
        <w:rPr>
          <w:rFonts w:ascii="Times New Roman" w:eastAsia="Times New Roman" w:hAnsi="Times New Roman" w:cs="Times New Roman"/>
          <w:b/>
          <w:bCs/>
          <w:sz w:val="24"/>
          <w:szCs w:val="24"/>
        </w:rPr>
      </w:pPr>
      <w:r w:rsidRPr="00994FC2">
        <w:rPr>
          <w:rFonts w:ascii="Times New Roman" w:eastAsia="Times New Roman" w:hAnsi="Times New Roman" w:cs="Times New Roman"/>
          <w:sz w:val="24"/>
          <w:szCs w:val="24"/>
        </w:rPr>
        <w:t xml:space="preserve">Wymagany okres realizacji przedmiotu zamówienia: </w:t>
      </w:r>
      <w:r w:rsidRPr="00994FC2">
        <w:rPr>
          <w:rFonts w:ascii="Times New Roman" w:eastAsia="Times New Roman" w:hAnsi="Times New Roman" w:cs="Times New Roman"/>
          <w:b/>
          <w:bCs/>
          <w:sz w:val="24"/>
          <w:szCs w:val="24"/>
        </w:rPr>
        <w:t xml:space="preserve">w ciągu maksymalnie </w:t>
      </w:r>
      <w:r w:rsidR="00D33267">
        <w:rPr>
          <w:rFonts w:ascii="Times New Roman" w:eastAsia="Times New Roman" w:hAnsi="Times New Roman" w:cs="Times New Roman"/>
          <w:b/>
          <w:bCs/>
          <w:sz w:val="24"/>
          <w:szCs w:val="24"/>
        </w:rPr>
        <w:t>12</w:t>
      </w:r>
      <w:r w:rsidRPr="00994FC2">
        <w:rPr>
          <w:rFonts w:ascii="Times New Roman" w:eastAsia="Times New Roman" w:hAnsi="Times New Roman" w:cs="Times New Roman"/>
          <w:b/>
          <w:bCs/>
          <w:sz w:val="24"/>
          <w:szCs w:val="24"/>
        </w:rPr>
        <w:t xml:space="preserve"> tygodni od dnia podpisania umowy.</w:t>
      </w:r>
    </w:p>
    <w:p w:rsidR="00994FC2" w:rsidRPr="00994FC2" w:rsidRDefault="00994FC2" w:rsidP="00994FC2">
      <w:pPr>
        <w:shd w:val="clear" w:color="auto" w:fill="FFFFFF"/>
        <w:spacing w:after="0" w:line="312" w:lineRule="auto"/>
        <w:jc w:val="both"/>
        <w:rPr>
          <w:rFonts w:ascii="Times New Roman" w:eastAsia="Times New Roman" w:hAnsi="Times New Roman" w:cs="Times New Roman"/>
          <w:b/>
          <w:bCs/>
          <w:sz w:val="24"/>
          <w:szCs w:val="24"/>
        </w:rPr>
      </w:pPr>
    </w:p>
    <w:p w:rsidR="00994FC2" w:rsidRPr="00994FC2" w:rsidRDefault="00994FC2" w:rsidP="00994FC2">
      <w:pPr>
        <w:numPr>
          <w:ilvl w:val="0"/>
          <w:numId w:val="1"/>
        </w:numPr>
        <w:autoSpaceDE w:val="0"/>
        <w:autoSpaceDN w:val="0"/>
        <w:adjustRightInd w:val="0"/>
        <w:spacing w:after="0" w:line="312"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 PODSTAWY WYKLUCZENIA Z POSTĘPOWANIA</w:t>
      </w:r>
    </w:p>
    <w:p w:rsidR="00994FC2" w:rsidRPr="00994FC2" w:rsidRDefault="00994FC2" w:rsidP="00994FC2">
      <w:pPr>
        <w:numPr>
          <w:ilvl w:val="0"/>
          <w:numId w:val="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 postępowania o udzielenie zamówienia wyklucza się Wykonawcę, w stosunku do którego zachodzi którakolwiek z okoliczności wskazanych w art. 108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tj.:</w:t>
      </w:r>
    </w:p>
    <w:p w:rsidR="00994FC2" w:rsidRPr="00994FC2" w:rsidRDefault="00994FC2" w:rsidP="00994FC2">
      <w:pPr>
        <w:numPr>
          <w:ilvl w:val="0"/>
          <w:numId w:val="9"/>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będącego osobą fizyczną, którego prawomocnie skazano za przestępstwo:</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lastRenderedPageBreak/>
        <w:t>udziału w zorganizowanej grupie przestępczej albo związku mającym na celu popełnienie przestępstwa lub przestępstwa skarbowego, o którym mowa w art. 258 Kodeksu karnego,</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handlu ludźmi, o którym mowa w art. 189a Kodeksu karnego,</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o którym mowa w art. 228-230a, art. 250a Kodeksu karnego lub w art. 46 lub art. 48 ustawy z dnia 25 czerwca 2010 r. o sporcie,</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o charakterze terrorystycznym, o którym mowa w art. 115 § 20 Kodeksu karnego, lub mające na celu popełnienie tego przestępstwa,</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przeciwko obrotowi gospodarczemu, o których mowa w </w:t>
      </w:r>
      <w:hyperlink r:id="rId12" w:anchor="/document/16798683?unitId=art(296)&amp;cm=DOCUMENT" w:history="1">
        <w:r w:rsidRPr="00994FC2">
          <w:rPr>
            <w:rFonts w:ascii="Times New Roman" w:eastAsia="Times New Roman" w:hAnsi="Times New Roman" w:cs="Times New Roman"/>
            <w:sz w:val="24"/>
            <w:szCs w:val="24"/>
          </w:rPr>
          <w:t>art. 296-307</w:t>
        </w:r>
      </w:hyperlink>
      <w:r w:rsidRPr="00994FC2">
        <w:rPr>
          <w:rFonts w:ascii="Times New Roman" w:eastAsia="Times New Roman" w:hAnsi="Times New Roman" w:cs="Times New Roman"/>
          <w:sz w:val="24"/>
          <w:szCs w:val="24"/>
        </w:rPr>
        <w:t xml:space="preserve"> Kodeksu karnego, przestępstwo oszustwa, o którym mowa w art. 286 Kodeksu karnego, przestępstwo przeciwko wiarygodności dokumentów, o których mowa w art. 270-277d Kodeksu karnego, lub przestępstwo skarbowe,</w:t>
      </w:r>
    </w:p>
    <w:p w:rsidR="00994FC2" w:rsidRPr="00994FC2" w:rsidRDefault="00994FC2" w:rsidP="00994FC2">
      <w:pPr>
        <w:numPr>
          <w:ilvl w:val="0"/>
          <w:numId w:val="10"/>
        </w:numPr>
        <w:shd w:val="clear" w:color="auto" w:fill="FFFFFF"/>
        <w:spacing w:after="0" w:line="312" w:lineRule="auto"/>
        <w:ind w:left="993" w:hanging="284"/>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994FC2" w:rsidRPr="00994FC2" w:rsidRDefault="00994FC2" w:rsidP="00994FC2">
      <w:pPr>
        <w:shd w:val="clear" w:color="auto" w:fill="FFFFFF"/>
        <w:spacing w:after="0" w:line="312" w:lineRule="auto"/>
        <w:ind w:left="709"/>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lub za odpowiedni czyn zabroniony określony w przepisach prawa obcego;</w:t>
      </w:r>
    </w:p>
    <w:p w:rsidR="00994FC2" w:rsidRPr="00994FC2" w:rsidRDefault="00994FC2" w:rsidP="00994FC2">
      <w:pPr>
        <w:numPr>
          <w:ilvl w:val="0"/>
          <w:numId w:val="11"/>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FC2" w:rsidRPr="00994FC2" w:rsidRDefault="00994FC2" w:rsidP="00994FC2">
      <w:pPr>
        <w:numPr>
          <w:ilvl w:val="0"/>
          <w:numId w:val="11"/>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FC2" w:rsidRPr="00994FC2" w:rsidRDefault="00994FC2" w:rsidP="00994FC2">
      <w:pPr>
        <w:numPr>
          <w:ilvl w:val="0"/>
          <w:numId w:val="11"/>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wobec którego prawomocnie orzeczono zakaz ubiegania się o zamówienia publiczne;</w:t>
      </w:r>
    </w:p>
    <w:p w:rsidR="00994FC2" w:rsidRPr="00994FC2" w:rsidRDefault="00994FC2" w:rsidP="00994FC2">
      <w:pPr>
        <w:numPr>
          <w:ilvl w:val="0"/>
          <w:numId w:val="11"/>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FC2" w:rsidRPr="00994FC2" w:rsidRDefault="00994FC2" w:rsidP="00994FC2">
      <w:pPr>
        <w:numPr>
          <w:ilvl w:val="0"/>
          <w:numId w:val="11"/>
        </w:numPr>
        <w:shd w:val="clear" w:color="auto" w:fill="FFFFFF"/>
        <w:spacing w:after="0" w:line="312"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jeżeli, w przypadkach, o których mowa w art. 85 ust. 1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94FC2" w:rsidRPr="00994FC2" w:rsidRDefault="00994FC2" w:rsidP="00994FC2">
      <w:pPr>
        <w:numPr>
          <w:ilvl w:val="0"/>
          <w:numId w:val="8"/>
        </w:numPr>
        <w:spacing w:after="0" w:line="312" w:lineRule="auto"/>
        <w:jc w:val="both"/>
        <w:rPr>
          <w:rFonts w:ascii="Times New Roman" w:eastAsia="DengXian" w:hAnsi="Times New Roman" w:cs="Times New Roman"/>
          <w:b/>
          <w:sz w:val="24"/>
          <w:szCs w:val="24"/>
        </w:rPr>
      </w:pPr>
      <w:r w:rsidRPr="00994FC2">
        <w:rPr>
          <w:rFonts w:ascii="Times New Roman" w:eastAsia="DengXian" w:hAnsi="Times New Roman" w:cs="Times New Roman"/>
          <w:bCs/>
          <w:sz w:val="24"/>
          <w:szCs w:val="24"/>
        </w:rPr>
        <w:t xml:space="preserve">Zamawiający wykluczy z postępowania wykonawcę, wobec którego zachodzą podstawy wykluczenia, o których mowa w art. 109 ust. 1 pkt 1 lub 4 </w:t>
      </w:r>
      <w:proofErr w:type="spellStart"/>
      <w:r w:rsidRPr="00994FC2">
        <w:rPr>
          <w:rFonts w:ascii="Times New Roman" w:eastAsia="DengXian" w:hAnsi="Times New Roman" w:cs="Times New Roman"/>
          <w:bCs/>
          <w:sz w:val="24"/>
          <w:szCs w:val="24"/>
        </w:rPr>
        <w:t>p.z.p</w:t>
      </w:r>
      <w:proofErr w:type="spellEnd"/>
      <w:r w:rsidRPr="00994FC2">
        <w:rPr>
          <w:rFonts w:ascii="Times New Roman" w:eastAsia="DengXian" w:hAnsi="Times New Roman" w:cs="Times New Roman"/>
          <w:bCs/>
          <w:sz w:val="24"/>
          <w:szCs w:val="24"/>
        </w:rPr>
        <w:t>., tj. Zamawiający wykluczy wykonawcę:</w:t>
      </w:r>
    </w:p>
    <w:p w:rsidR="00994FC2" w:rsidRPr="00994FC2" w:rsidRDefault="00994FC2" w:rsidP="00994FC2">
      <w:pPr>
        <w:numPr>
          <w:ilvl w:val="1"/>
          <w:numId w:val="11"/>
        </w:numPr>
        <w:spacing w:after="0" w:line="312" w:lineRule="auto"/>
        <w:ind w:left="709" w:hanging="283"/>
        <w:jc w:val="both"/>
        <w:rPr>
          <w:rFonts w:ascii="Times New Roman" w:eastAsia="Times New Roman" w:hAnsi="Times New Roman" w:cs="Times New Roman"/>
          <w:sz w:val="24"/>
          <w:szCs w:val="24"/>
          <w:shd w:val="clear" w:color="auto" w:fill="FFFFFF"/>
        </w:rPr>
      </w:pPr>
      <w:r w:rsidRPr="00994FC2">
        <w:rPr>
          <w:rFonts w:ascii="Times New Roman" w:eastAsia="Times New Roman" w:hAnsi="Times New Roman" w:cs="Times New Roman"/>
          <w:sz w:val="24"/>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sidRPr="00994FC2">
        <w:rPr>
          <w:rFonts w:ascii="Times New Roman" w:eastAsia="Times New Roman" w:hAnsi="Times New Roman" w:cs="Times New Roman"/>
          <w:sz w:val="24"/>
          <w:szCs w:val="24"/>
          <w:shd w:val="clear" w:color="auto" w:fill="FFFFFF"/>
        </w:rPr>
        <w:t>p.z.p</w:t>
      </w:r>
      <w:proofErr w:type="spellEnd"/>
      <w:r w:rsidRPr="00994FC2">
        <w:rPr>
          <w:rFonts w:ascii="Times New Roman" w:eastAsia="Times New Roman" w:hAnsi="Times New Roman" w:cs="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94FC2" w:rsidRPr="00994FC2" w:rsidRDefault="00994FC2" w:rsidP="00994FC2">
      <w:pPr>
        <w:numPr>
          <w:ilvl w:val="1"/>
          <w:numId w:val="11"/>
        </w:numPr>
        <w:spacing w:after="0" w:line="312" w:lineRule="auto"/>
        <w:ind w:left="709" w:hanging="283"/>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94FC2" w:rsidRPr="00994FC2" w:rsidRDefault="00994FC2" w:rsidP="00994FC2">
      <w:pPr>
        <w:numPr>
          <w:ilvl w:val="0"/>
          <w:numId w:val="12"/>
        </w:num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 xml:space="preserve">Wykluczenie Wykonawcy następuje zgodnie z art. 111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p>
    <w:p w:rsidR="00994FC2" w:rsidRPr="00994FC2" w:rsidRDefault="00994FC2" w:rsidP="00994FC2">
      <w:pPr>
        <w:numPr>
          <w:ilvl w:val="0"/>
          <w:numId w:val="12"/>
        </w:num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Wykonawca może zostać wykluczony przez Zamawiającego na każdym etapie postępowania o udzielenie zamówienia.</w:t>
      </w:r>
    </w:p>
    <w:p w:rsidR="00994FC2" w:rsidRPr="00994FC2" w:rsidRDefault="00994FC2" w:rsidP="00994FC2">
      <w:pPr>
        <w:numPr>
          <w:ilvl w:val="0"/>
          <w:numId w:val="12"/>
        </w:num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 xml:space="preserve">Wykonawca nie podlega </w:t>
      </w:r>
      <w:r w:rsidRPr="00994FC2">
        <w:rPr>
          <w:rFonts w:ascii="Times New Roman" w:eastAsia="DengXian" w:hAnsi="Times New Roman" w:cs="Times New Roman"/>
          <w:sz w:val="24"/>
          <w:szCs w:val="24"/>
        </w:rPr>
        <w:t>wykluczeniu</w:t>
      </w:r>
      <w:r w:rsidRPr="00994FC2">
        <w:rPr>
          <w:rFonts w:ascii="Times New Roman" w:eastAsia="DengXian" w:hAnsi="Times New Roman" w:cs="Times New Roman"/>
          <w:sz w:val="24"/>
          <w:szCs w:val="24"/>
          <w:shd w:val="clear" w:color="auto" w:fill="FFFFFF"/>
        </w:rPr>
        <w:t xml:space="preserve"> w okolicznościach określonych w art. 108 ust. 1 pkt 1, 2 i 5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lub art. 109 ust. 1 pkt 4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jeżeli udowodni Zamawiającemu, że spełnił łącznie przesłanki wskazane w art. 110 ust. 2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w:t>
      </w:r>
    </w:p>
    <w:p w:rsidR="00994FC2" w:rsidRPr="00994FC2" w:rsidRDefault="00994FC2" w:rsidP="00994FC2">
      <w:pPr>
        <w:numPr>
          <w:ilvl w:val="0"/>
          <w:numId w:val="12"/>
        </w:num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 xml:space="preserve">Zamawiający oceni, czy podjęte przez wykonawcę czynności, o których mowa w art. 110 ust. 2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są wystarczające do wykazania jego rzetelności, uwzględniając wagę i </w:t>
      </w:r>
      <w:r w:rsidRPr="00994FC2">
        <w:rPr>
          <w:rFonts w:ascii="Times New Roman" w:eastAsia="DengXian" w:hAnsi="Times New Roman" w:cs="Times New Roman"/>
          <w:sz w:val="24"/>
          <w:szCs w:val="24"/>
          <w:shd w:val="clear" w:color="auto" w:fill="FFFFFF"/>
        </w:rPr>
        <w:lastRenderedPageBreak/>
        <w:t>szczególne okoliczności czynu wykonawcy. Jeżeli podjęte przez wykonawcę czynności nie są wystarczające do wykazania jego rzetelności, Zamawiający wyklucza wykonawcę.</w:t>
      </w:r>
    </w:p>
    <w:p w:rsidR="00994FC2" w:rsidRPr="00994FC2" w:rsidRDefault="00994FC2" w:rsidP="00994FC2">
      <w:pPr>
        <w:numPr>
          <w:ilvl w:val="0"/>
          <w:numId w:val="12"/>
        </w:numPr>
        <w:spacing w:after="0" w:line="312" w:lineRule="auto"/>
        <w:ind w:left="426" w:hanging="426"/>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 SWZ, jest wystarczająca do wykonania zamówienia.</w:t>
      </w:r>
    </w:p>
    <w:p w:rsidR="00994FC2" w:rsidRP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spacing w:after="0" w:line="312"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WARUNKI UDZIAŁU W POSTĘPOWANIU</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stawia warunku udziału w postępowaniu. </w:t>
      </w:r>
    </w:p>
    <w:p w:rsidR="00994FC2" w:rsidRPr="00994FC2" w:rsidRDefault="00994FC2" w:rsidP="00994FC2">
      <w:pPr>
        <w:autoSpaceDE w:val="0"/>
        <w:autoSpaceDN w:val="0"/>
        <w:adjustRightInd w:val="0"/>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tabs>
          <w:tab w:val="left" w:pos="284"/>
        </w:tabs>
        <w:spacing w:after="0" w:line="312"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WSPÓLNE UBIEGANIE SIĘ O UDZIELENIE ZAMÓWIENIA</w:t>
      </w:r>
    </w:p>
    <w:p w:rsidR="00994FC2" w:rsidRPr="00994FC2" w:rsidRDefault="00994FC2" w:rsidP="00994FC2">
      <w:pPr>
        <w:numPr>
          <w:ilvl w:val="3"/>
          <w:numId w:val="1"/>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rsidR="00994FC2" w:rsidRPr="00994FC2" w:rsidRDefault="00994FC2" w:rsidP="00994FC2">
      <w:pPr>
        <w:spacing w:after="0" w:line="312" w:lineRule="auto"/>
        <w:ind w:left="426" w:hanging="426"/>
        <w:jc w:val="both"/>
        <w:rPr>
          <w:rFonts w:ascii="Times New Roman" w:eastAsia="DengXian" w:hAnsi="Times New Roman" w:cs="Times New Roman"/>
          <w:strike/>
          <w:sz w:val="24"/>
          <w:szCs w:val="24"/>
        </w:rPr>
      </w:pPr>
      <w:r w:rsidRPr="00994FC2">
        <w:rPr>
          <w:rFonts w:ascii="Times New Roman" w:eastAsia="DengXian" w:hAnsi="Times New Roman" w:cs="Times New Roman"/>
          <w:sz w:val="24"/>
          <w:szCs w:val="24"/>
        </w:rPr>
        <w:t>2.</w:t>
      </w:r>
      <w:r w:rsidRPr="00994FC2">
        <w:rPr>
          <w:rFonts w:ascii="Times New Roman" w:eastAsia="DengXian" w:hAnsi="Times New Roman" w:cs="Times New Roman"/>
          <w:sz w:val="24"/>
          <w:szCs w:val="24"/>
        </w:rPr>
        <w:tab/>
        <w:t>Jednolity Europejski Dokument Zamówienia (JEDZ) składa każdy z Wykonawców wspólnie ubiegających się o zamówienie. Oświadczenia te potwierdzają brak podstaw do wykluczenia każdego z wykonawców wspólnie ubiegających się o udzielenie zamówienia.</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3.</w:t>
      </w:r>
      <w:r w:rsidRPr="00994FC2">
        <w:rPr>
          <w:rFonts w:ascii="Times New Roman" w:eastAsia="DengXian" w:hAnsi="Times New Roman" w:cs="Times New Roman"/>
          <w:sz w:val="24"/>
          <w:szCs w:val="24"/>
        </w:rPr>
        <w:tab/>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4.</w:t>
      </w:r>
      <w:r w:rsidRPr="00994FC2">
        <w:rPr>
          <w:rFonts w:ascii="Times New Roman" w:eastAsia="DengXian" w:hAnsi="Times New Roman" w:cs="Times New Roman"/>
          <w:sz w:val="24"/>
          <w:szCs w:val="24"/>
        </w:rPr>
        <w:tab/>
      </w:r>
      <w:r w:rsidRPr="00994FC2">
        <w:rPr>
          <w:rFonts w:ascii="Times New Roman" w:eastAsia="DengXian" w:hAnsi="Times New Roman" w:cs="Times New Roman"/>
          <w:sz w:val="24"/>
          <w:szCs w:val="24"/>
          <w:shd w:val="clear" w:color="auto" w:fill="FFFFFF"/>
        </w:rPr>
        <w:t>Wykonawcy wspólnie ubiegający się o udzielenie zamówienia wskazuj</w:t>
      </w:r>
      <w:r w:rsidRPr="00994FC2">
        <w:rPr>
          <w:rFonts w:ascii="Times New Roman" w:eastAsia="Times New Roman" w:hAnsi="Times New Roman" w:cs="Times New Roman"/>
          <w:sz w:val="24"/>
          <w:szCs w:val="24"/>
          <w:shd w:val="clear" w:color="auto" w:fill="FFFFFF"/>
        </w:rPr>
        <w:t>ą</w:t>
      </w:r>
      <w:r w:rsidRPr="00994FC2">
        <w:rPr>
          <w:rFonts w:ascii="Times New Roman" w:eastAsia="DengXian" w:hAnsi="Times New Roman" w:cs="Times New Roman"/>
          <w:sz w:val="24"/>
          <w:szCs w:val="24"/>
          <w:shd w:val="clear" w:color="auto" w:fill="FFFFFF"/>
        </w:rPr>
        <w:t xml:space="preserve"> w formularzu oferty, które części zamówienia wykonają </w:t>
      </w:r>
      <w:r w:rsidRPr="00994FC2">
        <w:rPr>
          <w:rFonts w:ascii="Times New Roman" w:eastAsia="DengXian" w:hAnsi="Times New Roman" w:cs="Times New Roman"/>
          <w:sz w:val="24"/>
          <w:szCs w:val="24"/>
        </w:rPr>
        <w:t>poszczególni</w:t>
      </w:r>
      <w:r w:rsidRPr="00994FC2">
        <w:rPr>
          <w:rFonts w:ascii="Times New Roman" w:eastAsia="DengXian" w:hAnsi="Times New Roman" w:cs="Times New Roman"/>
          <w:sz w:val="24"/>
          <w:szCs w:val="24"/>
          <w:shd w:val="clear" w:color="auto" w:fill="FFFFFF"/>
        </w:rPr>
        <w:t xml:space="preserve"> wykonawcy.</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5.</w:t>
      </w:r>
      <w:r w:rsidRPr="00994FC2">
        <w:rPr>
          <w:rFonts w:ascii="Times New Roman" w:eastAsia="DengXian" w:hAnsi="Times New Roman" w:cs="Times New Roman"/>
          <w:sz w:val="24"/>
          <w:szCs w:val="24"/>
        </w:rPr>
        <w:tab/>
        <w:t>Wszelka korespondencja oraz rozliczenia dotyczące realizacji zamówienia dokonywane będą z jednym Wykonawcą wskazanym i upoważnionym w pełnomocnictwie przez pozostałych Wykonawców.</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6.</w:t>
      </w:r>
      <w:r w:rsidRPr="00994FC2">
        <w:rPr>
          <w:rFonts w:ascii="Times New Roman" w:eastAsia="DengXian" w:hAnsi="Times New Roman" w:cs="Times New Roman"/>
          <w:sz w:val="24"/>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rsidR="00994FC2" w:rsidRPr="00994FC2" w:rsidRDefault="00994FC2" w:rsidP="00994FC2">
      <w:pPr>
        <w:autoSpaceDE w:val="0"/>
        <w:autoSpaceDN w:val="0"/>
        <w:adjustRightInd w:val="0"/>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autoSpaceDE w:val="0"/>
        <w:autoSpaceDN w:val="0"/>
        <w:adjustRightInd w:val="0"/>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PODMIOTOWE ŚRODKI DOWODOWE ORAZ JEDZ</w:t>
      </w:r>
    </w:p>
    <w:p w:rsidR="00994FC2" w:rsidRPr="00994FC2" w:rsidRDefault="00994FC2" w:rsidP="00994FC2">
      <w:pPr>
        <w:numPr>
          <w:ilvl w:val="0"/>
          <w:numId w:val="13"/>
        </w:numPr>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b/>
          <w:bCs/>
          <w:sz w:val="24"/>
          <w:szCs w:val="24"/>
        </w:rPr>
        <w:t>Wraz z ofertą</w:t>
      </w:r>
      <w:r w:rsidRPr="00994FC2">
        <w:rPr>
          <w:rFonts w:ascii="Times New Roman" w:eastAsia="Calibri" w:hAnsi="Times New Roman" w:cs="Times New Roman"/>
          <w:sz w:val="24"/>
          <w:szCs w:val="24"/>
        </w:rPr>
        <w:t xml:space="preserve"> Wykonawca składa oświadczenie w formie Jednolitego Europejskiego Dokumentu Zamówienia (JEDZ), sporządzone zgodnie ze wzorem standardowego </w:t>
      </w:r>
      <w:r w:rsidRPr="00994FC2">
        <w:rPr>
          <w:rFonts w:ascii="Times New Roman" w:eastAsia="Calibri" w:hAnsi="Times New Roman" w:cs="Times New Roman"/>
          <w:sz w:val="24"/>
          <w:szCs w:val="24"/>
        </w:rPr>
        <w:lastRenderedPageBreak/>
        <w:t xml:space="preserve">formularza określonego w rozporządzeniu wykonawczym Komisji (UE) 2016/7 z dnia 5 stycznia 2016 r. ustanawiającym standardowy formularz jednolitego europejskiego dokumentu zamówienia (Dz. Urz. UE L 3 z 06.01.2016, str. 16). </w:t>
      </w:r>
    </w:p>
    <w:p w:rsidR="00994FC2" w:rsidRPr="00994FC2" w:rsidRDefault="00994FC2" w:rsidP="00994FC2">
      <w:pPr>
        <w:numPr>
          <w:ilvl w:val="0"/>
          <w:numId w:val="13"/>
        </w:numPr>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Wykonawca składa JEDZ w oryginale w postaci dokumentu elektronicznego podpisanego kwalifikowanym podpisem elektronicznym przez osobę upoważnioną do reprezentowania Wykonawcy.</w:t>
      </w:r>
    </w:p>
    <w:p w:rsidR="00994FC2" w:rsidRPr="00994FC2" w:rsidRDefault="00994FC2" w:rsidP="00994FC2">
      <w:pPr>
        <w:numPr>
          <w:ilvl w:val="0"/>
          <w:numId w:val="13"/>
        </w:numPr>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Przy wypełnianiu formularza JEDZ Wykonawca może skorzystać z instrukcji jego wypełniania, zamieszczonej przez Urząd Zamówień Publicznych na stronie internetowej pod adresem: </w:t>
      </w:r>
      <w:hyperlink r:id="rId13" w:history="1">
        <w:r w:rsidRPr="00994FC2">
          <w:rPr>
            <w:rFonts w:ascii="Times New Roman" w:eastAsia="Calibri" w:hAnsi="Times New Roman" w:cs="Times New Roman"/>
            <w:color w:val="0000FF"/>
            <w:sz w:val="24"/>
            <w:szCs w:val="24"/>
            <w:u w:val="single"/>
          </w:rPr>
          <w:t>https://www.uzp.gov.pl/__data/assets/pdf_file/0026/45557/Jednolity-Europejski-Dokument-Zamowienia-instrukcja-2021.01.20.pdf</w:t>
        </w:r>
      </w:hyperlink>
      <w:r w:rsidRPr="00994FC2">
        <w:rPr>
          <w:rFonts w:ascii="Times New Roman" w:eastAsia="Calibri" w:hAnsi="Times New Roman" w:cs="Times New Roman"/>
          <w:sz w:val="24"/>
          <w:szCs w:val="24"/>
        </w:rPr>
        <w:t xml:space="preserve"> </w:t>
      </w:r>
    </w:p>
    <w:p w:rsidR="00994FC2" w:rsidRPr="00994FC2" w:rsidRDefault="00994FC2" w:rsidP="00994FC2">
      <w:pPr>
        <w:numPr>
          <w:ilvl w:val="0"/>
          <w:numId w:val="13"/>
        </w:numPr>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Zasady wypełniania JEDZ:</w:t>
      </w:r>
    </w:p>
    <w:p w:rsidR="00994FC2" w:rsidRPr="00994FC2" w:rsidRDefault="00994FC2" w:rsidP="00994FC2">
      <w:pPr>
        <w:numPr>
          <w:ilvl w:val="1"/>
          <w:numId w:val="14"/>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Części II Sekcji D JEDZ (</w:t>
      </w:r>
      <w:r w:rsidRPr="00994FC2">
        <w:rPr>
          <w:rFonts w:ascii="Times New Roman" w:eastAsia="DengXian" w:hAnsi="Times New Roman" w:cs="Times New Roman"/>
          <w:i/>
          <w:iCs/>
          <w:sz w:val="24"/>
          <w:szCs w:val="24"/>
        </w:rPr>
        <w:t>Informacje dotyczące podwykonawców, na których zdolności Wykonawca nie polega</w:t>
      </w:r>
      <w:r w:rsidRPr="00994FC2">
        <w:rPr>
          <w:rFonts w:ascii="Times New Roman" w:eastAsia="DengXian" w:hAnsi="Times New Roman" w:cs="Times New Roman"/>
          <w:sz w:val="24"/>
          <w:szCs w:val="24"/>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dokumentów JEDZ, </w:t>
      </w:r>
    </w:p>
    <w:p w:rsidR="00994FC2" w:rsidRPr="00994FC2" w:rsidRDefault="00994FC2" w:rsidP="00994FC2">
      <w:pPr>
        <w:numPr>
          <w:ilvl w:val="1"/>
          <w:numId w:val="14"/>
        </w:numPr>
        <w:spacing w:after="0" w:line="312" w:lineRule="auto"/>
        <w:ind w:left="788" w:hanging="43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Część IV (</w:t>
      </w:r>
      <w:r w:rsidRPr="00994FC2">
        <w:rPr>
          <w:rFonts w:ascii="Times New Roman" w:eastAsia="DengXian" w:hAnsi="Times New Roman" w:cs="Times New Roman"/>
          <w:i/>
          <w:iCs/>
          <w:sz w:val="24"/>
          <w:szCs w:val="24"/>
        </w:rPr>
        <w:t>Kryteria kwalifikacji</w:t>
      </w:r>
      <w:r w:rsidRPr="00994FC2">
        <w:rPr>
          <w:rFonts w:ascii="Times New Roman" w:eastAsia="DengXian" w:hAnsi="Times New Roman" w:cs="Times New Roman"/>
          <w:sz w:val="24"/>
          <w:szCs w:val="24"/>
        </w:rPr>
        <w:t>) i V (</w:t>
      </w:r>
      <w:r w:rsidRPr="00994FC2">
        <w:rPr>
          <w:rFonts w:ascii="Times New Roman" w:eastAsia="DengXian" w:hAnsi="Times New Roman" w:cs="Times New Roman"/>
          <w:i/>
          <w:sz w:val="24"/>
          <w:szCs w:val="24"/>
        </w:rPr>
        <w:t>Ograniczenie liczby kwalifikujących się kandydatów</w:t>
      </w:r>
      <w:r w:rsidRPr="00994FC2">
        <w:rPr>
          <w:rFonts w:ascii="Times New Roman" w:eastAsia="DengXian" w:hAnsi="Times New Roman" w:cs="Times New Roman"/>
          <w:sz w:val="24"/>
          <w:szCs w:val="24"/>
        </w:rPr>
        <w:t>) należy pozostawić niewypełnioną.</w:t>
      </w:r>
    </w:p>
    <w:p w:rsidR="00994FC2" w:rsidRPr="00994FC2" w:rsidRDefault="00994FC2" w:rsidP="00994FC2">
      <w:pPr>
        <w:numPr>
          <w:ilvl w:val="0"/>
          <w:numId w:val="1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rsidR="00994FC2" w:rsidRPr="00994FC2" w:rsidRDefault="00994FC2" w:rsidP="00994FC2">
      <w:pPr>
        <w:numPr>
          <w:ilvl w:val="0"/>
          <w:numId w:val="1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Po stworzeniu lub wygenerowaniu przez wykonawcę dokumentu elektronicznego JEDZ, wykonawca podpisuje ww. dokument kwalifikowanym podpisem elektronicznym. </w:t>
      </w:r>
    </w:p>
    <w:p w:rsidR="00994FC2" w:rsidRPr="00994FC2" w:rsidRDefault="00994FC2" w:rsidP="00994FC2">
      <w:pPr>
        <w:numPr>
          <w:ilvl w:val="0"/>
          <w:numId w:val="13"/>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celu potwierdzenia braku podstaw wykluczenia Wykonawcy z udziału w postępowaniu Zamawiający</w:t>
      </w:r>
      <w:r w:rsidRPr="00994FC2">
        <w:rPr>
          <w:rFonts w:ascii="Times New Roman" w:eastAsia="DengXian" w:hAnsi="Times New Roman" w:cs="Times New Roman"/>
          <w:b/>
          <w:bCs/>
          <w:sz w:val="24"/>
          <w:szCs w:val="24"/>
        </w:rPr>
        <w:t xml:space="preserve"> wezwie Wykonawcę</w:t>
      </w:r>
      <w:r w:rsidRPr="00994FC2">
        <w:rPr>
          <w:rFonts w:ascii="Times New Roman" w:eastAsia="DengXian" w:hAnsi="Times New Roman" w:cs="Times New Roman"/>
          <w:sz w:val="24"/>
          <w:szCs w:val="24"/>
        </w:rPr>
        <w:t xml:space="preserve">, którego oferta została najwyżej oceniona, </w:t>
      </w:r>
      <w:r w:rsidRPr="00994FC2">
        <w:rPr>
          <w:rFonts w:ascii="Times New Roman" w:eastAsia="DengXian" w:hAnsi="Times New Roman" w:cs="Times New Roman"/>
          <w:b/>
          <w:bCs/>
          <w:sz w:val="24"/>
          <w:szCs w:val="24"/>
        </w:rPr>
        <w:t>do złożenia</w:t>
      </w:r>
      <w:r w:rsidRPr="00994FC2">
        <w:rPr>
          <w:rFonts w:ascii="Times New Roman" w:eastAsia="DengXian" w:hAnsi="Times New Roman" w:cs="Times New Roman"/>
          <w:sz w:val="24"/>
          <w:szCs w:val="24"/>
        </w:rPr>
        <w:t xml:space="preserve"> w wyznaczonym terminie, nie krótszym niż 10 dni od dnia wezwania (art. 126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aktualnych na dzień złożenia:</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informacji z Krajowego Rejestru Karnego w zakresie podstaw wykluczenia wskazanych w art. 108 ust. 1 pkt 1, 2 i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sporządzonych nie wcześniej niż 6 miesięcy przed ich złożeniem,</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bCs/>
          <w:sz w:val="24"/>
          <w:szCs w:val="24"/>
        </w:rPr>
        <w:t>oświadczenia wykonawcy</w:t>
      </w:r>
      <w:r w:rsidRPr="00994FC2">
        <w:rPr>
          <w:rFonts w:ascii="Times New Roman" w:eastAsia="DengXian" w:hAnsi="Times New Roman" w:cs="Times New Roman"/>
          <w:sz w:val="24"/>
          <w:szCs w:val="24"/>
        </w:rPr>
        <w:t xml:space="preserve">, w zakresie art. 108 ust. 1 pkt 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o braku przynależności do tej samej grupy kapitałowej, w rozumieniu ustawy z dnia 16.02.2007 r. o ochronie konkurencji i konsumentów (</w:t>
      </w:r>
      <w:bookmarkStart w:id="7" w:name="_Hlk72784397"/>
      <w:r w:rsidRPr="00994FC2">
        <w:rPr>
          <w:rFonts w:ascii="Times New Roman" w:eastAsia="DengXian" w:hAnsi="Times New Roman" w:cs="Times New Roman"/>
          <w:sz w:val="24"/>
          <w:szCs w:val="24"/>
        </w:rPr>
        <w:t>Dz. U. z 2021 r. poz. 275</w:t>
      </w:r>
      <w:bookmarkEnd w:id="7"/>
      <w:r w:rsidRPr="00994FC2">
        <w:rPr>
          <w:rFonts w:ascii="Times New Roman" w:eastAsia="DengXian" w:hAnsi="Times New Roman" w:cs="Times New Roman"/>
          <w:sz w:val="24"/>
          <w:szCs w:val="24"/>
        </w:rPr>
        <w:t xml:space="preserve">), z </w:t>
      </w:r>
      <w:r w:rsidRPr="00994FC2">
        <w:rPr>
          <w:rFonts w:ascii="Times New Roman" w:eastAsia="DengXian" w:hAnsi="Times New Roman" w:cs="Times New Roman"/>
          <w:sz w:val="24"/>
          <w:szCs w:val="24"/>
        </w:rPr>
        <w:lastRenderedPageBreak/>
        <w:t xml:space="preserve">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sidRPr="00994FC2">
        <w:rPr>
          <w:rFonts w:ascii="Times New Roman" w:eastAsia="DengXian" w:hAnsi="Times New Roman" w:cs="Times New Roman"/>
          <w:bCs/>
          <w:sz w:val="24"/>
          <w:szCs w:val="24"/>
        </w:rPr>
        <w:t>Załącznik nr 4 do SWZ</w:t>
      </w:r>
      <w:r w:rsidRPr="00994FC2">
        <w:rPr>
          <w:rFonts w:ascii="Times New Roman" w:eastAsia="DengXian" w:hAnsi="Times New Roman" w:cs="Times New Roman"/>
          <w:sz w:val="24"/>
          <w:szCs w:val="24"/>
        </w:rPr>
        <w:t xml:space="preserve">, </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zaświadczenia właściwego naczelnika urzędu skarbowego potwierdzającego, że wykonawca nie zalega z opłacaniem podatków i opłat, w zakresie 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odpisu lub informacji z Krajowego Rejestru Sądowego lub z Centralnej Ewidencji i Informacji o Działalności Gospodarczej, w zakresie art. 109 ust. 1 pkt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sporządzonych nie wcześniej niż 3 miesiące przed jej złożeniem, jeżeli odrębne przepisy wymagają wpisu do rejestru lub ewidencji, </w:t>
      </w:r>
    </w:p>
    <w:p w:rsidR="00994FC2" w:rsidRPr="00994FC2" w:rsidRDefault="00994FC2" w:rsidP="00994FC2">
      <w:pPr>
        <w:numPr>
          <w:ilvl w:val="1"/>
          <w:numId w:val="15"/>
        </w:numPr>
        <w:spacing w:after="0" w:line="312" w:lineRule="auto"/>
        <w:ind w:left="851" w:hanging="425"/>
        <w:contextualSpacing/>
        <w:jc w:val="both"/>
        <w:rPr>
          <w:rFonts w:ascii="Times New Roman" w:eastAsia="DengXian" w:hAnsi="Times New Roman" w:cs="Times New Roman"/>
          <w:sz w:val="24"/>
          <w:szCs w:val="24"/>
        </w:rPr>
      </w:pPr>
      <w:bookmarkStart w:id="8" w:name="_Hlk75622678"/>
      <w:r w:rsidRPr="00994FC2">
        <w:rPr>
          <w:rFonts w:ascii="Times New Roman" w:eastAsia="DengXian" w:hAnsi="Times New Roman" w:cs="Times New Roman"/>
          <w:sz w:val="24"/>
          <w:szCs w:val="24"/>
        </w:rPr>
        <w:t>oświadczenia wykonawcy o aktualności informacji zawartych w oświadczeniu</w:t>
      </w:r>
      <w:bookmarkEnd w:id="8"/>
      <w:r w:rsidRPr="00994FC2">
        <w:rPr>
          <w:rFonts w:ascii="Times New Roman" w:eastAsia="DengXian" w:hAnsi="Times New Roman" w:cs="Times New Roman"/>
          <w:sz w:val="24"/>
          <w:szCs w:val="24"/>
        </w:rPr>
        <w:t xml:space="preserve"> JEDZ, </w:t>
      </w:r>
      <w:bookmarkStart w:id="9" w:name="_Hlk75623044"/>
      <w:r w:rsidRPr="00994FC2">
        <w:rPr>
          <w:rFonts w:ascii="Times New Roman" w:eastAsia="DengXian" w:hAnsi="Times New Roman" w:cs="Times New Roman"/>
          <w:sz w:val="24"/>
          <w:szCs w:val="24"/>
        </w:rPr>
        <w:t>w zakresie następujących podstaw wykluczenia z postępowania określonych w:</w:t>
      </w:r>
    </w:p>
    <w:p w:rsidR="00994FC2" w:rsidRPr="00994FC2" w:rsidRDefault="00994FC2" w:rsidP="00994FC2">
      <w:pPr>
        <w:numPr>
          <w:ilvl w:val="0"/>
          <w:numId w:val="16"/>
        </w:numPr>
        <w:spacing w:after="0" w:line="312"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3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0"/>
          <w:numId w:val="16"/>
        </w:numPr>
        <w:spacing w:after="0" w:line="312"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dotyczących orzeczenia zakazu ubiegania się o zamówienie publiczne tytułem środka zapobiegawczego,</w:t>
      </w:r>
    </w:p>
    <w:p w:rsidR="00994FC2" w:rsidRPr="00994FC2" w:rsidRDefault="00994FC2" w:rsidP="00994FC2">
      <w:pPr>
        <w:numPr>
          <w:ilvl w:val="0"/>
          <w:numId w:val="16"/>
        </w:numPr>
        <w:spacing w:after="0" w:line="312"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dotyczących zawarcia z innymi wykonawcami porozumienia mającego na celu zakłócenie konkurencji,</w:t>
      </w:r>
    </w:p>
    <w:p w:rsidR="00994FC2" w:rsidRPr="00994FC2" w:rsidRDefault="00994FC2" w:rsidP="00994FC2">
      <w:pPr>
        <w:numPr>
          <w:ilvl w:val="0"/>
          <w:numId w:val="16"/>
        </w:numPr>
        <w:spacing w:after="0" w:line="312"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 xml:space="preserve">art. 108 ust. 1 pkt 6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0"/>
          <w:numId w:val="16"/>
        </w:numPr>
        <w:spacing w:after="0" w:line="312"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odnośnie naruszenia obowiązków dotyczących płatności podatków i opłat lokalnych, o których mowa w ustawie z dnia 12 stycznia 1991 r. o podatkach i opłatach lokalnych (Dz. U. z 2019 r. poz. 1170), </w:t>
      </w:r>
    </w:p>
    <w:bookmarkEnd w:id="9"/>
    <w:p w:rsidR="00994FC2" w:rsidRPr="00994FC2" w:rsidRDefault="00994FC2" w:rsidP="00994FC2">
      <w:pPr>
        <w:spacing w:after="0" w:line="312" w:lineRule="auto"/>
        <w:ind w:left="85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 wzór oświadczenia stanowi Załącznik nr 5 do SWZ. </w:t>
      </w:r>
    </w:p>
    <w:p w:rsidR="00994FC2" w:rsidRPr="00994FC2" w:rsidRDefault="00994FC2" w:rsidP="00994FC2">
      <w:pPr>
        <w:numPr>
          <w:ilvl w:val="0"/>
          <w:numId w:val="13"/>
        </w:numPr>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Jeżeli Wykonawca ma siedzibę lub miejsce zamieszkania poza granicami Rzeczypospolitej Polskiej zamiast:</w:t>
      </w:r>
    </w:p>
    <w:p w:rsidR="00994FC2" w:rsidRPr="00994FC2" w:rsidRDefault="00994FC2" w:rsidP="00994FC2">
      <w:pPr>
        <w:numPr>
          <w:ilvl w:val="0"/>
          <w:numId w:val="17"/>
        </w:numPr>
        <w:spacing w:after="0" w:line="312" w:lineRule="auto"/>
        <w:ind w:left="85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dokumentu, o którym mowa w </w:t>
      </w:r>
      <w:bookmarkStart w:id="10" w:name="_Hlk74918880"/>
      <w:r w:rsidRPr="00994FC2">
        <w:rPr>
          <w:rFonts w:ascii="Times New Roman" w:eastAsia="DengXian" w:hAnsi="Times New Roman" w:cs="Times New Roman"/>
          <w:sz w:val="24"/>
          <w:szCs w:val="24"/>
        </w:rPr>
        <w:t xml:space="preserve">ust. 7 pkt 1 </w:t>
      </w:r>
      <w:bookmarkEnd w:id="10"/>
      <w:r w:rsidRPr="00994FC2">
        <w:rPr>
          <w:rFonts w:ascii="Times New Roman" w:eastAsia="DengXian" w:hAnsi="Times New Roman" w:cs="Times New Roman"/>
          <w:sz w:val="24"/>
          <w:szCs w:val="24"/>
        </w:rPr>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1 niniejszego rozdziału SWZ – wystawiony nie wcześniej niż 6 miesięcy przed jego złożeniem;</w:t>
      </w:r>
    </w:p>
    <w:p w:rsidR="00994FC2" w:rsidRPr="00994FC2" w:rsidRDefault="00994FC2" w:rsidP="00994FC2">
      <w:pPr>
        <w:numPr>
          <w:ilvl w:val="0"/>
          <w:numId w:val="17"/>
        </w:numPr>
        <w:spacing w:after="0" w:line="312" w:lineRule="auto"/>
        <w:ind w:left="85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dokumentów, o których mowa w ust. 7 pkt 3-5, składa dokument lub dokumenty wystawione w kraju, w którym wykonawca ma siedzibę lub miejsce zamieszkania, potwierdzające odpowiednio, że: </w:t>
      </w:r>
    </w:p>
    <w:p w:rsidR="00994FC2" w:rsidRPr="00994FC2" w:rsidRDefault="00994FC2" w:rsidP="00994FC2">
      <w:pPr>
        <w:numPr>
          <w:ilvl w:val="0"/>
          <w:numId w:val="18"/>
        </w:numPr>
        <w:spacing w:after="0" w:line="312" w:lineRule="auto"/>
        <w:ind w:left="1134"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 naruszył obowiązków dotyczących płatności podatków, opłat lub składek na ubezpieczenie społeczne lub zdrowotne, </w:t>
      </w:r>
    </w:p>
    <w:p w:rsidR="00994FC2" w:rsidRPr="00994FC2" w:rsidRDefault="00994FC2" w:rsidP="00994FC2">
      <w:pPr>
        <w:numPr>
          <w:ilvl w:val="0"/>
          <w:numId w:val="18"/>
        </w:numPr>
        <w:spacing w:after="0" w:line="312" w:lineRule="auto"/>
        <w:ind w:left="1134"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94FC2" w:rsidRPr="00994FC2" w:rsidRDefault="00994FC2" w:rsidP="00994FC2">
      <w:pPr>
        <w:spacing w:after="0" w:line="312" w:lineRule="auto"/>
        <w:ind w:left="851"/>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wystawione nie wcześniej niż 3 miesiące przed ich złożeniem.</w:t>
      </w:r>
    </w:p>
    <w:p w:rsidR="00994FC2" w:rsidRPr="00994FC2" w:rsidRDefault="00994FC2" w:rsidP="00994FC2">
      <w:pPr>
        <w:numPr>
          <w:ilvl w:val="0"/>
          <w:numId w:val="13"/>
        </w:numPr>
        <w:tabs>
          <w:tab w:val="left" w:pos="851"/>
        </w:tabs>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Jeżeli w kraju, w którym wykonawca ma siedzibę lub miejsce zamieszkania, nie wydaje się dokumentów, o których mowa w ust. 8 powyżej, lub gdy dokumenty te nie odnoszą się do wszystkich przypadków, o których mowa w art. 108 ust. 1 pkt 1, 2 i 4 oraz 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8 powyżej.</w:t>
      </w:r>
    </w:p>
    <w:p w:rsidR="00994FC2" w:rsidRPr="00994FC2" w:rsidRDefault="00994FC2" w:rsidP="00994FC2">
      <w:pPr>
        <w:numPr>
          <w:ilvl w:val="0"/>
          <w:numId w:val="13"/>
        </w:numPr>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 xml:space="preserve">Podmiotowe środki dowodowe, przedmiotowe środki dowodowe oraz inne dokumenty lub oświadczenia, sporządzone w języku obcym przekazuje się wraz z tłumaczeniem na język polski. </w:t>
      </w:r>
    </w:p>
    <w:p w:rsidR="00994FC2" w:rsidRPr="00994FC2" w:rsidRDefault="00994FC2" w:rsidP="00994FC2">
      <w:pPr>
        <w:numPr>
          <w:ilvl w:val="0"/>
          <w:numId w:val="13"/>
        </w:numPr>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dane umożliwiające dostęp do tych środków. </w:t>
      </w:r>
    </w:p>
    <w:p w:rsidR="00994FC2" w:rsidRPr="00994FC2" w:rsidRDefault="00994FC2" w:rsidP="00994FC2">
      <w:pPr>
        <w:numPr>
          <w:ilvl w:val="0"/>
          <w:numId w:val="13"/>
        </w:numPr>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994FC2" w:rsidRPr="00994FC2" w:rsidRDefault="00994FC2" w:rsidP="00994FC2">
      <w:pPr>
        <w:numPr>
          <w:ilvl w:val="0"/>
          <w:numId w:val="13"/>
        </w:numPr>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może żądać od wykonawców wyjaśnień dotyczących treści oświadczenia JEDZ, złożonych podmiotowych środków dowodowych lub innych dokumentów lub oświadczeń składanych w postępowaniu.</w:t>
      </w:r>
    </w:p>
    <w:p w:rsidR="00994FC2" w:rsidRPr="00994FC2" w:rsidRDefault="00994FC2" w:rsidP="00994FC2">
      <w:pPr>
        <w:numPr>
          <w:ilvl w:val="0"/>
          <w:numId w:val="13"/>
        </w:numPr>
        <w:spacing w:after="0" w:line="312"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zakresie nieuregulowanym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rsidR="00994FC2" w:rsidRPr="00994FC2" w:rsidRDefault="00994FC2" w:rsidP="00994FC2">
      <w:pPr>
        <w:spacing w:after="0" w:line="312" w:lineRule="auto"/>
        <w:ind w:left="502"/>
        <w:jc w:val="both"/>
        <w:rPr>
          <w:rFonts w:ascii="Times New Roman" w:eastAsia="DengXian" w:hAnsi="Times New Roman" w:cs="Times New Roman"/>
          <w:sz w:val="24"/>
          <w:szCs w:val="24"/>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 xml:space="preserve">SPOSÓB KOMUNIKACJI, WYJAŚNIENIA TREŚCI SWZ ORAZ WYMAGANIA TECHNICZNE I ORGANIZACYJNE SPORZĄDZANIA, WYSYŁANIA I ODBIERANIA KORESPONDENCJI ELEKTRONICZNEJ </w:t>
      </w:r>
    </w:p>
    <w:p w:rsidR="00994FC2" w:rsidRPr="00994FC2" w:rsidRDefault="00994FC2" w:rsidP="00994FC2">
      <w:pPr>
        <w:numPr>
          <w:ilvl w:val="6"/>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Komunikacja w postępowaniu o udzielenie zamówienia, w tym składanie ofert w postępowaniu, wymiana informacji 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rsidRPr="00994FC2">
        <w:rPr>
          <w:rFonts w:ascii="Times New Roman" w:eastAsia="DengXian" w:hAnsi="Times New Roman" w:cs="Times New Roman"/>
          <w:sz w:val="24"/>
          <w:szCs w:val="24"/>
        </w:rPr>
        <w:t>Zamawiający nie przewiduje komunikowania się z Wykonawcami w inny sposób niż przy użyciu środków komunikacji elektronicznej, wskazanych w SWZ</w:t>
      </w:r>
      <w:r w:rsidRPr="00994FC2">
        <w:rPr>
          <w:rFonts w:ascii="Times New Roman" w:eastAsia="DengXian" w:hAnsi="Times New Roman" w:cs="Times New Roman"/>
          <w:bCs/>
          <w:sz w:val="24"/>
          <w:szCs w:val="24"/>
        </w:rPr>
        <w:t xml:space="preserve">. </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nie dopuszcza składania jakichkolwiek dokumentów w postaci papierowej.</w:t>
      </w:r>
    </w:p>
    <w:p w:rsidR="00994FC2" w:rsidRPr="00994FC2" w:rsidRDefault="00994FC2" w:rsidP="00994FC2">
      <w:pPr>
        <w:numPr>
          <w:ilvl w:val="3"/>
          <w:numId w:val="5"/>
        </w:numPr>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sz w:val="24"/>
          <w:szCs w:val="24"/>
        </w:rPr>
        <w:lastRenderedPageBreak/>
        <w:t>Ofertę i Jednolity Europejski Dokument Zamówienia (JEDZ), sporządza się, pod rygorem nieważności, w formie elektronicznej (podpisanej kwalifikowanym podpisem elektronicznym)</w:t>
      </w:r>
      <w:r w:rsidRPr="00994FC2">
        <w:rPr>
          <w:rFonts w:ascii="Times New Roman" w:eastAsia="DengXian" w:hAnsi="Times New Roman" w:cs="Times New Roman"/>
          <w:bCs/>
          <w:sz w:val="24"/>
          <w:szCs w:val="24"/>
        </w:rPr>
        <w:t xml:space="preserve">. </w:t>
      </w:r>
    </w:p>
    <w:p w:rsidR="00994FC2" w:rsidRPr="00994FC2" w:rsidRDefault="00994FC2" w:rsidP="00994FC2">
      <w:pPr>
        <w:numPr>
          <w:ilvl w:val="3"/>
          <w:numId w:val="5"/>
        </w:numPr>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lang w:bidi="pl-PL"/>
        </w:rPr>
        <w:t>Przekazywanie sobie przez strony postępowania oświadczeń, wniosków, zawiadomień oraz informacji (w tym pytań) następuje</w:t>
      </w:r>
      <w:r w:rsidRPr="00994FC2">
        <w:rPr>
          <w:rFonts w:ascii="Times New Roman" w:eastAsia="Times New Roman" w:hAnsi="Times New Roman" w:cs="Times New Roman"/>
          <w:sz w:val="24"/>
          <w:szCs w:val="24"/>
        </w:rPr>
        <w:t xml:space="preserve"> za pośrednictwem Platformy znajdującej się pod adresem: </w:t>
      </w:r>
      <w:hyperlink r:id="rId14" w:history="1">
        <w:r w:rsidRPr="00994FC2">
          <w:rPr>
            <w:rFonts w:ascii="Times New Roman" w:eastAsia="DengXian" w:hAnsi="Times New Roman" w:cs="Times New Roman"/>
            <w:color w:val="0000FF"/>
            <w:sz w:val="24"/>
            <w:szCs w:val="24"/>
            <w:u w:val="single"/>
          </w:rPr>
          <w:t>https://platformazakupowa.pl/pn/kwp_bialystok</w:t>
        </w:r>
      </w:hyperlink>
      <w:r w:rsidRPr="00994FC2">
        <w:rPr>
          <w:rFonts w:ascii="Times New Roman" w:eastAsia="DengXian" w:hAnsi="Times New Roman" w:cs="Times New Roman"/>
          <w:color w:val="0000FF"/>
          <w:sz w:val="24"/>
          <w:szCs w:val="24"/>
          <w:u w:val="single"/>
        </w:rPr>
        <w:t>.</w:t>
      </w:r>
    </w:p>
    <w:p w:rsidR="00994FC2" w:rsidRPr="00994FC2" w:rsidRDefault="00994FC2" w:rsidP="00994FC2">
      <w:pPr>
        <w:numPr>
          <w:ilvl w:val="3"/>
          <w:numId w:val="5"/>
        </w:numPr>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DengXi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w:t>
      </w:r>
      <w:hyperlink r:id="rId15" w:history="1">
        <w:r w:rsidRPr="00994FC2">
          <w:rPr>
            <w:rFonts w:ascii="Times New Roman" w:eastAsia="DengXian" w:hAnsi="Times New Roman" w:cs="Times New Roman"/>
            <w:bCs/>
            <w:color w:val="0000FF"/>
            <w:sz w:val="24"/>
            <w:szCs w:val="24"/>
            <w:u w:val="single"/>
          </w:rPr>
          <w:t>https://platformazakupowa.pl/kwp_bialystok</w:t>
        </w:r>
      </w:hyperlink>
      <w:r w:rsidRPr="00994FC2">
        <w:rPr>
          <w:rFonts w:ascii="Times New Roman" w:eastAsia="DengXian" w:hAnsi="Times New Roman" w:cs="Times New Roman"/>
          <w:bCs/>
          <w:sz w:val="24"/>
          <w:szCs w:val="24"/>
        </w:rPr>
        <w:t>.</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Złożenie oferty przez Wykonawcę będzie równoznaczne z akceptacją „REGULAMINU platformazakupowa.pl” oraz zapoznaniem się z „Instrukcją dla Wykonawców platformazakupowa.pl” </w:t>
      </w:r>
      <w:hyperlink r:id="rId16" w:history="1">
        <w:r w:rsidRPr="00994FC2">
          <w:rPr>
            <w:rFonts w:ascii="Times New Roman" w:eastAsia="DengXian" w:hAnsi="Times New Roman" w:cs="Times New Roman"/>
            <w:bCs/>
            <w:color w:val="0000FF"/>
            <w:sz w:val="24"/>
            <w:szCs w:val="24"/>
            <w:u w:val="single"/>
          </w:rPr>
          <w:t>https://platformazakupowa.pl/strona/45-instrukcje</w:t>
        </w:r>
      </w:hyperlink>
      <w:r w:rsidRPr="00994FC2">
        <w:rPr>
          <w:rFonts w:ascii="Times New Roman" w:eastAsia="DengXian" w:hAnsi="Times New Roman" w:cs="Times New Roman"/>
          <w:bCs/>
          <w:sz w:val="24"/>
          <w:szCs w:val="24"/>
          <w:u w:val="single"/>
        </w:rPr>
        <w:t>.</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Występuje limit objętości plików lub spakowanych folderów w zakresie całej oferty do ilości 10 plików lub spakowanych folderów przy maksymalnej wielkości 150 MB.</w:t>
      </w:r>
    </w:p>
    <w:p w:rsidR="00994FC2" w:rsidRPr="00994FC2" w:rsidRDefault="00994FC2" w:rsidP="00994FC2">
      <w:pPr>
        <w:numPr>
          <w:ilvl w:val="3"/>
          <w:numId w:val="5"/>
        </w:numPr>
        <w:spacing w:after="0" w:line="312"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rsidR="00994FC2" w:rsidRPr="00994FC2" w:rsidRDefault="00994FC2" w:rsidP="00994FC2">
      <w:pPr>
        <w:numPr>
          <w:ilvl w:val="0"/>
          <w:numId w:val="19"/>
        </w:numPr>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szyfrowanie ofert odbywa się automatycznie przez system. Możliwość otworzenia pliku oferty dostępna jest dopiero po odszyfrowaniu przez Zamawiającego po upływie terminu składania ofert,</w:t>
      </w:r>
    </w:p>
    <w:p w:rsidR="00994FC2" w:rsidRPr="00994FC2" w:rsidRDefault="00994FC2" w:rsidP="00994FC2">
      <w:pPr>
        <w:numPr>
          <w:ilvl w:val="0"/>
          <w:numId w:val="19"/>
        </w:numPr>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lastRenderedPageBreak/>
        <w:t>za datę przekazania oferty przyjmuje się datę jej przekazania w systemie poprzez kliknięcie przycisku „Złóż ofertę” w drugim kroku i wyświetlaniu komunikatu, że oferta została złożona,</w:t>
      </w:r>
    </w:p>
    <w:p w:rsidR="00994FC2" w:rsidRPr="00994FC2" w:rsidRDefault="00994FC2" w:rsidP="00994FC2">
      <w:pPr>
        <w:numPr>
          <w:ilvl w:val="0"/>
          <w:numId w:val="19"/>
        </w:numPr>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 datę przekazania korespondencji za pomocą „Platformy” przyjmuje się datę jej prawidłowego przekazania poprzez kliknięcie przycisku „Wyślij wiadomość” na „Platformie” i wyświetleniu komunikatu, że wiadomość została wysłana,</w:t>
      </w:r>
    </w:p>
    <w:p w:rsidR="00994FC2" w:rsidRPr="00994FC2" w:rsidRDefault="00994FC2" w:rsidP="00994FC2">
      <w:pPr>
        <w:keepLines/>
        <w:numPr>
          <w:ilvl w:val="0"/>
          <w:numId w:val="19"/>
        </w:numPr>
        <w:autoSpaceDN w:val="0"/>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sidRPr="00994FC2">
        <w:rPr>
          <w:rFonts w:ascii="Times New Roman" w:eastAsia="DengXian" w:hAnsi="Times New Roman" w:cs="Times New Roman"/>
          <w:bCs/>
          <w:sz w:val="24"/>
          <w:szCs w:val="24"/>
        </w:rPr>
        <w:t>xps</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odt</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ods</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odp</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w:t>
      </w:r>
      <w:proofErr w:type="spellEnd"/>
      <w:r w:rsidRPr="00994FC2">
        <w:rPr>
          <w:rFonts w:ascii="Times New Roman" w:eastAsia="DengXian" w:hAnsi="Times New Roman" w:cs="Times New Roman"/>
          <w:bCs/>
          <w:sz w:val="24"/>
          <w:szCs w:val="24"/>
        </w:rPr>
        <w:t>; .xls; .</w:t>
      </w:r>
      <w:proofErr w:type="spellStart"/>
      <w:r w:rsidRPr="00994FC2">
        <w:rPr>
          <w:rFonts w:ascii="Times New Roman" w:eastAsia="DengXian" w:hAnsi="Times New Roman" w:cs="Times New Roman"/>
          <w:bCs/>
          <w:sz w:val="24"/>
          <w:szCs w:val="24"/>
        </w:rPr>
        <w:t>ppt</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xlsx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pptx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csv</w:t>
      </w:r>
      <w:proofErr w:type="spellEnd"/>
      <w:r w:rsidRPr="00994FC2">
        <w:rPr>
          <w:rFonts w:ascii="Times New Roman" w:eastAsia="DengXian" w:hAnsi="Times New Roman" w:cs="Times New Roman"/>
          <w:bCs/>
          <w:sz w:val="24"/>
          <w:szCs w:val="24"/>
        </w:rPr>
        <w:t>, .zip, .tar, .</w:t>
      </w:r>
      <w:proofErr w:type="spellStart"/>
      <w:r w:rsidRPr="00994FC2">
        <w:rPr>
          <w:rFonts w:ascii="Times New Roman" w:eastAsia="DengXian" w:hAnsi="Times New Roman" w:cs="Times New Roman"/>
          <w:bCs/>
          <w:sz w:val="24"/>
          <w:szCs w:val="24"/>
        </w:rPr>
        <w:t>gz</w:t>
      </w:r>
      <w:proofErr w:type="spellEnd"/>
      <w:r w:rsidRPr="00994FC2">
        <w:rPr>
          <w:rFonts w:ascii="Times New Roman" w:eastAsia="DengXian" w:hAnsi="Times New Roman" w:cs="Times New Roman"/>
          <w:bCs/>
          <w:sz w:val="24"/>
          <w:szCs w:val="24"/>
        </w:rPr>
        <w:t>,(.</w:t>
      </w:r>
      <w:proofErr w:type="spellStart"/>
      <w:r w:rsidRPr="00994FC2">
        <w:rPr>
          <w:rFonts w:ascii="Times New Roman" w:eastAsia="DengXian" w:hAnsi="Times New Roman" w:cs="Times New Roman"/>
          <w:bCs/>
          <w:sz w:val="24"/>
          <w:szCs w:val="24"/>
        </w:rPr>
        <w:t>gzip</w:t>
      </w:r>
      <w:proofErr w:type="spellEnd"/>
      <w:r w:rsidRPr="00994FC2">
        <w:rPr>
          <w:rFonts w:ascii="Times New Roman" w:eastAsia="DengXian" w:hAnsi="Times New Roman" w:cs="Times New Roman"/>
          <w:bCs/>
          <w:sz w:val="24"/>
          <w:szCs w:val="24"/>
        </w:rPr>
        <w:t>), .7Z,</w:t>
      </w:r>
    </w:p>
    <w:p w:rsidR="00994FC2" w:rsidRPr="00994FC2" w:rsidRDefault="00994FC2" w:rsidP="00994FC2">
      <w:pPr>
        <w:keepLines/>
        <w:numPr>
          <w:ilvl w:val="0"/>
          <w:numId w:val="19"/>
        </w:numPr>
        <w:autoSpaceDN w:val="0"/>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zaleca następujące formaty danych: .pdf, .</w:t>
      </w:r>
      <w:proofErr w:type="spellStart"/>
      <w:r w:rsidRPr="00994FC2">
        <w:rPr>
          <w:rFonts w:ascii="Times New Roman" w:eastAsia="DengXian" w:hAnsi="Times New Roman" w:cs="Times New Roman"/>
          <w:bCs/>
          <w:sz w:val="24"/>
          <w:szCs w:val="24"/>
        </w:rPr>
        <w:t>doc</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docx</w:t>
      </w:r>
      <w:proofErr w:type="spellEnd"/>
      <w:r w:rsidRPr="00994FC2">
        <w:rPr>
          <w:rFonts w:ascii="Times New Roman" w:eastAsia="DengXian" w:hAnsi="Times New Roman" w:cs="Times New Roman"/>
          <w:bCs/>
          <w:sz w:val="24"/>
          <w:szCs w:val="24"/>
        </w:rPr>
        <w:t>, ze szczególnym wskazaniem na .pdf,</w:t>
      </w:r>
    </w:p>
    <w:p w:rsidR="00994FC2" w:rsidRPr="00994FC2" w:rsidRDefault="00994FC2" w:rsidP="00994FC2">
      <w:pPr>
        <w:keepLines/>
        <w:numPr>
          <w:ilvl w:val="0"/>
          <w:numId w:val="19"/>
        </w:numPr>
        <w:autoSpaceDN w:val="0"/>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 celu ewentualnej kompresji danych Zamawiający rekomenduje wykorzystanie jednego z formatów: .zip lub .7Z,</w:t>
      </w:r>
    </w:p>
    <w:p w:rsidR="00994FC2" w:rsidRPr="00994FC2" w:rsidRDefault="00994FC2" w:rsidP="00994FC2">
      <w:pPr>
        <w:numPr>
          <w:ilvl w:val="0"/>
          <w:numId w:val="19"/>
        </w:numPr>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minimalne wymagania techniczne umożliwiające korzystanie ze Strony platformazakupowa.pl:</w:t>
      </w:r>
    </w:p>
    <w:p w:rsidR="00994FC2" w:rsidRPr="00994FC2" w:rsidRDefault="00994FC2" w:rsidP="00994FC2">
      <w:pPr>
        <w:numPr>
          <w:ilvl w:val="0"/>
          <w:numId w:val="20"/>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komputer klasy PC lub MAC, o następującej minimalnej konfiguracji: pamięć 2GB RAM,</w:t>
      </w:r>
    </w:p>
    <w:p w:rsidR="00994FC2" w:rsidRPr="00994FC2" w:rsidRDefault="00994FC2" w:rsidP="00994FC2">
      <w:pPr>
        <w:numPr>
          <w:ilvl w:val="0"/>
          <w:numId w:val="20"/>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procesor Intel Pentium IV 2GHZ, jeden z systemów operacyjnych - MS Windows 7, Mac Os x 10.4, Linux lub ich nowsze wersje,</w:t>
      </w:r>
    </w:p>
    <w:p w:rsidR="00994FC2" w:rsidRPr="00994FC2" w:rsidRDefault="00994FC2" w:rsidP="00994FC2">
      <w:pPr>
        <w:numPr>
          <w:ilvl w:val="0"/>
          <w:numId w:val="20"/>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przeglądarka internetowa Internet Explorer, Chrome i FireFox w najnowszej dostępnej wersji, z włączoną obsługą języka </w:t>
      </w:r>
      <w:proofErr w:type="spellStart"/>
      <w:r w:rsidRPr="00994FC2">
        <w:rPr>
          <w:rFonts w:ascii="Times New Roman" w:eastAsia="DengXian" w:hAnsi="Times New Roman" w:cs="Times New Roman"/>
          <w:bCs/>
          <w:sz w:val="24"/>
          <w:szCs w:val="24"/>
        </w:rPr>
        <w:t>Javascript</w:t>
      </w:r>
      <w:proofErr w:type="spellEnd"/>
      <w:r w:rsidRPr="00994FC2">
        <w:rPr>
          <w:rFonts w:ascii="Times New Roman" w:eastAsia="DengXian" w:hAnsi="Times New Roman" w:cs="Times New Roman"/>
          <w:bCs/>
          <w:sz w:val="24"/>
          <w:szCs w:val="24"/>
        </w:rPr>
        <w:t>, akceptująca pliki typu „</w:t>
      </w:r>
      <w:proofErr w:type="spellStart"/>
      <w:r w:rsidRPr="00994FC2">
        <w:rPr>
          <w:rFonts w:ascii="Times New Roman" w:eastAsia="DengXian" w:hAnsi="Times New Roman" w:cs="Times New Roman"/>
          <w:bCs/>
          <w:sz w:val="24"/>
          <w:szCs w:val="24"/>
        </w:rPr>
        <w:t>cookies</w:t>
      </w:r>
      <w:proofErr w:type="spellEnd"/>
      <w:r w:rsidRPr="00994FC2">
        <w:rPr>
          <w:rFonts w:ascii="Times New Roman" w:eastAsia="DengXian" w:hAnsi="Times New Roman" w:cs="Times New Roman"/>
          <w:bCs/>
          <w:sz w:val="24"/>
          <w:szCs w:val="24"/>
        </w:rPr>
        <w:t>”,</w:t>
      </w:r>
    </w:p>
    <w:p w:rsidR="00994FC2" w:rsidRPr="00994FC2" w:rsidRDefault="00994FC2" w:rsidP="00994FC2">
      <w:pPr>
        <w:numPr>
          <w:ilvl w:val="0"/>
          <w:numId w:val="20"/>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łącze internetowe o przepustowości, co najmniej 256 </w:t>
      </w:r>
      <w:proofErr w:type="spellStart"/>
      <w:r w:rsidRPr="00994FC2">
        <w:rPr>
          <w:rFonts w:ascii="Times New Roman" w:eastAsia="DengXian" w:hAnsi="Times New Roman" w:cs="Times New Roman"/>
          <w:bCs/>
          <w:sz w:val="24"/>
          <w:szCs w:val="24"/>
        </w:rPr>
        <w:t>kbit</w:t>
      </w:r>
      <w:proofErr w:type="spellEnd"/>
      <w:r w:rsidRPr="00994FC2">
        <w:rPr>
          <w:rFonts w:ascii="Times New Roman" w:eastAsia="DengXian" w:hAnsi="Times New Roman" w:cs="Times New Roman"/>
          <w:bCs/>
          <w:sz w:val="24"/>
          <w:szCs w:val="24"/>
        </w:rPr>
        <w:t>/s,</w:t>
      </w:r>
    </w:p>
    <w:p w:rsidR="00994FC2" w:rsidRPr="00994FC2" w:rsidRDefault="00994FC2" w:rsidP="00994FC2">
      <w:pPr>
        <w:numPr>
          <w:ilvl w:val="0"/>
          <w:numId w:val="20"/>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platformazakupowa.pl jest zoptymalizowana dla minimalnej rozdzielczości ekranu 1024x768 pikseli,</w:t>
      </w:r>
    </w:p>
    <w:p w:rsidR="00994FC2" w:rsidRPr="00994FC2" w:rsidRDefault="00994FC2" w:rsidP="00994FC2">
      <w:pPr>
        <w:numPr>
          <w:ilvl w:val="0"/>
          <w:numId w:val="19"/>
        </w:numPr>
        <w:spacing w:after="0" w:line="312"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dopuszczalny format kwalifikowanego podpisu elektronicznego:</w:t>
      </w:r>
    </w:p>
    <w:p w:rsidR="00994FC2" w:rsidRPr="00994FC2" w:rsidRDefault="00994FC2" w:rsidP="00994FC2">
      <w:pPr>
        <w:numPr>
          <w:ilvl w:val="1"/>
          <w:numId w:val="16"/>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dokumenty w formacie „pdf” zaleca się podpisywać formatem </w:t>
      </w:r>
      <w:proofErr w:type="spellStart"/>
      <w:r w:rsidRPr="00994FC2">
        <w:rPr>
          <w:rFonts w:ascii="Times New Roman" w:eastAsia="DengXian" w:hAnsi="Times New Roman" w:cs="Times New Roman"/>
          <w:bCs/>
          <w:sz w:val="24"/>
          <w:szCs w:val="24"/>
        </w:rPr>
        <w:t>PAdES</w:t>
      </w:r>
      <w:proofErr w:type="spellEnd"/>
      <w:r w:rsidRPr="00994FC2">
        <w:rPr>
          <w:rFonts w:ascii="Times New Roman" w:eastAsia="DengXian" w:hAnsi="Times New Roman" w:cs="Times New Roman"/>
          <w:bCs/>
          <w:sz w:val="24"/>
          <w:szCs w:val="24"/>
        </w:rPr>
        <w:t>,</w:t>
      </w:r>
    </w:p>
    <w:p w:rsidR="00994FC2" w:rsidRPr="00994FC2" w:rsidRDefault="00994FC2" w:rsidP="00994FC2">
      <w:pPr>
        <w:numPr>
          <w:ilvl w:val="1"/>
          <w:numId w:val="16"/>
        </w:numPr>
        <w:spacing w:after="0" w:line="312"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dopuszcza się podpisanie dokumentów w formacie innym niż „pdf”, wtedy należy użyć formatu </w:t>
      </w:r>
      <w:proofErr w:type="spellStart"/>
      <w:r w:rsidRPr="00994FC2">
        <w:rPr>
          <w:rFonts w:ascii="Times New Roman" w:eastAsia="DengXian" w:hAnsi="Times New Roman" w:cs="Times New Roman"/>
          <w:bCs/>
          <w:sz w:val="24"/>
          <w:szCs w:val="24"/>
        </w:rPr>
        <w:t>XAdES</w:t>
      </w:r>
      <w:proofErr w:type="spellEnd"/>
      <w:r w:rsidRPr="00994FC2">
        <w:rPr>
          <w:rFonts w:ascii="Times New Roman" w:eastAsia="DengXian" w:hAnsi="Times New Roman" w:cs="Times New Roman"/>
          <w:bCs/>
          <w:sz w:val="24"/>
          <w:szCs w:val="24"/>
        </w:rPr>
        <w:t xml:space="preserve"> (stanowiącego odrębny plik). W związku z tym Wykonawca zobowiązany będzie załączyć oddzielny plik z podpisem.</w:t>
      </w:r>
    </w:p>
    <w:p w:rsidR="00994FC2" w:rsidRPr="00994FC2" w:rsidRDefault="00994FC2" w:rsidP="00994FC2">
      <w:pPr>
        <w:numPr>
          <w:ilvl w:val="3"/>
          <w:numId w:val="5"/>
        </w:numPr>
        <w:tabs>
          <w:tab w:val="left" w:pos="960"/>
        </w:tabs>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 Osoby uprawnione do kontaktu z Wykonawcami:</w:t>
      </w:r>
    </w:p>
    <w:p w:rsidR="00994FC2" w:rsidRPr="00994FC2" w:rsidRDefault="00994FC2" w:rsidP="00994FC2">
      <w:pPr>
        <w:numPr>
          <w:ilvl w:val="0"/>
          <w:numId w:val="21"/>
        </w:numPr>
        <w:spacing w:after="0" w:line="312" w:lineRule="auto"/>
        <w:ind w:left="993" w:hanging="349"/>
        <w:contextualSpacing/>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Anna Gołko tel.: 47 711 3137, Grażyna </w:t>
      </w:r>
      <w:proofErr w:type="spellStart"/>
      <w:r w:rsidRPr="00994FC2">
        <w:rPr>
          <w:rFonts w:ascii="Times New Roman" w:eastAsia="DengXian" w:hAnsi="Times New Roman" w:cs="Times New Roman"/>
          <w:sz w:val="24"/>
          <w:szCs w:val="24"/>
        </w:rPr>
        <w:t>Sacharko</w:t>
      </w:r>
      <w:proofErr w:type="spellEnd"/>
      <w:r w:rsidRPr="00994FC2">
        <w:rPr>
          <w:rFonts w:ascii="Times New Roman" w:eastAsia="DengXian" w:hAnsi="Times New Roman" w:cs="Times New Roman"/>
          <w:sz w:val="24"/>
          <w:szCs w:val="24"/>
        </w:rPr>
        <w:t>, tel.: 47 711 3517 – w sprawie procedury udzielania zamówień publicznych,</w:t>
      </w:r>
    </w:p>
    <w:p w:rsidR="00994FC2" w:rsidRPr="00994FC2" w:rsidRDefault="00994FC2" w:rsidP="00994FC2">
      <w:pPr>
        <w:numPr>
          <w:ilvl w:val="0"/>
          <w:numId w:val="21"/>
        </w:numPr>
        <w:spacing w:after="0" w:line="312" w:lineRule="auto"/>
        <w:ind w:left="993"/>
        <w:contextualSpacing/>
        <w:rPr>
          <w:rFonts w:ascii="Times New Roman" w:eastAsia="DengXian" w:hAnsi="Times New Roman" w:cs="Times New Roman"/>
          <w:sz w:val="24"/>
          <w:szCs w:val="24"/>
        </w:rPr>
      </w:pPr>
      <w:r w:rsidRPr="00994FC2">
        <w:rPr>
          <w:rFonts w:ascii="Times New Roman" w:eastAsia="DengXian" w:hAnsi="Times New Roman" w:cs="Times New Roman"/>
          <w:sz w:val="24"/>
          <w:szCs w:val="24"/>
        </w:rPr>
        <w:t>Artur Kalinowski tel.: 47 711 2255 – w zakresie informatyki,</w:t>
      </w:r>
    </w:p>
    <w:p w:rsidR="00994FC2" w:rsidRPr="00994FC2" w:rsidRDefault="00994FC2" w:rsidP="00994FC2">
      <w:pPr>
        <w:numPr>
          <w:ilvl w:val="0"/>
          <w:numId w:val="21"/>
        </w:numPr>
        <w:spacing w:after="0" w:line="312" w:lineRule="auto"/>
        <w:ind w:left="993"/>
        <w:contextualSpacing/>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Sebastian Pugacewicz, tel.: 47 711 2394 – w zakresie informatyki śledczej,</w:t>
      </w:r>
    </w:p>
    <w:p w:rsidR="00994FC2" w:rsidRPr="00994FC2" w:rsidRDefault="00994FC2" w:rsidP="00994FC2">
      <w:pPr>
        <w:numPr>
          <w:ilvl w:val="0"/>
          <w:numId w:val="21"/>
        </w:numPr>
        <w:spacing w:after="0" w:line="312" w:lineRule="auto"/>
        <w:ind w:left="993"/>
        <w:contextualSpacing/>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Marta Melcer, tel.: 47 711 3084 – w zakresie szkoleń. </w:t>
      </w:r>
    </w:p>
    <w:p w:rsidR="00994FC2" w:rsidRPr="00994FC2"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Wykonawca może zwrócić się do Zamawiającego o wyjaśnienie treści SWZ. </w:t>
      </w:r>
    </w:p>
    <w:p w:rsidR="00994FC2" w:rsidRPr="00994FC2"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Wniosek należy przesłać za pośrednictwem Platformy poprzez opcję „Wyślij wiadomość”. Powoduje to otwarcie okna, w którym należy uzupełnić dane Wykonawcy, temat i treść/przedmiot pytania, adres e-mail. </w:t>
      </w:r>
    </w:p>
    <w:p w:rsidR="00994FC2" w:rsidRPr="00994FC2"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994FC2" w:rsidRPr="00994FC2"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Jeżeli zamawiający nie udzieli wyjaśnień w terminie, o którym mowa w ust. 14 powyżej, przedłuża termin składania ofert o czas niezbędny do zapoznania się wszystkich zainteresowanych wykonawców z wyjaśnieniami niezbędnymi do należytego przygotowania i złożenia ofert.</w:t>
      </w:r>
    </w:p>
    <w:p w:rsidR="00994FC2" w:rsidRPr="00994FC2"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W przypadku gdy wniosek o wyjaśnienie treści SWZ nie wpłynął w terminie, o którym mowa w ust. 14 powyżej, Zamawiający nie ma obowiązku udzielania wyjaśnień SWZ oraz obowiązku przedłużenia terminu składania ofert.</w:t>
      </w:r>
    </w:p>
    <w:p w:rsidR="00994FC2" w:rsidRPr="00D33267" w:rsidRDefault="00994FC2" w:rsidP="00994FC2">
      <w:pPr>
        <w:numPr>
          <w:ilvl w:val="3"/>
          <w:numId w:val="5"/>
        </w:numPr>
        <w:tabs>
          <w:tab w:val="left" w:pos="426"/>
        </w:tabs>
        <w:spacing w:after="0" w:line="312"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Przedłużenie terminu składania ofert, nie wpływa na bieg terminu składania wniosku o wyjaśnienie treści SWZ.</w:t>
      </w:r>
    </w:p>
    <w:p w:rsidR="00D33267" w:rsidRDefault="00D33267" w:rsidP="00D33267">
      <w:pPr>
        <w:tabs>
          <w:tab w:val="left" w:pos="426"/>
        </w:tabs>
        <w:spacing w:after="0" w:line="312" w:lineRule="auto"/>
        <w:ind w:left="426"/>
        <w:jc w:val="both"/>
        <w:rPr>
          <w:rFonts w:ascii="Times New Roman" w:eastAsia="Calibri" w:hAnsi="Times New Roman" w:cs="Times New Roman"/>
          <w:sz w:val="24"/>
          <w:szCs w:val="24"/>
        </w:rPr>
      </w:pPr>
    </w:p>
    <w:p w:rsidR="00D33267" w:rsidRPr="00994FC2" w:rsidRDefault="00D33267" w:rsidP="00D33267">
      <w:pPr>
        <w:tabs>
          <w:tab w:val="left" w:pos="426"/>
        </w:tabs>
        <w:spacing w:after="0" w:line="312" w:lineRule="auto"/>
        <w:ind w:left="426"/>
        <w:jc w:val="both"/>
        <w:rPr>
          <w:rFonts w:ascii="Times New Roman" w:eastAsia="Calibri" w:hAnsi="Times New Roman" w:cs="Times New Roman"/>
          <w:sz w:val="24"/>
          <w:szCs w:val="24"/>
          <w:u w:val="single"/>
        </w:rPr>
      </w:pPr>
    </w:p>
    <w:p w:rsidR="00994FC2" w:rsidRPr="00994FC2" w:rsidRDefault="00994FC2" w:rsidP="00994FC2">
      <w:pPr>
        <w:numPr>
          <w:ilvl w:val="0"/>
          <w:numId w:val="1"/>
        </w:numPr>
        <w:spacing w:after="0" w:line="312"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TERMIN ZWIĄZANIA OFERTĄ</w:t>
      </w:r>
    </w:p>
    <w:p w:rsidR="00994FC2" w:rsidRPr="00994FC2" w:rsidRDefault="00994FC2" w:rsidP="00994FC2">
      <w:pPr>
        <w:numPr>
          <w:ilvl w:val="3"/>
          <w:numId w:val="22"/>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Wykonawca będzie związany ofertą przez okres 90 dni, tj. </w:t>
      </w:r>
      <w:r w:rsidRPr="00994FC2">
        <w:rPr>
          <w:rFonts w:ascii="Times New Roman" w:eastAsia="DengXian" w:hAnsi="Times New Roman" w:cs="Times New Roman"/>
          <w:b/>
          <w:bCs/>
          <w:sz w:val="24"/>
          <w:szCs w:val="24"/>
        </w:rPr>
        <w:t xml:space="preserve">do dnia </w:t>
      </w:r>
      <w:r w:rsidR="00CD4BC5">
        <w:rPr>
          <w:rFonts w:ascii="Times New Roman" w:eastAsia="DengXian" w:hAnsi="Times New Roman" w:cs="Times New Roman"/>
          <w:b/>
          <w:bCs/>
          <w:sz w:val="24"/>
          <w:szCs w:val="24"/>
        </w:rPr>
        <w:t>07 czerwca</w:t>
      </w:r>
      <w:r w:rsidR="00497B9B" w:rsidRPr="00497B9B">
        <w:rPr>
          <w:rFonts w:ascii="Times New Roman" w:eastAsia="DengXian" w:hAnsi="Times New Roman" w:cs="Times New Roman"/>
          <w:b/>
          <w:bCs/>
          <w:sz w:val="24"/>
          <w:szCs w:val="24"/>
        </w:rPr>
        <w:t xml:space="preserve"> </w:t>
      </w:r>
      <w:r w:rsidRPr="00497B9B">
        <w:rPr>
          <w:rFonts w:ascii="Times New Roman" w:eastAsia="DengXian" w:hAnsi="Times New Roman" w:cs="Times New Roman"/>
          <w:b/>
          <w:bCs/>
          <w:sz w:val="24"/>
          <w:szCs w:val="24"/>
        </w:rPr>
        <w:t>202</w:t>
      </w:r>
      <w:r w:rsidR="00D33267" w:rsidRPr="00497B9B">
        <w:rPr>
          <w:rFonts w:ascii="Times New Roman" w:eastAsia="DengXian" w:hAnsi="Times New Roman" w:cs="Times New Roman"/>
          <w:b/>
          <w:bCs/>
          <w:sz w:val="24"/>
          <w:szCs w:val="24"/>
        </w:rPr>
        <w:t>2</w:t>
      </w:r>
      <w:r w:rsidRPr="00497B9B">
        <w:rPr>
          <w:rFonts w:ascii="Times New Roman" w:eastAsia="DengXian" w:hAnsi="Times New Roman" w:cs="Times New Roman"/>
          <w:b/>
          <w:bCs/>
          <w:sz w:val="24"/>
          <w:szCs w:val="24"/>
        </w:rPr>
        <w:t xml:space="preserve"> r.</w:t>
      </w:r>
      <w:r w:rsidRPr="00497B9B">
        <w:rPr>
          <w:rFonts w:ascii="Times New Roman" w:eastAsia="DengXian" w:hAnsi="Times New Roman" w:cs="Times New Roman"/>
          <w:sz w:val="24"/>
          <w:szCs w:val="24"/>
        </w:rPr>
        <w:t xml:space="preserve"> </w:t>
      </w:r>
      <w:r w:rsidRPr="00994FC2">
        <w:rPr>
          <w:rFonts w:ascii="Times New Roman" w:eastAsia="DengXian" w:hAnsi="Times New Roman" w:cs="Times New Roman"/>
          <w:sz w:val="24"/>
          <w:szCs w:val="24"/>
        </w:rPr>
        <w:t xml:space="preserve">Bieg terminu związania ofertą rozpoczyna się wraz z upływem terminu składania ofert. Przy czym pierwszym dniem terminu związania oferta jest dzień, w którym upływa termin składania ofert. </w:t>
      </w:r>
    </w:p>
    <w:p w:rsidR="00994FC2" w:rsidRPr="00994FC2" w:rsidRDefault="00994FC2" w:rsidP="00994FC2">
      <w:pPr>
        <w:numPr>
          <w:ilvl w:val="3"/>
          <w:numId w:val="22"/>
        </w:numPr>
        <w:spacing w:after="0" w:line="312"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W przypadku gdy wybór najkorzystniejszej oferty nie nastąpi przed upływem </w:t>
      </w:r>
      <w:r w:rsidRPr="00994FC2">
        <w:rPr>
          <w:rFonts w:ascii="Times New Roman" w:eastAsia="Times New Roman" w:hAnsi="Times New Roman" w:cs="Times New Roman"/>
          <w:iCs/>
          <w:sz w:val="24"/>
          <w:szCs w:val="24"/>
        </w:rPr>
        <w:t>terminu związania</w:t>
      </w:r>
      <w:r w:rsidRPr="00994FC2">
        <w:rPr>
          <w:rFonts w:ascii="Times New Roman" w:eastAsia="Times New Roman" w:hAnsi="Times New Roman" w:cs="Times New Roman"/>
          <w:sz w:val="24"/>
          <w:szCs w:val="24"/>
        </w:rPr>
        <w:t xml:space="preserve"> ofertą, o którym mowa w ust. 1 powyżej, Zamawiający przed upływem </w:t>
      </w:r>
      <w:r w:rsidRPr="00994FC2">
        <w:rPr>
          <w:rFonts w:ascii="Times New Roman" w:eastAsia="Times New Roman" w:hAnsi="Times New Roman" w:cs="Times New Roman"/>
          <w:iCs/>
          <w:sz w:val="24"/>
          <w:szCs w:val="24"/>
        </w:rPr>
        <w:t>terminu związania</w:t>
      </w:r>
      <w:r w:rsidRPr="00994FC2">
        <w:rPr>
          <w:rFonts w:ascii="Times New Roman" w:eastAsia="Times New Roman" w:hAnsi="Times New Roman" w:cs="Times New Roman"/>
          <w:sz w:val="24"/>
          <w:szCs w:val="24"/>
        </w:rPr>
        <w:t xml:space="preserve"> ofertą, zwróci się jednokrotnie do Wykonawców o wyrażenie zgody na przedłużenie tego terminu o wskazywany przez niego okres, nie dłuższy niż 60 dni. </w:t>
      </w:r>
    </w:p>
    <w:p w:rsidR="00994FC2" w:rsidRPr="00994FC2" w:rsidRDefault="00994FC2" w:rsidP="00994FC2">
      <w:pPr>
        <w:numPr>
          <w:ilvl w:val="3"/>
          <w:numId w:val="22"/>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Przedłużenie terminu związania ofertą, o którym mowa w ust. 2 powyżej, wymaga złożenia przez Wykonawcę pisemnego oświadczenia o wyrażeniu zgody na przedłużenie terminu związania ofertą.</w:t>
      </w:r>
    </w:p>
    <w:p w:rsidR="00994FC2" w:rsidRPr="00994FC2" w:rsidRDefault="00994FC2" w:rsidP="00994FC2">
      <w:pPr>
        <w:numPr>
          <w:ilvl w:val="3"/>
          <w:numId w:val="22"/>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Przedłużenie </w:t>
      </w:r>
      <w:r w:rsidRPr="00994FC2">
        <w:rPr>
          <w:rFonts w:ascii="Times New Roman" w:eastAsia="DengXian" w:hAnsi="Times New Roman" w:cs="Times New Roman"/>
          <w:i/>
          <w:iCs/>
          <w:sz w:val="24"/>
          <w:szCs w:val="24"/>
        </w:rPr>
        <w:t>terminu związania</w:t>
      </w:r>
      <w:r w:rsidRPr="00994FC2">
        <w:rPr>
          <w:rFonts w:ascii="Times New Roman" w:eastAsia="DengXian" w:hAnsi="Times New Roman" w:cs="Times New Roman"/>
          <w:sz w:val="24"/>
          <w:szCs w:val="24"/>
        </w:rPr>
        <w:t xml:space="preserve"> ofertą następuje wraz z przedłużeniem okresu ważności wadium albo, jeżeli nie jest to możliwe, z wniesieniem nowego wadium na przedłużony okres związania ofertą.</w:t>
      </w:r>
    </w:p>
    <w:p w:rsidR="00994FC2" w:rsidRPr="00994FC2" w:rsidRDefault="00994FC2" w:rsidP="00994FC2">
      <w:pPr>
        <w:numPr>
          <w:ilvl w:val="3"/>
          <w:numId w:val="22"/>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Odmowa wyrażenia zgody lub brak zgody na przedłużenie terminu związania ofertą nie powoduje utraty wadium.</w:t>
      </w:r>
    </w:p>
    <w:p w:rsidR="00994FC2" w:rsidRPr="00994FC2" w:rsidRDefault="00994FC2" w:rsidP="00994FC2">
      <w:pPr>
        <w:spacing w:after="0" w:line="312" w:lineRule="auto"/>
        <w:jc w:val="both"/>
        <w:rPr>
          <w:rFonts w:ascii="Times New Roman" w:eastAsia="DengXian" w:hAnsi="Times New Roman" w:cs="Times New Roman"/>
          <w:sz w:val="24"/>
          <w:szCs w:val="24"/>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SPOSOBU PRZYGOTOWANIA OFERTY ORAZ WYMAGANIA FORMALNE DOTYCZĄCE SKŁADANYCH OŚWIADCZEŃ I DOKUMENTÓW</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Wykonawca może złożyć tylko jedną ofertę.</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Treść oferty musi być zgodna z warunkami zamówienia.</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Ofertę składa się </w:t>
      </w:r>
      <w:r w:rsidRPr="00994FC2">
        <w:rPr>
          <w:rFonts w:ascii="Times New Roman" w:eastAsia="DengXian" w:hAnsi="Times New Roman" w:cs="Times New Roman"/>
          <w:sz w:val="24"/>
          <w:szCs w:val="24"/>
        </w:rPr>
        <w:t>na</w:t>
      </w:r>
      <w:r w:rsidRPr="00994FC2">
        <w:rPr>
          <w:rFonts w:ascii="Times New Roman" w:eastAsia="Times New Roman" w:hAnsi="Times New Roman" w:cs="Times New Roman"/>
          <w:sz w:val="24"/>
          <w:szCs w:val="24"/>
        </w:rPr>
        <w:t xml:space="preserve"> Formularzu Ofertowym - zgodnie z wzorem stanowiącym Załącznik nr 2 do SWZ. </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Wraz z ofertą Wykonawca jest zobowiązany złożyć:</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oświadczenie na formularzu JEDZ (zgodnie z wymaganiami określonymi niniejszą SWZ), </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dokumenty, w szczególności pełnomocnictwa, z których wynika uprawnienie do działania w imieniu Wykonawcy – </w:t>
      </w:r>
      <w:r w:rsidRPr="00994FC2">
        <w:rPr>
          <w:rFonts w:ascii="Times New Roman" w:eastAsia="Times New Roman" w:hAnsi="Times New Roman" w:cs="Times New Roman"/>
          <w:i/>
          <w:iCs/>
          <w:sz w:val="24"/>
          <w:szCs w:val="24"/>
        </w:rPr>
        <w:t>jeżeli dotyczy</w:t>
      </w:r>
      <w:r w:rsidRPr="00994FC2">
        <w:rPr>
          <w:rFonts w:ascii="Times New Roman" w:eastAsia="Times New Roman" w:hAnsi="Times New Roman" w:cs="Times New Roman"/>
          <w:sz w:val="24"/>
          <w:szCs w:val="24"/>
        </w:rPr>
        <w:t xml:space="preserve">, </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DengXian" w:hAnsi="Times New Roman" w:cs="Times New Roman"/>
          <w:sz w:val="24"/>
          <w:szCs w:val="24"/>
        </w:rPr>
        <w:t>oświadczenie, z którego będzie wynikać, które dostawy wykonają poszczególni Wykonawcy (</w:t>
      </w:r>
      <w:r w:rsidRPr="00994FC2">
        <w:rPr>
          <w:rFonts w:ascii="Times New Roman" w:eastAsia="DengXian" w:hAnsi="Times New Roman" w:cs="Times New Roman"/>
          <w:i/>
          <w:iCs/>
          <w:sz w:val="24"/>
          <w:szCs w:val="24"/>
        </w:rPr>
        <w:t>jeżeli dotyczy – w przypadku składania oferty przez Wykonawców wspólnie ubiegających się o udzielenie zamówienia</w:t>
      </w:r>
      <w:r w:rsidRPr="00994FC2">
        <w:rPr>
          <w:rFonts w:ascii="Times New Roman" w:eastAsia="DengXian" w:hAnsi="Times New Roman" w:cs="Times New Roman"/>
          <w:sz w:val="24"/>
          <w:szCs w:val="24"/>
        </w:rPr>
        <w:t xml:space="preserve">); oświadczenie znajduje się w treści formularza ofertowego </w:t>
      </w:r>
      <w:r w:rsidRPr="00994FC2">
        <w:rPr>
          <w:rFonts w:ascii="Times New Roman" w:eastAsia="Times New Roman" w:hAnsi="Times New Roman" w:cs="Times New Roman"/>
          <w:sz w:val="24"/>
          <w:szCs w:val="24"/>
        </w:rPr>
        <w:t>(</w:t>
      </w:r>
      <w:r w:rsidRPr="00994FC2">
        <w:rPr>
          <w:rFonts w:ascii="Times New Roman" w:eastAsia="DengXian" w:hAnsi="Times New Roman" w:cs="Times New Roman"/>
          <w:sz w:val="24"/>
          <w:szCs w:val="24"/>
        </w:rPr>
        <w:t xml:space="preserve">Załącznik nr 2 do SWZ), </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wykaz doświadczenia trenera skierowanego do </w:t>
      </w:r>
      <w:r w:rsidRPr="00994FC2">
        <w:rPr>
          <w:rFonts w:ascii="Times New Roman" w:eastAsia="DengXian" w:hAnsi="Times New Roman" w:cs="Times New Roman"/>
          <w:bCs/>
          <w:sz w:val="24"/>
          <w:szCs w:val="24"/>
        </w:rPr>
        <w:t>realizacji szkolenia w zakresie przeprowadzania szkoleń z zakresu obsługi oprogramowania do akwizycji oraz analizy danych z urządzeń mobilnych na rzecz organów ścigania oferowanego przez Wykonawcę (Załącznik nr 3 do SWZ) wraz z</w:t>
      </w:r>
      <w:r w:rsidRPr="00994FC2">
        <w:rPr>
          <w:rFonts w:ascii="Times New Roman" w:eastAsia="DengXian" w:hAnsi="Times New Roman" w:cs="Times New Roman"/>
          <w:sz w:val="24"/>
          <w:szCs w:val="24"/>
        </w:rPr>
        <w:t xml:space="preserve"> </w:t>
      </w:r>
      <w:r w:rsidRPr="00994FC2">
        <w:rPr>
          <w:rFonts w:ascii="Times New Roman" w:eastAsia="DengXian" w:hAnsi="Times New Roman" w:cs="Times New Roman"/>
          <w:bCs/>
          <w:sz w:val="24"/>
          <w:szCs w:val="24"/>
        </w:rPr>
        <w:t>dokumentami potwierdzającymi należyte wykonanie usług szkoleniowych wskazanych w wykazie,</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wykaz spełniania parametrów technicznych (Załącznik nr 7 SWZ),</w:t>
      </w:r>
    </w:p>
    <w:p w:rsidR="00994FC2" w:rsidRPr="00994FC2" w:rsidRDefault="00994FC2" w:rsidP="00994FC2">
      <w:pPr>
        <w:numPr>
          <w:ilvl w:val="0"/>
          <w:numId w:val="24"/>
        </w:numPr>
        <w:spacing w:after="0" w:line="312"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dowód wniesienia wadium (w przypadku wnoszenia wadium w formie pieniężnej) lub oryginał dokumentu wadium (w przypadku wnoszenia wadium w formie poręczeń lub gwarancji).</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94FC2">
        <w:rPr>
          <w:rFonts w:ascii="Times New Roman" w:eastAsia="DengXian" w:hAnsi="Times New Roman" w:cs="Times New Roman"/>
          <w:sz w:val="24"/>
          <w:szCs w:val="24"/>
        </w:rPr>
        <w:t>Wykonawcy</w:t>
      </w:r>
      <w:r w:rsidRPr="00994FC2">
        <w:rPr>
          <w:rFonts w:ascii="Times New Roman" w:eastAsia="Times New Roman" w:hAnsi="Times New Roman" w:cs="Times New Roman"/>
          <w:sz w:val="24"/>
          <w:szCs w:val="24"/>
        </w:rPr>
        <w:t>.</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w:t>
      </w:r>
      <w:r w:rsidRPr="00994FC2">
        <w:rPr>
          <w:rFonts w:ascii="Times New Roman" w:eastAsia="Times New Roman" w:hAnsi="Times New Roman" w:cs="Times New Roman"/>
          <w:sz w:val="24"/>
          <w:szCs w:val="24"/>
        </w:rPr>
        <w:lastRenderedPageBreak/>
        <w:t xml:space="preserve">odwzorowanie tego dokumentu opatrzone kwalifikowanym podpisem elektronicznym. Poświadczenia zgodności cyfrowego odwzorowania z dokumentem w postaci papierowej może dokonać mocodawca lub notariusz. </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Oferta oraz pozostałe oświadczenia i dokumenty, dla których Zamawiający określił wzory w formie </w:t>
      </w:r>
      <w:r w:rsidRPr="00994FC2">
        <w:rPr>
          <w:rFonts w:ascii="Times New Roman" w:eastAsia="DengXian" w:hAnsi="Times New Roman" w:cs="Times New Roman"/>
          <w:sz w:val="24"/>
          <w:szCs w:val="24"/>
        </w:rPr>
        <w:t>formularzy</w:t>
      </w:r>
      <w:r w:rsidRPr="00994FC2">
        <w:rPr>
          <w:rFonts w:ascii="Times New Roman" w:eastAsia="Times New Roman" w:hAnsi="Times New Roman" w:cs="Times New Roman"/>
          <w:sz w:val="24"/>
          <w:szCs w:val="24"/>
        </w:rPr>
        <w:t xml:space="preserve"> zamieszczonych w załącznikach do SWZ, powinny być sporządzone zgodnie z tymi wzorami, co do treści oraz opisu kolumn i wierszy.</w:t>
      </w:r>
    </w:p>
    <w:p w:rsidR="00994FC2" w:rsidRPr="00994FC2" w:rsidRDefault="00994FC2" w:rsidP="00994FC2">
      <w:pPr>
        <w:numPr>
          <w:ilvl w:val="3"/>
          <w:numId w:val="23"/>
        </w:numPr>
        <w:spacing w:after="0" w:line="312" w:lineRule="auto"/>
        <w:ind w:left="425" w:hanging="425"/>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Jeśli oferta zawiera </w:t>
      </w:r>
      <w:r w:rsidRPr="00994FC2">
        <w:rPr>
          <w:rFonts w:ascii="Times New Roman" w:eastAsia="DengXian" w:hAnsi="Times New Roman" w:cs="Times New Roman"/>
          <w:sz w:val="24"/>
          <w:szCs w:val="24"/>
        </w:rPr>
        <w:t>informacje</w:t>
      </w:r>
      <w:r w:rsidRPr="00994FC2">
        <w:rPr>
          <w:rFonts w:ascii="Times New Roman" w:eastAsia="Times New Roman" w:hAnsi="Times New Roman" w:cs="Times New Roman"/>
          <w:sz w:val="24"/>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994FC2">
        <w:rPr>
          <w:rFonts w:ascii="Times New Roman" w:eastAsia="DengXian" w:hAnsi="Times New Roman" w:cs="Times New Roman"/>
          <w:sz w:val="24"/>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r w:rsidRPr="00994FC2">
        <w:rPr>
          <w:rFonts w:ascii="Times New Roman" w:eastAsia="Times New Roman" w:hAnsi="Times New Roman" w:cs="Times New Roman"/>
          <w:sz w:val="24"/>
          <w:szCs w:val="24"/>
        </w:rPr>
        <w:t>Zastrzeżone informacje należy złożyć w wydzielonym i odpowiednio oznaczonym pliku.</w:t>
      </w:r>
    </w:p>
    <w:p w:rsidR="00994FC2" w:rsidRPr="00994FC2" w:rsidRDefault="00994FC2" w:rsidP="00994FC2">
      <w:pPr>
        <w:numPr>
          <w:ilvl w:val="3"/>
          <w:numId w:val="23"/>
        </w:numPr>
        <w:spacing w:after="0" w:line="312" w:lineRule="auto"/>
        <w:ind w:left="425" w:hanging="425"/>
        <w:jc w:val="both"/>
        <w:rPr>
          <w:rFonts w:ascii="Times New Roman" w:eastAsia="Times New Roman" w:hAnsi="Times New Roman" w:cs="Times New Roman"/>
          <w:bCs/>
          <w:sz w:val="24"/>
          <w:szCs w:val="24"/>
        </w:rPr>
      </w:pPr>
      <w:r w:rsidRPr="00994FC2">
        <w:rPr>
          <w:rFonts w:ascii="Times New Roman" w:eastAsia="Times New Roman" w:hAnsi="Times New Roman" w:cs="Times New Roman"/>
          <w:sz w:val="24"/>
          <w:szCs w:val="24"/>
        </w:rPr>
        <w:t xml:space="preserve">W celu złożenia oferty należy zarejestrować (zalogować) się na Platformie i postępować zgodnie z instrukcjami dostępnymi u dostawcy rozwiązania informatycznego pod adresem </w:t>
      </w:r>
      <w:hyperlink r:id="rId17" w:history="1">
        <w:r w:rsidRPr="00994FC2">
          <w:rPr>
            <w:rFonts w:ascii="Times New Roman" w:eastAsia="Times New Roman" w:hAnsi="Times New Roman" w:cs="Times New Roman"/>
            <w:bCs/>
            <w:color w:val="0000FF"/>
            <w:sz w:val="24"/>
            <w:szCs w:val="24"/>
            <w:u w:val="single"/>
          </w:rPr>
          <w:t>https://platformazakupowa.pl/strona/45-instrukcje</w:t>
        </w:r>
      </w:hyperlink>
      <w:r w:rsidRPr="00994FC2">
        <w:rPr>
          <w:rFonts w:ascii="Times New Roman" w:eastAsia="Times New Roman" w:hAnsi="Times New Roman" w:cs="Times New Roman"/>
          <w:bCs/>
          <w:sz w:val="24"/>
          <w:szCs w:val="24"/>
          <w:u w:val="single"/>
        </w:rPr>
        <w:t>.</w:t>
      </w:r>
    </w:p>
    <w:p w:rsidR="00994FC2" w:rsidRPr="00994FC2" w:rsidRDefault="00994FC2" w:rsidP="00994FC2">
      <w:pPr>
        <w:numPr>
          <w:ilvl w:val="3"/>
          <w:numId w:val="23"/>
        </w:numPr>
        <w:spacing w:after="0" w:line="312"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Zamawiający odrzuci ofertę złożoną po terminie składania ofert.</w:t>
      </w:r>
    </w:p>
    <w:p w:rsidR="00994FC2" w:rsidRPr="00994FC2" w:rsidRDefault="00994FC2" w:rsidP="00994FC2">
      <w:pPr>
        <w:spacing w:after="0" w:line="312" w:lineRule="auto"/>
        <w:jc w:val="both"/>
        <w:rPr>
          <w:rFonts w:ascii="Times New Roman" w:eastAsia="Calibri" w:hAnsi="Times New Roman" w:cs="Times New Roman"/>
          <w:sz w:val="24"/>
          <w:szCs w:val="24"/>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SPOSÓB I TERMIN SKŁADANIA I OTWARCIA OFERT</w:t>
      </w:r>
    </w:p>
    <w:p w:rsidR="00994FC2" w:rsidRPr="00994FC2" w:rsidRDefault="00994FC2" w:rsidP="00994FC2">
      <w:p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1.</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Ofertę należy złożyć za pośrednictwem strony: </w:t>
      </w:r>
      <w:hyperlink r:id="rId18" w:history="1">
        <w:r w:rsidRPr="00994FC2">
          <w:rPr>
            <w:rFonts w:ascii="Times New Roman" w:eastAsia="DengXian" w:hAnsi="Times New Roman" w:cs="Times New Roman"/>
            <w:color w:val="0000FF"/>
            <w:sz w:val="24"/>
            <w:szCs w:val="24"/>
            <w:u w:val="single"/>
          </w:rPr>
          <w:t xml:space="preserve">https://platformazakupowa.pl/pn/kwp_bialystok </w:t>
        </w:r>
        <w:r w:rsidRPr="00D33267">
          <w:rPr>
            <w:rFonts w:ascii="Times New Roman" w:eastAsia="DengXian" w:hAnsi="Times New Roman" w:cs="Times New Roman"/>
            <w:b/>
            <w:sz w:val="24"/>
            <w:szCs w:val="24"/>
          </w:rPr>
          <w:t>do dnia</w:t>
        </w:r>
        <w:r w:rsidRPr="00D33267">
          <w:rPr>
            <w:rFonts w:ascii="Times New Roman" w:eastAsia="DengXian" w:hAnsi="Times New Roman" w:cs="Times New Roman"/>
            <w:b/>
            <w:color w:val="0000FF"/>
            <w:sz w:val="24"/>
            <w:szCs w:val="24"/>
          </w:rPr>
          <w:t xml:space="preserve"> </w:t>
        </w:r>
        <w:r w:rsidR="00CD4BC5" w:rsidRPr="00CD4BC5">
          <w:rPr>
            <w:rFonts w:ascii="Times New Roman" w:eastAsia="DengXian" w:hAnsi="Times New Roman" w:cs="Times New Roman"/>
            <w:b/>
            <w:sz w:val="24"/>
            <w:szCs w:val="24"/>
          </w:rPr>
          <w:t>10</w:t>
        </w:r>
        <w:r w:rsidRPr="00CD4BC5">
          <w:rPr>
            <w:rFonts w:ascii="Times New Roman" w:eastAsia="DengXian" w:hAnsi="Times New Roman" w:cs="Times New Roman"/>
            <w:b/>
            <w:sz w:val="24"/>
            <w:szCs w:val="24"/>
          </w:rPr>
          <w:t>.</w:t>
        </w:r>
        <w:r w:rsidR="00CD4BC5">
          <w:rPr>
            <w:rFonts w:ascii="Times New Roman" w:eastAsia="DengXian" w:hAnsi="Times New Roman" w:cs="Times New Roman"/>
            <w:b/>
            <w:sz w:val="24"/>
            <w:szCs w:val="24"/>
          </w:rPr>
          <w:t>03.</w:t>
        </w:r>
        <w:r w:rsidRPr="00D33267">
          <w:rPr>
            <w:rFonts w:ascii="Times New Roman" w:eastAsia="DengXian" w:hAnsi="Times New Roman" w:cs="Times New Roman"/>
            <w:b/>
            <w:sz w:val="24"/>
            <w:szCs w:val="24"/>
          </w:rPr>
          <w:t>202</w:t>
        </w:r>
      </w:hyperlink>
      <w:r w:rsidR="00D33267" w:rsidRPr="00D33267">
        <w:rPr>
          <w:rFonts w:ascii="Times New Roman" w:eastAsia="DengXian" w:hAnsi="Times New Roman" w:cs="Times New Roman"/>
          <w:b/>
          <w:sz w:val="24"/>
          <w:szCs w:val="24"/>
        </w:rPr>
        <w:t>2</w:t>
      </w:r>
      <w:r w:rsidRPr="00994FC2">
        <w:rPr>
          <w:rFonts w:ascii="Times New Roman" w:eastAsia="DengXian" w:hAnsi="Times New Roman" w:cs="Times New Roman"/>
          <w:b/>
          <w:sz w:val="24"/>
          <w:szCs w:val="24"/>
        </w:rPr>
        <w:t xml:space="preserve"> r.  do godziny 9:30.</w:t>
      </w:r>
    </w:p>
    <w:p w:rsidR="00994FC2" w:rsidRPr="00994FC2" w:rsidRDefault="00994FC2" w:rsidP="00994FC2">
      <w:p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2.</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O terminie złożenia oferty decyduje czas pełnego przeprocesowania transakcji na Platformie.</w:t>
      </w:r>
    </w:p>
    <w:p w:rsidR="00994FC2" w:rsidRPr="00994FC2" w:rsidRDefault="00994FC2" w:rsidP="00994FC2">
      <w:p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3.</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Otwarcie ofert nastąpi w dniu </w:t>
      </w:r>
      <w:r w:rsidR="00CD4BC5" w:rsidRPr="00CD4BC5">
        <w:rPr>
          <w:rFonts w:ascii="Times New Roman" w:eastAsia="DengXian" w:hAnsi="Times New Roman" w:cs="Times New Roman"/>
          <w:b/>
          <w:sz w:val="24"/>
          <w:szCs w:val="24"/>
        </w:rPr>
        <w:t>10</w:t>
      </w:r>
      <w:r w:rsidR="00497B9B" w:rsidRPr="00CD4BC5">
        <w:rPr>
          <w:rFonts w:ascii="Times New Roman" w:eastAsia="DengXian" w:hAnsi="Times New Roman" w:cs="Times New Roman"/>
          <w:b/>
          <w:sz w:val="24"/>
          <w:szCs w:val="24"/>
        </w:rPr>
        <w:t>.</w:t>
      </w:r>
      <w:r w:rsidR="00CD4BC5">
        <w:rPr>
          <w:rFonts w:ascii="Times New Roman" w:eastAsia="DengXian" w:hAnsi="Times New Roman" w:cs="Times New Roman"/>
          <w:b/>
          <w:sz w:val="24"/>
          <w:szCs w:val="24"/>
        </w:rPr>
        <w:t>03.</w:t>
      </w:r>
      <w:r w:rsidR="00D33267" w:rsidRPr="00497B9B">
        <w:rPr>
          <w:rFonts w:ascii="Times New Roman" w:eastAsia="DengXian" w:hAnsi="Times New Roman" w:cs="Times New Roman"/>
          <w:b/>
          <w:sz w:val="24"/>
          <w:szCs w:val="24"/>
        </w:rPr>
        <w:t xml:space="preserve">2022 </w:t>
      </w:r>
      <w:r w:rsidRPr="00497B9B">
        <w:rPr>
          <w:rFonts w:ascii="Times New Roman" w:eastAsia="DengXian" w:hAnsi="Times New Roman" w:cs="Times New Roman"/>
          <w:b/>
          <w:bCs/>
          <w:sz w:val="24"/>
          <w:szCs w:val="24"/>
        </w:rPr>
        <w:t>r</w:t>
      </w:r>
      <w:r w:rsidRPr="00497B9B">
        <w:rPr>
          <w:rFonts w:ascii="Times New Roman" w:eastAsia="DengXian" w:hAnsi="Times New Roman" w:cs="Times New Roman"/>
          <w:b/>
          <w:sz w:val="24"/>
          <w:szCs w:val="24"/>
        </w:rPr>
        <w:t>.</w:t>
      </w:r>
      <w:r w:rsidRPr="00497B9B">
        <w:rPr>
          <w:rFonts w:ascii="Times New Roman" w:eastAsia="DengXian" w:hAnsi="Times New Roman" w:cs="Times New Roman"/>
          <w:sz w:val="24"/>
          <w:szCs w:val="24"/>
        </w:rPr>
        <w:t xml:space="preserve"> </w:t>
      </w:r>
      <w:r w:rsidRPr="00994FC2">
        <w:rPr>
          <w:rFonts w:ascii="Times New Roman" w:eastAsia="DengXian" w:hAnsi="Times New Roman" w:cs="Times New Roman"/>
          <w:b/>
          <w:sz w:val="24"/>
          <w:szCs w:val="24"/>
        </w:rPr>
        <w:t xml:space="preserve">o godzinie 10:00. </w:t>
      </w:r>
    </w:p>
    <w:p w:rsidR="00994FC2" w:rsidRPr="00994FC2" w:rsidRDefault="00994FC2" w:rsidP="00994FC2">
      <w:p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4.</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Zamawiający, najpóźniej przed otwarciem ofert, udostępnia na stronie internetowej prowadzonego postępowania informację o kwocie, jaką Zamawiający zamierza przeznaczyć na sfinansowanie zamówienia. </w:t>
      </w:r>
    </w:p>
    <w:p w:rsidR="00994FC2" w:rsidRPr="00994FC2" w:rsidRDefault="00994FC2" w:rsidP="00994FC2">
      <w:pPr>
        <w:spacing w:after="0" w:line="312"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5.</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Niezwłocznie po otwarciu ofert, Zamawiający udostępnia na stronie internetowej prowadzonego postępowania informacje o: </w:t>
      </w:r>
    </w:p>
    <w:p w:rsidR="00994FC2" w:rsidRPr="00994FC2" w:rsidRDefault="00994FC2" w:rsidP="00994FC2">
      <w:pPr>
        <w:spacing w:after="0" w:line="312" w:lineRule="auto"/>
        <w:ind w:left="852"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1)</w:t>
      </w:r>
      <w:r w:rsidRPr="00994FC2">
        <w:rPr>
          <w:rFonts w:ascii="Times New Roman" w:eastAsia="Calibri" w:hAnsi="Times New Roman" w:cs="Times New Roman"/>
          <w:sz w:val="24"/>
          <w:szCs w:val="24"/>
        </w:rPr>
        <w:tab/>
        <w:t xml:space="preserve">nazwach albo imionach i nazwiskach oraz siedzibach lub miejscach prowadzonej działalności gospodarczej albo miejscach zamieszkania wykonawców, których oferty zostały otwarte; </w:t>
      </w:r>
    </w:p>
    <w:p w:rsidR="00994FC2" w:rsidRPr="00994FC2" w:rsidRDefault="00994FC2" w:rsidP="00994FC2">
      <w:pPr>
        <w:spacing w:after="0" w:line="312" w:lineRule="auto"/>
        <w:ind w:left="852"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2)</w:t>
      </w:r>
      <w:r w:rsidRPr="00994FC2">
        <w:rPr>
          <w:rFonts w:ascii="Times New Roman" w:eastAsia="Calibri" w:hAnsi="Times New Roman" w:cs="Times New Roman"/>
          <w:sz w:val="24"/>
          <w:szCs w:val="24"/>
        </w:rPr>
        <w:tab/>
        <w:t>cenach lub kosztach zawartych w ofertach.</w:t>
      </w:r>
    </w:p>
    <w:p w:rsidR="00994FC2" w:rsidRPr="00994FC2" w:rsidRDefault="00994FC2" w:rsidP="00994FC2">
      <w:pPr>
        <w:spacing w:after="0" w:line="312" w:lineRule="auto"/>
        <w:ind w:left="480" w:hanging="48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lastRenderedPageBreak/>
        <w:t>6.</w:t>
      </w:r>
      <w:r w:rsidRPr="00994FC2">
        <w:rPr>
          <w:rFonts w:ascii="Times New Roman" w:eastAsia="Calibri" w:hAnsi="Times New Roman" w:cs="Times New Roman"/>
          <w:b/>
          <w:sz w:val="24"/>
          <w:szCs w:val="24"/>
        </w:rPr>
        <w:tab/>
      </w:r>
      <w:r w:rsidRPr="00994FC2">
        <w:rPr>
          <w:rFonts w:ascii="Times New Roman" w:eastAsia="Calibri" w:hAnsi="Times New Roman" w:cs="Times New Roman"/>
          <w:sz w:val="24"/>
          <w:szCs w:val="24"/>
        </w:rPr>
        <w:t>W przypadku wystąpienia awarii systemu teleinformatycznego, która spowoduje brak możliwości otwarcia ofert w terminie określonym przez Zamawiającego, otwarcie ofert nastąpi niezwłocznie po usunięciu awarii.</w:t>
      </w:r>
    </w:p>
    <w:p w:rsidR="00994FC2" w:rsidRPr="00994FC2" w:rsidRDefault="00994FC2" w:rsidP="00994FC2">
      <w:pPr>
        <w:tabs>
          <w:tab w:val="left" w:pos="480"/>
          <w:tab w:val="left" w:pos="960"/>
        </w:tabs>
        <w:spacing w:after="0" w:line="312" w:lineRule="auto"/>
        <w:ind w:left="480" w:hanging="48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7.</w:t>
      </w:r>
      <w:r w:rsidRPr="00994FC2">
        <w:rPr>
          <w:rFonts w:ascii="Times New Roman" w:eastAsia="Calibri" w:hAnsi="Times New Roman" w:cs="Times New Roman"/>
          <w:b/>
          <w:sz w:val="24"/>
          <w:szCs w:val="24"/>
        </w:rPr>
        <w:tab/>
      </w:r>
      <w:r w:rsidRPr="00994FC2">
        <w:rPr>
          <w:rFonts w:ascii="Times New Roman" w:eastAsia="Calibri" w:hAnsi="Times New Roman" w:cs="Times New Roman"/>
          <w:bCs/>
          <w:sz w:val="24"/>
          <w:szCs w:val="24"/>
        </w:rPr>
        <w:t>Za</w:t>
      </w:r>
      <w:r w:rsidRPr="00994FC2">
        <w:rPr>
          <w:rFonts w:ascii="Times New Roman" w:eastAsia="Calibri" w:hAnsi="Times New Roman" w:cs="Times New Roman"/>
          <w:sz w:val="24"/>
          <w:szCs w:val="24"/>
        </w:rPr>
        <w:t>mawiający poinformuje o zmianie terminu otwarcia ofert na stronie internetowej prowadzonego postępowania.</w:t>
      </w:r>
    </w:p>
    <w:p w:rsidR="00994FC2" w:rsidRPr="00994FC2" w:rsidRDefault="00994FC2" w:rsidP="00994FC2">
      <w:pPr>
        <w:tabs>
          <w:tab w:val="left" w:pos="480"/>
          <w:tab w:val="left" w:pos="960"/>
        </w:tabs>
        <w:spacing w:after="0" w:line="312" w:lineRule="auto"/>
        <w:ind w:left="480" w:hanging="480"/>
        <w:jc w:val="both"/>
        <w:rPr>
          <w:rFonts w:ascii="Times New Roman" w:eastAsia="Calibri" w:hAnsi="Times New Roman" w:cs="Times New Roman"/>
          <w:sz w:val="24"/>
          <w:szCs w:val="24"/>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 xml:space="preserve">SPOSÓB OBLICZENIA CENY </w:t>
      </w:r>
    </w:p>
    <w:p w:rsidR="00994FC2" w:rsidRPr="00994FC2" w:rsidRDefault="00994FC2" w:rsidP="00994FC2">
      <w:pPr>
        <w:numPr>
          <w:ilvl w:val="0"/>
          <w:numId w:val="25"/>
        </w:numPr>
        <w:spacing w:after="0" w:line="312" w:lineRule="auto"/>
        <w:ind w:left="426" w:hanging="426"/>
        <w:jc w:val="both"/>
        <w:rPr>
          <w:rFonts w:ascii="Times New Roman" w:eastAsia="BookmanOldStyle-Bold" w:hAnsi="Times New Roman" w:cs="Times New Roman"/>
          <w:color w:val="000000"/>
          <w:sz w:val="24"/>
          <w:szCs w:val="24"/>
        </w:rPr>
      </w:pPr>
      <w:r w:rsidRPr="00994FC2">
        <w:rPr>
          <w:rFonts w:ascii="Times New Roman" w:eastAsia="DengXian" w:hAnsi="Times New Roman" w:cs="Times New Roman"/>
          <w:sz w:val="24"/>
          <w:szCs w:val="24"/>
        </w:rPr>
        <w:t xml:space="preserve">Wykonawca podaje cenę netto oraz brutto za realizację przedmiotu zamówienia, zgodnie z danymi podanymi ze wzorze Formularza Ofertowego, stanowiącego Załącznik nr 2 do SWZ. </w:t>
      </w:r>
    </w:p>
    <w:p w:rsidR="00994FC2" w:rsidRPr="00994FC2" w:rsidRDefault="00994FC2" w:rsidP="00994FC2">
      <w:pPr>
        <w:numPr>
          <w:ilvl w:val="0"/>
          <w:numId w:val="25"/>
        </w:numPr>
        <w:spacing w:after="0" w:line="312" w:lineRule="auto"/>
        <w:ind w:left="426" w:hanging="426"/>
        <w:jc w:val="both"/>
        <w:rPr>
          <w:rFonts w:ascii="Times New Roman" w:eastAsia="BookmanOldStyle-Bold" w:hAnsi="Times New Roman" w:cs="Times New Roman"/>
          <w:color w:val="000000"/>
          <w:sz w:val="24"/>
          <w:szCs w:val="24"/>
        </w:rPr>
      </w:pPr>
      <w:r w:rsidRPr="00994FC2">
        <w:rPr>
          <w:rFonts w:ascii="Times New Roman" w:eastAsia="DengXian" w:hAnsi="Times New Roman" w:cs="Times New Roman"/>
          <w:sz w:val="24"/>
          <w:szCs w:val="24"/>
        </w:rPr>
        <w:t>P</w:t>
      </w:r>
      <w:r w:rsidRPr="00994FC2">
        <w:rPr>
          <w:rFonts w:ascii="Times New Roman" w:eastAsia="BookmanOldStyle-Bold" w:hAnsi="Times New Roman" w:cs="Times New Roman"/>
          <w:color w:val="000000"/>
          <w:sz w:val="24"/>
          <w:szCs w:val="24"/>
        </w:rPr>
        <w:t xml:space="preserve">odana w ofercie cena musi być wyrażona w złotych polskich (PLN) i obejmować wszelkie koszty wykonania przedmiotu zamówienia na warunkach określonych w szczególności w Szczegółowym opisie przedmiotu zamówienia (Załącznik nr 1 do SWZ) i Wzorze umowy (Załącznik nr 6 do SWZ). </w:t>
      </w:r>
    </w:p>
    <w:p w:rsidR="00994FC2" w:rsidRPr="00994FC2" w:rsidRDefault="00994FC2" w:rsidP="00994FC2">
      <w:pPr>
        <w:numPr>
          <w:ilvl w:val="0"/>
          <w:numId w:val="25"/>
        </w:numPr>
        <w:spacing w:after="0" w:line="312" w:lineRule="auto"/>
        <w:ind w:left="426" w:hanging="426"/>
        <w:jc w:val="both"/>
        <w:rPr>
          <w:rFonts w:ascii="Times New Roman" w:eastAsia="BookmanOldStyle-Bold" w:hAnsi="Times New Roman" w:cs="Times New Roman"/>
          <w:color w:val="000000"/>
          <w:sz w:val="24"/>
          <w:szCs w:val="24"/>
        </w:rPr>
      </w:pPr>
      <w:r w:rsidRPr="00994FC2">
        <w:rPr>
          <w:rFonts w:ascii="Times New Roman" w:eastAsia="DengXian" w:hAnsi="Times New Roman" w:cs="Times New Roman"/>
          <w:sz w:val="24"/>
          <w:szCs w:val="24"/>
        </w:rPr>
        <w:t>Jeżeli została złożona oferta, której wybór prowadziłby do powstania u Zamawiającego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ustępie, Wykonawca ma obowiązek:</w:t>
      </w:r>
    </w:p>
    <w:p w:rsidR="00994FC2" w:rsidRPr="00994FC2" w:rsidRDefault="00994FC2" w:rsidP="00994FC2">
      <w:pPr>
        <w:numPr>
          <w:ilvl w:val="1"/>
          <w:numId w:val="26"/>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poinformowania Zamawiającego, że wybór jego oferty będzie prowadził do powstania u Zamawiającego obowiązku podatkowego;</w:t>
      </w:r>
    </w:p>
    <w:p w:rsidR="00994FC2" w:rsidRPr="00994FC2" w:rsidRDefault="00994FC2" w:rsidP="00994FC2">
      <w:pPr>
        <w:numPr>
          <w:ilvl w:val="1"/>
          <w:numId w:val="26"/>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nazwy (rodzaju) towaru lub usługi, których dostawa lub świadczenie będą prowadziły do powstania obowiązku podatkowego;</w:t>
      </w:r>
    </w:p>
    <w:p w:rsidR="00994FC2" w:rsidRPr="00994FC2" w:rsidRDefault="00994FC2" w:rsidP="00994FC2">
      <w:pPr>
        <w:numPr>
          <w:ilvl w:val="1"/>
          <w:numId w:val="26"/>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wartości towaru lub usługi objętego obowiązkiem podatkowym Zamawiającego, bez kwoty podatku;</w:t>
      </w:r>
    </w:p>
    <w:p w:rsidR="00994FC2" w:rsidRPr="00994FC2" w:rsidRDefault="00994FC2" w:rsidP="00994FC2">
      <w:pPr>
        <w:numPr>
          <w:ilvl w:val="1"/>
          <w:numId w:val="26"/>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stawki podatku od towarów i usług, która zgodnie z wiedzą Wykonawcy, będzie miała zastosowanie.</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Cena ofertowa powinna uwzględniać należny podatek VAT, a także inne podatki i opłaty, których konieczność poniesienia wiąże się z realizację zamówienia. </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Cena oferty powinna być wyrażona w złotych polskich (PLN) z dokładnością do dwóch miejsc po przecinku. </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bCs/>
          <w:sz w:val="24"/>
          <w:szCs w:val="24"/>
        </w:rPr>
        <w:t>Przy wyliczaniu poszczególnych wartości należy ograniczyć się do dwóch miejsc po przecinku na każdym etapie wyliczenia ceny</w:t>
      </w:r>
      <w:r w:rsidRPr="00994FC2">
        <w:rPr>
          <w:rFonts w:ascii="Times New Roman" w:eastAsia="Calibri" w:hAnsi="Times New Roman" w:cs="Times New Roman"/>
          <w:sz w:val="24"/>
          <w:szCs w:val="24"/>
        </w:rPr>
        <w:t>.</w:t>
      </w:r>
      <w:r w:rsidRPr="00994FC2">
        <w:rPr>
          <w:rFonts w:ascii="Times New Roman" w:eastAsia="Calibri" w:hAnsi="Times New Roman" w:cs="Times New Roman"/>
          <w:color w:val="000000"/>
          <w:sz w:val="24"/>
          <w:szCs w:val="24"/>
        </w:rPr>
        <w:t xml:space="preserve"> </w:t>
      </w:r>
      <w:r w:rsidRPr="00994FC2">
        <w:rPr>
          <w:rFonts w:ascii="Times New Roman" w:eastAsia="Calibri" w:hAnsi="Times New Roman" w:cs="Times New Roman"/>
          <w:bCs/>
          <w:sz w:val="24"/>
          <w:szCs w:val="24"/>
        </w:rPr>
        <w:t>Kwoty wskazane w ofercie zaokrągla się do pełnych groszy, przy czym końcówki poniżej 0,5 grosza pomija si</w:t>
      </w:r>
      <w:r w:rsidRPr="00994FC2">
        <w:rPr>
          <w:rFonts w:ascii="Times New Roman" w:eastAsia="Calibri" w:hAnsi="Times New Roman" w:cs="Times New Roman"/>
          <w:sz w:val="24"/>
          <w:szCs w:val="24"/>
        </w:rPr>
        <w:t>ę</w:t>
      </w:r>
      <w:r w:rsidRPr="00994FC2">
        <w:rPr>
          <w:rFonts w:ascii="Times New Roman" w:eastAsia="Calibri" w:hAnsi="Times New Roman" w:cs="Times New Roman"/>
          <w:bCs/>
          <w:sz w:val="24"/>
          <w:szCs w:val="24"/>
        </w:rPr>
        <w:t>, a ko</w:t>
      </w:r>
      <w:r w:rsidRPr="00994FC2">
        <w:rPr>
          <w:rFonts w:ascii="Times New Roman" w:eastAsia="Calibri" w:hAnsi="Times New Roman" w:cs="Times New Roman"/>
          <w:sz w:val="24"/>
          <w:szCs w:val="24"/>
        </w:rPr>
        <w:t>ń</w:t>
      </w:r>
      <w:r w:rsidRPr="00994FC2">
        <w:rPr>
          <w:rFonts w:ascii="Times New Roman" w:eastAsia="Calibri" w:hAnsi="Times New Roman" w:cs="Times New Roman"/>
          <w:bCs/>
          <w:sz w:val="24"/>
          <w:szCs w:val="24"/>
        </w:rPr>
        <w:t>cówki 0,5 grosza i wy</w:t>
      </w:r>
      <w:r w:rsidRPr="00994FC2">
        <w:rPr>
          <w:rFonts w:ascii="Times New Roman" w:eastAsia="Calibri" w:hAnsi="Times New Roman" w:cs="Times New Roman"/>
          <w:sz w:val="24"/>
          <w:szCs w:val="24"/>
        </w:rPr>
        <w:t>ż</w:t>
      </w:r>
      <w:r w:rsidRPr="00994FC2">
        <w:rPr>
          <w:rFonts w:ascii="Times New Roman" w:eastAsia="Calibri" w:hAnsi="Times New Roman" w:cs="Times New Roman"/>
          <w:bCs/>
          <w:sz w:val="24"/>
          <w:szCs w:val="24"/>
        </w:rPr>
        <w:t>sze zaokr</w:t>
      </w:r>
      <w:r w:rsidRPr="00994FC2">
        <w:rPr>
          <w:rFonts w:ascii="Times New Roman" w:eastAsia="Calibri" w:hAnsi="Times New Roman" w:cs="Times New Roman"/>
          <w:sz w:val="24"/>
          <w:szCs w:val="24"/>
        </w:rPr>
        <w:t>ą</w:t>
      </w:r>
      <w:r w:rsidRPr="00994FC2">
        <w:rPr>
          <w:rFonts w:ascii="Times New Roman" w:eastAsia="Calibri" w:hAnsi="Times New Roman" w:cs="Times New Roman"/>
          <w:bCs/>
          <w:sz w:val="24"/>
          <w:szCs w:val="24"/>
        </w:rPr>
        <w:t>gla się</w:t>
      </w:r>
      <w:r w:rsidRPr="00994FC2">
        <w:rPr>
          <w:rFonts w:ascii="Times New Roman" w:eastAsia="Calibri" w:hAnsi="Times New Roman" w:cs="Times New Roman"/>
          <w:sz w:val="24"/>
          <w:szCs w:val="24"/>
        </w:rPr>
        <w:t xml:space="preserve"> </w:t>
      </w:r>
      <w:r w:rsidRPr="00994FC2">
        <w:rPr>
          <w:rFonts w:ascii="Times New Roman" w:eastAsia="Calibri" w:hAnsi="Times New Roman" w:cs="Times New Roman"/>
          <w:bCs/>
          <w:sz w:val="24"/>
          <w:szCs w:val="24"/>
        </w:rPr>
        <w:t>do 1 grosza.</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lastRenderedPageBreak/>
        <w:t>Wyliczona cena oferty brutto będzie służyć do porównania złożonych ofert i do rozliczenia w trakcie realizacji zamówienia.</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Wzór Formularza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t>
      </w:r>
    </w:p>
    <w:p w:rsidR="00994FC2" w:rsidRPr="00994FC2" w:rsidRDefault="00994FC2" w:rsidP="00994FC2">
      <w:pPr>
        <w:numPr>
          <w:ilvl w:val="0"/>
          <w:numId w:val="25"/>
        </w:numPr>
        <w:spacing w:after="0" w:line="312"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Zgodnie z art. 223 ust. 2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 Zamawiający poprawia w ofercie Wykonawcy:</w:t>
      </w:r>
    </w:p>
    <w:p w:rsidR="00994FC2" w:rsidRPr="00994FC2" w:rsidRDefault="00994FC2" w:rsidP="00994FC2">
      <w:pPr>
        <w:numPr>
          <w:ilvl w:val="0"/>
          <w:numId w:val="27"/>
        </w:numPr>
        <w:tabs>
          <w:tab w:val="left" w:pos="709"/>
        </w:tabs>
        <w:spacing w:after="0" w:line="312" w:lineRule="auto"/>
        <w:ind w:left="709" w:hanging="283"/>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oczywiste omyłki pisarskie, </w:t>
      </w:r>
    </w:p>
    <w:p w:rsidR="00994FC2" w:rsidRPr="00994FC2" w:rsidRDefault="00994FC2" w:rsidP="00994FC2">
      <w:pPr>
        <w:numPr>
          <w:ilvl w:val="0"/>
          <w:numId w:val="27"/>
        </w:numPr>
        <w:tabs>
          <w:tab w:val="left" w:pos="709"/>
        </w:tabs>
        <w:spacing w:after="0" w:line="312" w:lineRule="auto"/>
        <w:ind w:left="709" w:hanging="283"/>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oczywiste omyłki rachunkowe, z uwzględnieniem konsekwencji rachunkowych dokonanych poprawek,</w:t>
      </w:r>
    </w:p>
    <w:p w:rsidR="00994FC2" w:rsidRPr="00994FC2" w:rsidRDefault="00994FC2" w:rsidP="00994FC2">
      <w:pPr>
        <w:numPr>
          <w:ilvl w:val="0"/>
          <w:numId w:val="27"/>
        </w:numPr>
        <w:tabs>
          <w:tab w:val="left" w:pos="709"/>
        </w:tabs>
        <w:spacing w:after="0" w:line="312" w:lineRule="auto"/>
        <w:ind w:left="709" w:hanging="283"/>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inne omyłki polegające na niezgodności oferty z dokumentami zamówienia, niepowodujące istotnych zmian w treści oferty </w:t>
      </w:r>
    </w:p>
    <w:p w:rsidR="00994FC2" w:rsidRPr="00994FC2" w:rsidRDefault="00994FC2" w:rsidP="00994FC2">
      <w:pPr>
        <w:spacing w:after="0" w:line="312" w:lineRule="auto"/>
        <w:ind w:left="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niezwłocznie zawiadamiając o tym wykonawcę, którego oferta została poprawiona.</w:t>
      </w:r>
    </w:p>
    <w:p w:rsidR="00994FC2" w:rsidRPr="00994FC2" w:rsidRDefault="00994FC2" w:rsidP="00994FC2">
      <w:pPr>
        <w:spacing w:after="0" w:line="312" w:lineRule="auto"/>
        <w:jc w:val="both"/>
        <w:rPr>
          <w:rFonts w:ascii="Times New Roman" w:eastAsia="Calibri" w:hAnsi="Times New Roman" w:cs="Times New Roman"/>
          <w:b/>
          <w:sz w:val="24"/>
          <w:szCs w:val="24"/>
          <w:u w:val="single"/>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KRYTERIÓW OCENY OFERT, WRAZ Z PODANIEM WAG TYCH KRYTERIÓW I SPOSOBU OCENY OFERT</w:t>
      </w:r>
    </w:p>
    <w:p w:rsidR="00994FC2" w:rsidRPr="00994FC2" w:rsidRDefault="00994FC2" w:rsidP="00994FC2">
      <w:pPr>
        <w:numPr>
          <w:ilvl w:val="0"/>
          <w:numId w:val="2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wyborze najkorzystniejszej oferty Zamawiający będzie się kierował następującymi kryteriami oceny ofert:</w:t>
      </w:r>
    </w:p>
    <w:p w:rsidR="00994FC2" w:rsidRPr="00994FC2" w:rsidRDefault="00994FC2" w:rsidP="00994FC2">
      <w:pPr>
        <w:numPr>
          <w:ilvl w:val="0"/>
          <w:numId w:val="29"/>
        </w:numPr>
        <w:spacing w:after="0" w:line="312" w:lineRule="auto"/>
        <w:ind w:left="720" w:hanging="294"/>
        <w:jc w:val="both"/>
        <w:rPr>
          <w:rFonts w:ascii="Times New Roman" w:eastAsia="Calibri" w:hAnsi="Times New Roman" w:cs="Times New Roman"/>
          <w:bCs/>
          <w:sz w:val="24"/>
          <w:szCs w:val="24"/>
        </w:rPr>
      </w:pPr>
      <w:r w:rsidRPr="00994FC2">
        <w:rPr>
          <w:rFonts w:ascii="Times New Roman" w:eastAsia="Calibri" w:hAnsi="Times New Roman" w:cs="Times New Roman"/>
          <w:bCs/>
          <w:sz w:val="24"/>
          <w:szCs w:val="24"/>
        </w:rPr>
        <w:t>cena ofertowa brutto (</w:t>
      </w:r>
      <w:r w:rsidRPr="00994FC2">
        <w:rPr>
          <w:rFonts w:ascii="Times New Roman" w:eastAsia="Calibri" w:hAnsi="Times New Roman" w:cs="Times New Roman"/>
          <w:b/>
          <w:sz w:val="24"/>
          <w:szCs w:val="24"/>
        </w:rPr>
        <w:t>C</w:t>
      </w:r>
      <w:r w:rsidRPr="00994FC2">
        <w:rPr>
          <w:rFonts w:ascii="Times New Roman" w:eastAsia="Calibri" w:hAnsi="Times New Roman" w:cs="Times New Roman"/>
          <w:bCs/>
          <w:sz w:val="24"/>
          <w:szCs w:val="24"/>
        </w:rPr>
        <w:t xml:space="preserve">) – waga kryterium 60%, </w:t>
      </w:r>
    </w:p>
    <w:p w:rsidR="00994FC2" w:rsidRPr="00994FC2" w:rsidRDefault="00994FC2" w:rsidP="00994FC2">
      <w:pPr>
        <w:numPr>
          <w:ilvl w:val="0"/>
          <w:numId w:val="29"/>
        </w:numPr>
        <w:spacing w:after="0" w:line="312" w:lineRule="auto"/>
        <w:ind w:left="720" w:hanging="294"/>
        <w:jc w:val="both"/>
        <w:rPr>
          <w:rFonts w:ascii="Times New Roman" w:eastAsia="Calibri" w:hAnsi="Times New Roman" w:cs="Times New Roman"/>
          <w:bCs/>
          <w:sz w:val="24"/>
          <w:szCs w:val="24"/>
        </w:rPr>
      </w:pPr>
      <w:r w:rsidRPr="00994FC2">
        <w:rPr>
          <w:rFonts w:ascii="Times New Roman" w:eastAsia="Calibri" w:hAnsi="Times New Roman" w:cs="Times New Roman"/>
          <w:bCs/>
          <w:sz w:val="24"/>
          <w:szCs w:val="24"/>
        </w:rPr>
        <w:t xml:space="preserve">doświadczenie trenera skierowanego do realizacji szkolenia w zakresie przeprowadzania szkoleń z zakresu obsługi oprogramowania </w:t>
      </w:r>
      <w:r w:rsidR="00516832">
        <w:rPr>
          <w:rFonts w:ascii="Times New Roman" w:eastAsia="Calibri" w:hAnsi="Times New Roman" w:cs="Times New Roman"/>
          <w:bCs/>
          <w:sz w:val="24"/>
          <w:szCs w:val="24"/>
        </w:rPr>
        <w:t>do informatyki śledczej na rzecz organów ścigania</w:t>
      </w:r>
      <w:r w:rsidRPr="00994FC2">
        <w:rPr>
          <w:rFonts w:ascii="Times New Roman" w:eastAsia="Calibri" w:hAnsi="Times New Roman" w:cs="Times New Roman"/>
          <w:bCs/>
          <w:sz w:val="24"/>
          <w:szCs w:val="24"/>
        </w:rPr>
        <w:t xml:space="preserve"> (</w:t>
      </w:r>
      <w:r w:rsidRPr="00994FC2">
        <w:rPr>
          <w:rFonts w:ascii="Times New Roman" w:eastAsia="Calibri" w:hAnsi="Times New Roman" w:cs="Times New Roman"/>
          <w:b/>
          <w:sz w:val="24"/>
          <w:szCs w:val="24"/>
        </w:rPr>
        <w:t>DT</w:t>
      </w:r>
      <w:r w:rsidRPr="00994FC2">
        <w:rPr>
          <w:rFonts w:ascii="Times New Roman" w:eastAsia="Calibri" w:hAnsi="Times New Roman" w:cs="Times New Roman"/>
          <w:bCs/>
          <w:sz w:val="24"/>
          <w:szCs w:val="24"/>
        </w:rPr>
        <w:t>) – waga kryterium 18%,</w:t>
      </w:r>
    </w:p>
    <w:p w:rsidR="00994FC2" w:rsidRPr="00994FC2" w:rsidRDefault="00994FC2" w:rsidP="00994FC2">
      <w:pPr>
        <w:numPr>
          <w:ilvl w:val="0"/>
          <w:numId w:val="29"/>
        </w:numPr>
        <w:spacing w:after="0" w:line="312" w:lineRule="auto"/>
        <w:ind w:left="720" w:hanging="294"/>
        <w:jc w:val="both"/>
        <w:rPr>
          <w:rFonts w:ascii="Times New Roman" w:eastAsia="Calibri" w:hAnsi="Times New Roman" w:cs="Times New Roman"/>
          <w:bCs/>
          <w:sz w:val="24"/>
          <w:szCs w:val="24"/>
        </w:rPr>
      </w:pPr>
      <w:r w:rsidRPr="00994FC2">
        <w:rPr>
          <w:rFonts w:ascii="Times New Roman" w:eastAsia="Calibri" w:hAnsi="Times New Roman" w:cs="Times New Roman"/>
          <w:bCs/>
          <w:sz w:val="24"/>
          <w:szCs w:val="24"/>
        </w:rPr>
        <w:t>wydłużenie okresu gwarancji na zaoferowany sprzęt informatyczny (w tym do informatyki śledczej) (</w:t>
      </w:r>
      <w:proofErr w:type="spellStart"/>
      <w:r w:rsidRPr="00994FC2">
        <w:rPr>
          <w:rFonts w:ascii="Times New Roman" w:eastAsia="Calibri" w:hAnsi="Times New Roman" w:cs="Times New Roman"/>
          <w:b/>
          <w:sz w:val="24"/>
          <w:szCs w:val="24"/>
        </w:rPr>
        <w:t>Og</w:t>
      </w:r>
      <w:proofErr w:type="spellEnd"/>
      <w:r w:rsidRPr="00994FC2">
        <w:rPr>
          <w:rFonts w:ascii="Times New Roman" w:eastAsia="Calibri" w:hAnsi="Times New Roman" w:cs="Times New Roman"/>
          <w:bCs/>
          <w:sz w:val="24"/>
          <w:szCs w:val="24"/>
        </w:rPr>
        <w:t>) – waga kryterium 20%,</w:t>
      </w:r>
    </w:p>
    <w:p w:rsidR="00994FC2" w:rsidRPr="00994FC2" w:rsidRDefault="00994FC2" w:rsidP="00994FC2">
      <w:pPr>
        <w:numPr>
          <w:ilvl w:val="0"/>
          <w:numId w:val="29"/>
        </w:numPr>
        <w:spacing w:after="0" w:line="312" w:lineRule="auto"/>
        <w:ind w:left="720" w:hanging="294"/>
        <w:jc w:val="both"/>
        <w:rPr>
          <w:rFonts w:ascii="Times New Roman" w:eastAsia="Calibri" w:hAnsi="Times New Roman" w:cs="Times New Roman"/>
          <w:bCs/>
          <w:sz w:val="24"/>
          <w:szCs w:val="24"/>
        </w:rPr>
      </w:pPr>
      <w:r w:rsidRPr="00994FC2">
        <w:rPr>
          <w:rFonts w:ascii="Times New Roman" w:eastAsia="Calibri" w:hAnsi="Times New Roman" w:cs="Times New Roman"/>
          <w:bCs/>
          <w:sz w:val="24"/>
          <w:szCs w:val="24"/>
        </w:rPr>
        <w:t>dodatkowy zewnętrzny dysk SSD (</w:t>
      </w:r>
      <w:r w:rsidRPr="00994FC2">
        <w:rPr>
          <w:rFonts w:ascii="Times New Roman" w:eastAsia="Calibri" w:hAnsi="Times New Roman" w:cs="Times New Roman"/>
          <w:b/>
          <w:sz w:val="24"/>
          <w:szCs w:val="24"/>
        </w:rPr>
        <w:t>SSD</w:t>
      </w:r>
      <w:r w:rsidRPr="00994FC2">
        <w:rPr>
          <w:rFonts w:ascii="Times New Roman" w:eastAsia="Calibri" w:hAnsi="Times New Roman" w:cs="Times New Roman"/>
          <w:bCs/>
          <w:sz w:val="24"/>
          <w:szCs w:val="24"/>
        </w:rPr>
        <w:t>) – waga kryterium 2%.</w:t>
      </w:r>
    </w:p>
    <w:p w:rsidR="00994FC2" w:rsidRPr="00994FC2" w:rsidRDefault="00994FC2" w:rsidP="00994FC2">
      <w:pPr>
        <w:tabs>
          <w:tab w:val="left" w:pos="709"/>
        </w:tabs>
        <w:spacing w:after="0" w:line="312" w:lineRule="auto"/>
        <w:ind w:left="720"/>
        <w:jc w:val="both"/>
        <w:rPr>
          <w:rFonts w:ascii="Times New Roman" w:eastAsia="Calibri" w:hAnsi="Times New Roman" w:cs="Times New Roman"/>
          <w:bCs/>
          <w:sz w:val="24"/>
          <w:szCs w:val="24"/>
        </w:rPr>
      </w:pPr>
    </w:p>
    <w:p w:rsidR="00994FC2" w:rsidRPr="00994FC2" w:rsidRDefault="00994FC2" w:rsidP="00994FC2">
      <w:pPr>
        <w:numPr>
          <w:ilvl w:val="0"/>
          <w:numId w:val="28"/>
        </w:numPr>
        <w:tabs>
          <w:tab w:val="left" w:pos="426"/>
        </w:tabs>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Zasady oceny ofert w poszczególnych kryteriach:</w:t>
      </w:r>
    </w:p>
    <w:p w:rsidR="00994FC2" w:rsidRPr="00994FC2" w:rsidRDefault="00994FC2" w:rsidP="00994FC2">
      <w:pPr>
        <w:numPr>
          <w:ilvl w:val="1"/>
          <w:numId w:val="13"/>
        </w:numPr>
        <w:tabs>
          <w:tab w:val="left" w:pos="425"/>
        </w:tabs>
        <w:spacing w:after="0" w:line="312" w:lineRule="auto"/>
        <w:ind w:left="709" w:hanging="283"/>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cena ofertowa brutto – 60 % (C),</w:t>
      </w:r>
      <w:r w:rsidRPr="00994FC2">
        <w:rPr>
          <w:rFonts w:ascii="Times New Roman" w:eastAsia="DengXian" w:hAnsi="Times New Roman" w:cs="Times New Roman"/>
          <w:bCs/>
          <w:sz w:val="24"/>
          <w:szCs w:val="24"/>
        </w:rPr>
        <w:t xml:space="preserve"> </w:t>
      </w:r>
      <w:r w:rsidRPr="00994FC2">
        <w:rPr>
          <w:rFonts w:ascii="Times New Roman" w:eastAsia="DengXian" w:hAnsi="Times New Roman" w:cs="Times New Roman"/>
          <w:sz w:val="24"/>
          <w:szCs w:val="24"/>
        </w:rPr>
        <w:t>oferta zwierająca najniższą cenę otrzyma 60 pkt, natomiast pozostałe oferty odpowiednio mniej punktów według wzoru:</w:t>
      </w:r>
    </w:p>
    <w:p w:rsidR="00994FC2" w:rsidRPr="00994FC2" w:rsidRDefault="00994FC2" w:rsidP="00994FC2">
      <w:pPr>
        <w:tabs>
          <w:tab w:val="left" w:pos="425"/>
        </w:tabs>
        <w:spacing w:after="0" w:line="312" w:lineRule="auto"/>
        <w:ind w:left="709"/>
        <w:contextualSpacing/>
        <w:jc w:val="center"/>
        <w:rPr>
          <w:rFonts w:ascii="Times New Roman" w:eastAsia="DengXian" w:hAnsi="Times New Roman" w:cs="Times New Roman"/>
          <w:sz w:val="24"/>
          <w:szCs w:val="24"/>
        </w:rPr>
      </w:pPr>
    </w:p>
    <w:p w:rsidR="00994FC2" w:rsidRPr="00994FC2" w:rsidRDefault="00994FC2" w:rsidP="00994FC2">
      <w:pPr>
        <w:tabs>
          <w:tab w:val="left" w:pos="425"/>
        </w:tabs>
        <w:spacing w:after="0" w:line="312" w:lineRule="auto"/>
        <w:ind w:left="709"/>
        <w:contextualSpacing/>
        <w:jc w:val="center"/>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 </w:t>
      </w: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x 60 pkt</w:t>
      </w:r>
    </w:p>
    <w:p w:rsidR="00994FC2" w:rsidRPr="00994FC2" w:rsidRDefault="00994FC2" w:rsidP="00994FC2">
      <w:pPr>
        <w:tabs>
          <w:tab w:val="left" w:pos="425"/>
        </w:tabs>
        <w:spacing w:after="0" w:line="312" w:lineRule="auto"/>
        <w:ind w:left="709"/>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i/>
          <w:iCs/>
          <w:sz w:val="24"/>
          <w:szCs w:val="24"/>
        </w:rPr>
        <w:t>gdzie</w:t>
      </w:r>
      <w:r w:rsidRPr="00994FC2">
        <w:rPr>
          <w:rFonts w:ascii="Times New Roman" w:eastAsia="DengXian" w:hAnsi="Times New Roman" w:cs="Times New Roman"/>
          <w:b/>
          <w:bCs/>
          <w:sz w:val="24"/>
          <w:szCs w:val="24"/>
        </w:rPr>
        <w:t>:</w:t>
      </w:r>
    </w:p>
    <w:p w:rsidR="00994FC2" w:rsidRPr="00994FC2" w:rsidRDefault="00994FC2" w:rsidP="00994FC2">
      <w:pPr>
        <w:tabs>
          <w:tab w:val="left" w:pos="425"/>
        </w:tabs>
        <w:spacing w:after="0" w:line="312" w:lineRule="auto"/>
        <w:ind w:left="709"/>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w:t>
      </w:r>
      <w:r w:rsidRPr="00994FC2">
        <w:rPr>
          <w:rFonts w:ascii="Times New Roman" w:eastAsia="DengXian" w:hAnsi="Times New Roman" w:cs="Times New Roman"/>
          <w:sz w:val="24"/>
          <w:szCs w:val="24"/>
        </w:rPr>
        <w:t>ilość punktów, jaką dana oferta otrzyma w kryterium cena oferty brutto;</w:t>
      </w:r>
    </w:p>
    <w:p w:rsidR="00994FC2" w:rsidRPr="00994FC2" w:rsidRDefault="00994FC2" w:rsidP="00994FC2">
      <w:pPr>
        <w:tabs>
          <w:tab w:val="left" w:pos="425"/>
        </w:tabs>
        <w:spacing w:after="0" w:line="312" w:lineRule="auto"/>
        <w:ind w:left="709"/>
        <w:contextualSpacing/>
        <w:jc w:val="both"/>
        <w:rPr>
          <w:rFonts w:ascii="Times New Roman" w:eastAsia="DengXian" w:hAnsi="Times New Roman" w:cs="Times New Roman"/>
          <w:b/>
          <w:bCs/>
          <w:sz w:val="24"/>
          <w:szCs w:val="24"/>
        </w:rPr>
      </w:pP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 oferty najtańszej (spośród ofert nieodrzuconych);</w:t>
      </w:r>
    </w:p>
    <w:p w:rsidR="00994FC2" w:rsidRPr="00994FC2" w:rsidRDefault="00994FC2" w:rsidP="00994FC2">
      <w:pPr>
        <w:tabs>
          <w:tab w:val="left" w:pos="425"/>
        </w:tabs>
        <w:spacing w:after="0" w:line="312" w:lineRule="auto"/>
        <w:ind w:left="709"/>
        <w:contextualSpacing/>
        <w:jc w:val="both"/>
        <w:rPr>
          <w:rFonts w:ascii="Times New Roman" w:eastAsia="DengXian" w:hAnsi="Times New Roman" w:cs="Times New Roman"/>
          <w:sz w:val="24"/>
          <w:szCs w:val="24"/>
        </w:rPr>
      </w:pP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 brutto ocenianej oferty.</w:t>
      </w:r>
    </w:p>
    <w:p w:rsidR="00994FC2" w:rsidRPr="00994FC2" w:rsidRDefault="00994FC2" w:rsidP="00994FC2">
      <w:pPr>
        <w:tabs>
          <w:tab w:val="left" w:pos="425"/>
        </w:tabs>
        <w:spacing w:after="0" w:line="312" w:lineRule="auto"/>
        <w:ind w:left="709"/>
        <w:contextualSpacing/>
        <w:jc w:val="both"/>
        <w:rPr>
          <w:rFonts w:ascii="Times New Roman" w:eastAsia="DengXian" w:hAnsi="Times New Roman" w:cs="Times New Roman"/>
          <w:b/>
          <w:bCs/>
          <w:sz w:val="24"/>
          <w:szCs w:val="24"/>
        </w:rPr>
      </w:pPr>
    </w:p>
    <w:p w:rsidR="00994FC2" w:rsidRPr="00994FC2" w:rsidRDefault="00994FC2" w:rsidP="00994FC2">
      <w:pPr>
        <w:spacing w:after="0" w:line="312" w:lineRule="auto"/>
        <w:ind w:left="709"/>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Podstawą przyznania punktów w kryterium „cena ofertowa brutto” będzie łączna cena oferty brutto podana przez Wykonawcę w Formularzu Ofertowym.</w:t>
      </w:r>
    </w:p>
    <w:p w:rsidR="00994FC2" w:rsidRPr="00994FC2" w:rsidRDefault="00994FC2" w:rsidP="00994FC2">
      <w:pPr>
        <w:spacing w:after="0" w:line="312" w:lineRule="auto"/>
        <w:ind w:left="709"/>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Cena oferty brutto musi uwzględniać wszelkie koszty, jakie Wykonawca poniesie w związku z realizacją przedmiotu zamówienia.</w:t>
      </w:r>
    </w:p>
    <w:p w:rsidR="00994FC2" w:rsidRPr="00994FC2" w:rsidRDefault="00994FC2" w:rsidP="00994FC2">
      <w:pPr>
        <w:spacing w:after="0" w:line="312" w:lineRule="auto"/>
        <w:ind w:left="709"/>
        <w:jc w:val="both"/>
        <w:rPr>
          <w:rFonts w:ascii="Times New Roman" w:eastAsia="Calibri" w:hAnsi="Times New Roman" w:cs="Times New Roman"/>
          <w:sz w:val="24"/>
          <w:szCs w:val="24"/>
        </w:rPr>
      </w:pPr>
    </w:p>
    <w:p w:rsidR="00994FC2" w:rsidRPr="00516832" w:rsidRDefault="00994FC2" w:rsidP="00994FC2">
      <w:pPr>
        <w:numPr>
          <w:ilvl w:val="1"/>
          <w:numId w:val="13"/>
        </w:numPr>
        <w:tabs>
          <w:tab w:val="left" w:pos="425"/>
          <w:tab w:val="left" w:pos="709"/>
        </w:tab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 xml:space="preserve">doświadczenie trenera skierowanego do realizacji szkolenia w zakresie przeprowadzania szkoleń z zakresu obsługi oprogramowania do </w:t>
      </w:r>
      <w:r w:rsidR="00516832">
        <w:rPr>
          <w:rFonts w:ascii="Times New Roman" w:eastAsia="DengXian" w:hAnsi="Times New Roman" w:cs="Times New Roman"/>
          <w:b/>
          <w:bCs/>
          <w:sz w:val="24"/>
          <w:szCs w:val="24"/>
        </w:rPr>
        <w:t>informatyki śledczej</w:t>
      </w:r>
      <w:r w:rsidRPr="00994FC2">
        <w:rPr>
          <w:rFonts w:ascii="Times New Roman" w:eastAsia="DengXian" w:hAnsi="Times New Roman" w:cs="Times New Roman"/>
          <w:b/>
          <w:bCs/>
          <w:sz w:val="24"/>
          <w:szCs w:val="24"/>
        </w:rPr>
        <w:t xml:space="preserve"> na rzecz organów ścigania</w:t>
      </w:r>
      <w:r w:rsidRPr="00994FC2">
        <w:rPr>
          <w:rFonts w:ascii="Times New Roman" w:eastAsia="DengXian" w:hAnsi="Times New Roman" w:cs="Times New Roman"/>
          <w:sz w:val="24"/>
          <w:szCs w:val="24"/>
        </w:rPr>
        <w:t xml:space="preserve">, dalej jako </w:t>
      </w:r>
      <w:r w:rsidRPr="00994FC2">
        <w:rPr>
          <w:rFonts w:ascii="Times New Roman" w:eastAsia="DengXian" w:hAnsi="Times New Roman" w:cs="Times New Roman"/>
          <w:i/>
          <w:iCs/>
          <w:sz w:val="24"/>
          <w:szCs w:val="24"/>
        </w:rPr>
        <w:t>doświadczenie trenera</w:t>
      </w:r>
      <w:r w:rsidRPr="00994FC2">
        <w:rPr>
          <w:rFonts w:ascii="Times New Roman" w:eastAsia="DengXian" w:hAnsi="Times New Roman" w:cs="Times New Roman"/>
          <w:b/>
          <w:bCs/>
          <w:sz w:val="24"/>
          <w:szCs w:val="24"/>
        </w:rPr>
        <w:t xml:space="preserve"> – 18% (DT),</w:t>
      </w:r>
      <w:r w:rsidRPr="00994FC2">
        <w:rPr>
          <w:rFonts w:ascii="Times New Roman" w:eastAsia="DengXian" w:hAnsi="Times New Roman" w:cs="Times New Roman"/>
          <w:sz w:val="24"/>
          <w:szCs w:val="24"/>
        </w:rPr>
        <w:t xml:space="preserve"> oferta może uzyskać maksymalnie 18 pkt.</w:t>
      </w:r>
      <w:r w:rsidRPr="00994FC2">
        <w:rPr>
          <w:rFonts w:ascii="Times New Roman" w:eastAsia="DengXian" w:hAnsi="Times New Roman" w:cs="Times New Roman"/>
          <w:b/>
          <w:bCs/>
          <w:sz w:val="24"/>
          <w:szCs w:val="24"/>
        </w:rPr>
        <w:t xml:space="preserve"> </w:t>
      </w:r>
    </w:p>
    <w:p w:rsidR="00516832" w:rsidRPr="00994FC2" w:rsidRDefault="00516832" w:rsidP="00516832">
      <w:pPr>
        <w:tabs>
          <w:tab w:val="left" w:pos="425"/>
          <w:tab w:val="left" w:pos="709"/>
        </w:tabs>
        <w:spacing w:after="0" w:line="312" w:lineRule="auto"/>
        <w:ind w:left="709"/>
        <w:contextualSpacing/>
        <w:jc w:val="both"/>
        <w:rPr>
          <w:rFonts w:ascii="Times New Roman" w:eastAsia="DengXian" w:hAnsi="Times New Roman" w:cs="Times New Roman"/>
          <w:sz w:val="24"/>
          <w:szCs w:val="24"/>
        </w:rPr>
      </w:pPr>
      <w:r w:rsidRPr="00516832">
        <w:rPr>
          <w:rFonts w:ascii="Times New Roman" w:eastAsia="DengXian" w:hAnsi="Times New Roman" w:cs="Times New Roman"/>
          <w:sz w:val="24"/>
          <w:szCs w:val="24"/>
        </w:rPr>
        <w:t xml:space="preserve">Trener musi posiadać certyfikat z zakresu prowadzenia szkoleń wydany przez producenta oprogramowania do akwizycji i analizy danych z urządzeń mobilnych oraz wykazać się doświadczeniem w prowadzeniu szkoleń z zakresu użytkowania oprogramowania do informatyki śledczej. Ocenie będzie podlegać doświadczenie wyłącznie jednego trenera, wskazanego w Załączniku nr 3 do SWZ – Wykazie. Wykonawca otrzyma punkty odpowiednio do liczby przeprowadzonych przez trenera szkoleń z zakresu obsługi oprogramowania do informatyki śledczej zrealizowanych na rzecz organów ścigania tj. prokuratury, Policji, Żandarmerii Wojskowej, Centralnego Biura Antykorupcyjnego, Agencji Bezpieczeństwa Wewnętrznego, Straży Granicznej, Służby </w:t>
      </w:r>
      <w:r w:rsidR="00696534">
        <w:rPr>
          <w:rFonts w:ascii="Times New Roman" w:eastAsia="DengXian" w:hAnsi="Times New Roman" w:cs="Times New Roman"/>
          <w:sz w:val="24"/>
          <w:szCs w:val="24"/>
        </w:rPr>
        <w:t>C</w:t>
      </w:r>
      <w:r w:rsidRPr="00516832">
        <w:rPr>
          <w:rFonts w:ascii="Times New Roman" w:eastAsia="DengXian" w:hAnsi="Times New Roman" w:cs="Times New Roman"/>
          <w:sz w:val="24"/>
          <w:szCs w:val="24"/>
        </w:rPr>
        <w:t>elno-Skarbowej, w okresie ostatnich 3 lat przed upływem terminu składania ofert w przedmiotowym postępowaniu.</w:t>
      </w:r>
    </w:p>
    <w:p w:rsidR="00994FC2" w:rsidRPr="00994FC2" w:rsidRDefault="00994FC2" w:rsidP="00994FC2">
      <w:pPr>
        <w:tabs>
          <w:tab w:val="left" w:pos="425"/>
          <w:tab w:val="left" w:pos="709"/>
        </w:tabs>
        <w:spacing w:after="0" w:line="312" w:lineRule="auto"/>
        <w:ind w:left="709"/>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Punkty w niniejszym kryterium zostaną przyznane zgodnie z poniższą punktacją:</w:t>
      </w:r>
    </w:p>
    <w:p w:rsidR="00994FC2" w:rsidRPr="00994FC2" w:rsidRDefault="00994FC2" w:rsidP="00994FC2">
      <w:pPr>
        <w:numPr>
          <w:ilvl w:val="0"/>
          <w:numId w:val="30"/>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1-5 szkoleń – </w:t>
      </w:r>
      <w:r w:rsidRPr="00994FC2">
        <w:rPr>
          <w:rFonts w:ascii="Times New Roman" w:eastAsia="DengXian" w:hAnsi="Times New Roman" w:cs="Times New Roman"/>
          <w:b/>
          <w:bCs/>
          <w:sz w:val="24"/>
          <w:szCs w:val="24"/>
        </w:rPr>
        <w:t>0 punktów</w:t>
      </w:r>
      <w:r w:rsidRPr="00994FC2">
        <w:rPr>
          <w:rFonts w:ascii="Times New Roman" w:eastAsia="DengXian" w:hAnsi="Times New Roman" w:cs="Times New Roman"/>
          <w:sz w:val="24"/>
          <w:szCs w:val="24"/>
        </w:rPr>
        <w:t>,</w:t>
      </w:r>
    </w:p>
    <w:p w:rsidR="00994FC2" w:rsidRPr="00994FC2" w:rsidRDefault="00994FC2" w:rsidP="00994FC2">
      <w:pPr>
        <w:numPr>
          <w:ilvl w:val="0"/>
          <w:numId w:val="30"/>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6-8 szkoleń – </w:t>
      </w:r>
      <w:r w:rsidRPr="00994FC2">
        <w:rPr>
          <w:rFonts w:ascii="Times New Roman" w:eastAsia="DengXian" w:hAnsi="Times New Roman" w:cs="Times New Roman"/>
          <w:b/>
          <w:bCs/>
          <w:sz w:val="24"/>
          <w:szCs w:val="24"/>
        </w:rPr>
        <w:t>9 punktów</w:t>
      </w:r>
      <w:r w:rsidRPr="00994FC2">
        <w:rPr>
          <w:rFonts w:ascii="Times New Roman" w:eastAsia="DengXian" w:hAnsi="Times New Roman" w:cs="Times New Roman"/>
          <w:sz w:val="24"/>
          <w:szCs w:val="24"/>
        </w:rPr>
        <w:t>,</w:t>
      </w:r>
    </w:p>
    <w:p w:rsidR="00994FC2" w:rsidRPr="00994FC2" w:rsidRDefault="00994FC2" w:rsidP="00994FC2">
      <w:pPr>
        <w:numPr>
          <w:ilvl w:val="0"/>
          <w:numId w:val="30"/>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9 i więcej szkoleń – </w:t>
      </w:r>
      <w:r w:rsidRPr="00994FC2">
        <w:rPr>
          <w:rFonts w:ascii="Times New Roman" w:eastAsia="DengXian" w:hAnsi="Times New Roman" w:cs="Times New Roman"/>
          <w:b/>
          <w:bCs/>
          <w:sz w:val="24"/>
          <w:szCs w:val="24"/>
        </w:rPr>
        <w:t>18 punktów</w:t>
      </w:r>
      <w:r w:rsidRPr="00994FC2">
        <w:rPr>
          <w:rFonts w:ascii="Times New Roman" w:eastAsia="DengXian" w:hAnsi="Times New Roman" w:cs="Times New Roman"/>
          <w:sz w:val="24"/>
          <w:szCs w:val="24"/>
        </w:rPr>
        <w:t>.</w:t>
      </w:r>
    </w:p>
    <w:p w:rsidR="00994FC2" w:rsidRPr="00994FC2" w:rsidRDefault="00994FC2" w:rsidP="00994FC2">
      <w:pPr>
        <w:tabs>
          <w:tab w:val="left" w:pos="425"/>
          <w:tab w:val="left" w:pos="709"/>
        </w:tabs>
        <w:spacing w:after="0" w:line="312" w:lineRule="auto"/>
        <w:ind w:left="709"/>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Ocena ofert w ramach niniejszego kryterium będzie dokonywana na podstawie informacji zawartych w Wykazie, którego wzór stanowi Załącznik nr 3 do SWZ. Wykonawca na potrzeby oceny ofert w tym kryterium zobowiązany jest ponadto złożyć do oferty </w:t>
      </w:r>
      <w:bookmarkStart w:id="11" w:name="_Hlk78875345"/>
      <w:r w:rsidRPr="00994FC2">
        <w:rPr>
          <w:rFonts w:ascii="Times New Roman" w:eastAsia="DengXian" w:hAnsi="Times New Roman" w:cs="Times New Roman"/>
          <w:sz w:val="24"/>
          <w:szCs w:val="24"/>
        </w:rPr>
        <w:t>dokumenty potwierdzające należyte wykonanie usługi szkoleniowej wskazanej w wykazie</w:t>
      </w:r>
      <w:bookmarkEnd w:id="11"/>
      <w:r w:rsidRPr="00994FC2">
        <w:rPr>
          <w:rFonts w:ascii="Times New Roman" w:eastAsia="DengXian" w:hAnsi="Times New Roman" w:cs="Times New Roman"/>
          <w:sz w:val="24"/>
          <w:szCs w:val="24"/>
        </w:rPr>
        <w:t xml:space="preserve"> np. referencje. Nie będą punktowane szkolenia niepoparte dokumentami potwierdzającymi należyte wykonanie usługi szkoleniowej.</w:t>
      </w:r>
    </w:p>
    <w:p w:rsidR="00994FC2" w:rsidRPr="00994FC2" w:rsidRDefault="00994FC2" w:rsidP="00994FC2">
      <w:pPr>
        <w:tabs>
          <w:tab w:val="left" w:pos="425"/>
          <w:tab w:val="left" w:pos="709"/>
        </w:tabs>
        <w:spacing w:after="0" w:line="312" w:lineRule="auto"/>
        <w:ind w:left="709"/>
        <w:contextualSpacing/>
        <w:jc w:val="both"/>
        <w:rPr>
          <w:rFonts w:ascii="Times New Roman" w:eastAsia="DengXian" w:hAnsi="Times New Roman" w:cs="Times New Roman"/>
          <w:sz w:val="24"/>
          <w:szCs w:val="24"/>
        </w:rPr>
      </w:pPr>
    </w:p>
    <w:p w:rsidR="00994FC2" w:rsidRPr="00994FC2" w:rsidRDefault="00994FC2" w:rsidP="00994FC2">
      <w:pPr>
        <w:numPr>
          <w:ilvl w:val="1"/>
          <w:numId w:val="13"/>
        </w:numPr>
        <w:tabs>
          <w:tab w:val="left" w:pos="425"/>
          <w:tab w:val="left" w:pos="709"/>
        </w:tabs>
        <w:spacing w:after="0" w:line="312" w:lineRule="auto"/>
        <w:ind w:left="709" w:hanging="283"/>
        <w:contextualSpacing/>
        <w:jc w:val="both"/>
        <w:rPr>
          <w:rFonts w:ascii="Times New Roman" w:eastAsia="DengXian" w:hAnsi="Times New Roman" w:cs="Times New Roman"/>
          <w:sz w:val="24"/>
          <w:szCs w:val="24"/>
        </w:rPr>
      </w:pPr>
      <w:bookmarkStart w:id="12" w:name="_Hlk79484208"/>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wydłużenie okresu gwarancji na zaoferowany sprzęt informatyczny (w tym do informatyki śledczej)</w:t>
      </w:r>
      <w:r w:rsidRPr="00994FC2">
        <w:rPr>
          <w:rFonts w:ascii="Times New Roman" w:eastAsia="DengXian" w:hAnsi="Times New Roman" w:cs="Times New Roman"/>
          <w:sz w:val="24"/>
          <w:szCs w:val="24"/>
        </w:rPr>
        <w:t xml:space="preserve">, dalej jako </w:t>
      </w:r>
      <w:r w:rsidRPr="00994FC2">
        <w:rPr>
          <w:rFonts w:ascii="Times New Roman" w:eastAsia="DengXian" w:hAnsi="Times New Roman" w:cs="Times New Roman"/>
          <w:i/>
          <w:iCs/>
          <w:sz w:val="24"/>
          <w:szCs w:val="24"/>
        </w:rPr>
        <w:t>wydłużenie okresu gwarancji</w:t>
      </w:r>
      <w:r w:rsidRPr="00994FC2">
        <w:rPr>
          <w:rFonts w:ascii="Times New Roman" w:eastAsia="DengXian" w:hAnsi="Times New Roman" w:cs="Times New Roman"/>
          <w:sz w:val="24"/>
          <w:szCs w:val="24"/>
        </w:rPr>
        <w:t xml:space="preserve"> – </w:t>
      </w:r>
      <w:r w:rsidRPr="00994FC2">
        <w:rPr>
          <w:rFonts w:ascii="Times New Roman" w:eastAsia="DengXian" w:hAnsi="Times New Roman" w:cs="Times New Roman"/>
          <w:b/>
          <w:bCs/>
          <w:sz w:val="24"/>
          <w:szCs w:val="24"/>
        </w:rPr>
        <w:t>20 % (</w:t>
      </w:r>
      <w:proofErr w:type="spellStart"/>
      <w:r w:rsidRPr="00994FC2">
        <w:rPr>
          <w:rFonts w:ascii="Times New Roman" w:eastAsia="DengXian" w:hAnsi="Times New Roman" w:cs="Times New Roman"/>
          <w:b/>
          <w:bCs/>
          <w:sz w:val="24"/>
          <w:szCs w:val="24"/>
        </w:rPr>
        <w:t>Og</w:t>
      </w:r>
      <w:proofErr w:type="spellEnd"/>
      <w:r w:rsidRPr="00994FC2">
        <w:rPr>
          <w:rFonts w:ascii="Times New Roman" w:eastAsia="DengXian" w:hAnsi="Times New Roman" w:cs="Times New Roman"/>
          <w:b/>
          <w:bCs/>
          <w:sz w:val="24"/>
          <w:szCs w:val="24"/>
        </w:rPr>
        <w:t>)</w:t>
      </w:r>
      <w:r w:rsidRPr="00994FC2">
        <w:rPr>
          <w:rFonts w:ascii="Times New Roman" w:eastAsia="DengXian" w:hAnsi="Times New Roman" w:cs="Times New Roman"/>
          <w:sz w:val="24"/>
          <w:szCs w:val="24"/>
        </w:rPr>
        <w:t xml:space="preserve">, oferta może uzyskać maksymalnie 20 pkt. </w:t>
      </w:r>
    </w:p>
    <w:p w:rsidR="00994FC2" w:rsidRPr="00994FC2" w:rsidRDefault="00994FC2" w:rsidP="00994FC2">
      <w:pPr>
        <w:tabs>
          <w:tab w:val="left" w:pos="425"/>
          <w:tab w:val="left" w:pos="709"/>
        </w:tabs>
        <w:spacing w:after="0" w:line="312" w:lineRule="auto"/>
        <w:ind w:left="502"/>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Punkty w niniejszym kryterium zostaną przyznane zgodnie z poniższym: </w:t>
      </w:r>
    </w:p>
    <w:bookmarkEnd w:id="12"/>
    <w:p w:rsidR="00994FC2" w:rsidRPr="00994FC2" w:rsidRDefault="00994FC2" w:rsidP="00994FC2">
      <w:pPr>
        <w:numPr>
          <w:ilvl w:val="0"/>
          <w:numId w:val="31"/>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okres gwarancji na zaoferowany sprzęt informatyczny (w tym do informatyki śledczej) – 12 miesięcy (</w:t>
      </w:r>
      <w:r w:rsidRPr="00994FC2">
        <w:rPr>
          <w:rFonts w:ascii="Times New Roman" w:eastAsia="DengXian" w:hAnsi="Times New Roman" w:cs="Times New Roman"/>
          <w:i/>
          <w:iCs/>
          <w:sz w:val="24"/>
          <w:szCs w:val="24"/>
        </w:rPr>
        <w:t>minimalny okres wymagany zgodnie z SWZ, który musi zaoferować Wykonawca</w:t>
      </w:r>
      <w:r w:rsidRPr="00994FC2">
        <w:rPr>
          <w:rFonts w:ascii="Times New Roman" w:eastAsia="DengXian" w:hAnsi="Times New Roman" w:cs="Times New Roman"/>
          <w:sz w:val="24"/>
          <w:szCs w:val="24"/>
        </w:rPr>
        <w:t xml:space="preserve">) do 23 miesięcy – </w:t>
      </w:r>
      <w:r w:rsidRPr="00994FC2">
        <w:rPr>
          <w:rFonts w:ascii="Times New Roman" w:eastAsia="DengXian" w:hAnsi="Times New Roman" w:cs="Times New Roman"/>
          <w:b/>
          <w:bCs/>
          <w:sz w:val="24"/>
          <w:szCs w:val="24"/>
        </w:rPr>
        <w:t>0 pkt</w:t>
      </w:r>
      <w:r w:rsidRPr="00994FC2">
        <w:rPr>
          <w:rFonts w:ascii="Times New Roman" w:eastAsia="DengXian" w:hAnsi="Times New Roman" w:cs="Times New Roman"/>
          <w:sz w:val="24"/>
          <w:szCs w:val="24"/>
        </w:rPr>
        <w:t>;</w:t>
      </w:r>
    </w:p>
    <w:p w:rsidR="00994FC2" w:rsidRPr="00994FC2" w:rsidRDefault="00994FC2" w:rsidP="00994FC2">
      <w:pPr>
        <w:numPr>
          <w:ilvl w:val="0"/>
          <w:numId w:val="31"/>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okres gwarancji na zaoferowany sprzęt informatyczny (w tym do informatyki śledczej) – 24 miesiące do 35 miesięcy – </w:t>
      </w:r>
      <w:r w:rsidRPr="00994FC2">
        <w:rPr>
          <w:rFonts w:ascii="Times New Roman" w:eastAsia="DengXian" w:hAnsi="Times New Roman" w:cs="Times New Roman"/>
          <w:b/>
          <w:bCs/>
          <w:sz w:val="24"/>
          <w:szCs w:val="24"/>
        </w:rPr>
        <w:t>5 pkt</w:t>
      </w:r>
      <w:r w:rsidRPr="00994FC2">
        <w:rPr>
          <w:rFonts w:ascii="Times New Roman" w:eastAsia="DengXian" w:hAnsi="Times New Roman" w:cs="Times New Roman"/>
          <w:sz w:val="24"/>
          <w:szCs w:val="24"/>
        </w:rPr>
        <w:t xml:space="preserve">, </w:t>
      </w:r>
    </w:p>
    <w:p w:rsidR="00994FC2" w:rsidRPr="00994FC2" w:rsidRDefault="00994FC2" w:rsidP="00994FC2">
      <w:pPr>
        <w:numPr>
          <w:ilvl w:val="0"/>
          <w:numId w:val="31"/>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okres gwarancji na zaoferowany sprzęt informatyczny (w tym do informatyki śledczej) – 36 miesięcy do 47 miesięcy –</w:t>
      </w:r>
      <w:r w:rsidRPr="00994FC2">
        <w:rPr>
          <w:rFonts w:ascii="Times New Roman" w:eastAsia="DengXian" w:hAnsi="Times New Roman" w:cs="Times New Roman"/>
          <w:b/>
          <w:bCs/>
          <w:sz w:val="24"/>
          <w:szCs w:val="24"/>
        </w:rPr>
        <w:t>10 pkt</w:t>
      </w:r>
      <w:r w:rsidRPr="00994FC2">
        <w:rPr>
          <w:rFonts w:ascii="Times New Roman" w:eastAsia="DengXian" w:hAnsi="Times New Roman" w:cs="Times New Roman"/>
          <w:sz w:val="24"/>
          <w:szCs w:val="24"/>
        </w:rPr>
        <w:t xml:space="preserve">, </w:t>
      </w:r>
    </w:p>
    <w:p w:rsidR="00994FC2" w:rsidRPr="00994FC2" w:rsidRDefault="00994FC2" w:rsidP="00994FC2">
      <w:pPr>
        <w:numPr>
          <w:ilvl w:val="0"/>
          <w:numId w:val="31"/>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okres gwarancji na zaoferowany sprzęt informatyczny (w tym do informatyki śledczej) – 48 miesięcy do 59 miesięcy –</w:t>
      </w:r>
      <w:r w:rsidRPr="00994FC2">
        <w:rPr>
          <w:rFonts w:ascii="Times New Roman" w:eastAsia="DengXian" w:hAnsi="Times New Roman" w:cs="Times New Roman"/>
          <w:b/>
          <w:bCs/>
          <w:sz w:val="24"/>
          <w:szCs w:val="24"/>
        </w:rPr>
        <w:t>15 pkt</w:t>
      </w:r>
      <w:r w:rsidRPr="00994FC2">
        <w:rPr>
          <w:rFonts w:ascii="Times New Roman" w:eastAsia="DengXian" w:hAnsi="Times New Roman" w:cs="Times New Roman"/>
          <w:sz w:val="24"/>
          <w:szCs w:val="24"/>
        </w:rPr>
        <w:t xml:space="preserve">, </w:t>
      </w:r>
    </w:p>
    <w:p w:rsidR="00994FC2" w:rsidRPr="00994FC2" w:rsidRDefault="00994FC2" w:rsidP="00994FC2">
      <w:pPr>
        <w:numPr>
          <w:ilvl w:val="0"/>
          <w:numId w:val="31"/>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okres gwarancji na zaoferowany sprzęt informatyczny (w tym do informatyki śledczej) – 60 miesięcy –</w:t>
      </w:r>
      <w:r w:rsidRPr="00994FC2">
        <w:rPr>
          <w:rFonts w:ascii="Times New Roman" w:eastAsia="DengXian" w:hAnsi="Times New Roman" w:cs="Times New Roman"/>
          <w:b/>
          <w:bCs/>
          <w:sz w:val="24"/>
          <w:szCs w:val="24"/>
        </w:rPr>
        <w:t>20 pkt.</w:t>
      </w:r>
    </w:p>
    <w:p w:rsidR="00994FC2" w:rsidRPr="00994FC2" w:rsidRDefault="00994FC2" w:rsidP="00994FC2">
      <w:pPr>
        <w:tabs>
          <w:tab w:val="left" w:pos="425"/>
          <w:tab w:val="left" w:pos="709"/>
        </w:tabs>
        <w:spacing w:after="0" w:line="312" w:lineRule="auto"/>
        <w:ind w:left="502"/>
        <w:contextualSpacing/>
        <w:jc w:val="both"/>
        <w:rPr>
          <w:rFonts w:ascii="Times New Roman" w:eastAsia="DengXian" w:hAnsi="Times New Roman" w:cs="Times New Roman"/>
          <w:sz w:val="24"/>
          <w:szCs w:val="24"/>
        </w:rPr>
      </w:pPr>
    </w:p>
    <w:p w:rsidR="00994FC2" w:rsidRPr="00994FC2" w:rsidRDefault="00994FC2" w:rsidP="00994FC2">
      <w:pPr>
        <w:tabs>
          <w:tab w:val="left" w:pos="425"/>
          <w:tab w:val="left" w:pos="709"/>
        </w:tabs>
        <w:spacing w:after="0" w:line="312" w:lineRule="auto"/>
        <w:ind w:left="502"/>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ocenie tego kryterium Zamawiający będzie brał pod uwagę „okres gwarancji na zaoferowany sprzęt informatyczny (w tym do informatyki śledczej)” na podstawie informacji podanych przez Wykonawcę w Formularzu Ofertowym.</w:t>
      </w:r>
    </w:p>
    <w:p w:rsidR="00994FC2" w:rsidRPr="00994FC2" w:rsidRDefault="00994FC2" w:rsidP="00994FC2">
      <w:pPr>
        <w:tabs>
          <w:tab w:val="left" w:pos="425"/>
          <w:tab w:val="left" w:pos="709"/>
        </w:tabs>
        <w:spacing w:after="0" w:line="312" w:lineRule="auto"/>
        <w:ind w:left="502"/>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Zaoferowany przez Wykonawcę okres gwarancji zostanie wpisany do Umowy.</w:t>
      </w:r>
    </w:p>
    <w:p w:rsidR="00994FC2" w:rsidRPr="00994FC2" w:rsidRDefault="00994FC2" w:rsidP="00994FC2">
      <w:pPr>
        <w:tabs>
          <w:tab w:val="left" w:pos="425"/>
          <w:tab w:val="left" w:pos="709"/>
        </w:tabs>
        <w:spacing w:after="0" w:line="312" w:lineRule="auto"/>
        <w:ind w:left="502"/>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przypadku, gdy Wykonawca nie wskaże okresu gwarancji przyjmuje się, że zaoferował on minimalny okres gwarancji wskazany przez Zamawiającego tj. 12 miesięcy – Wykonawca otrzyma 0 pkt.</w:t>
      </w:r>
    </w:p>
    <w:p w:rsidR="00994FC2" w:rsidRPr="00994FC2" w:rsidRDefault="00994FC2" w:rsidP="00994FC2">
      <w:pPr>
        <w:tabs>
          <w:tab w:val="left" w:pos="425"/>
          <w:tab w:val="left" w:pos="709"/>
        </w:tabs>
        <w:spacing w:after="0" w:line="312" w:lineRule="auto"/>
        <w:ind w:left="709"/>
        <w:contextualSpacing/>
        <w:jc w:val="both"/>
        <w:rPr>
          <w:rFonts w:ascii="Times New Roman" w:eastAsia="DengXian" w:hAnsi="Times New Roman" w:cs="Times New Roman"/>
          <w:sz w:val="24"/>
          <w:szCs w:val="24"/>
        </w:rPr>
      </w:pPr>
    </w:p>
    <w:p w:rsidR="00994FC2" w:rsidRPr="00994FC2" w:rsidRDefault="00994FC2" w:rsidP="00994FC2">
      <w:pPr>
        <w:numPr>
          <w:ilvl w:val="1"/>
          <w:numId w:val="13"/>
        </w:numPr>
        <w:tabs>
          <w:tab w:val="left" w:pos="425"/>
          <w:tab w:val="left" w:pos="709"/>
        </w:tab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dodatkowy zewnętrzny dysk SSD – 2% (SSD)</w:t>
      </w:r>
      <w:r w:rsidRPr="00994FC2">
        <w:rPr>
          <w:rFonts w:ascii="Times New Roman" w:eastAsia="DengXian" w:hAnsi="Times New Roman" w:cs="Times New Roman"/>
          <w:sz w:val="24"/>
          <w:szCs w:val="24"/>
        </w:rPr>
        <w:t>,</w:t>
      </w:r>
      <w:r w:rsidRPr="00994FC2">
        <w:rPr>
          <w:rFonts w:ascii="Times New Roman" w:eastAsia="DengXian" w:hAnsi="Times New Roman" w:cs="Times New Roman"/>
          <w:b/>
          <w:bCs/>
          <w:sz w:val="24"/>
          <w:szCs w:val="24"/>
        </w:rPr>
        <w:t xml:space="preserve"> </w:t>
      </w:r>
      <w:r w:rsidRPr="00994FC2">
        <w:rPr>
          <w:rFonts w:ascii="Times New Roman" w:eastAsia="DengXian" w:hAnsi="Times New Roman" w:cs="Times New Roman"/>
          <w:sz w:val="24"/>
          <w:szCs w:val="24"/>
        </w:rPr>
        <w:t xml:space="preserve">oferta może otrzymać maksymalnie 2 pkt. </w:t>
      </w:r>
    </w:p>
    <w:p w:rsidR="00994FC2" w:rsidRPr="00994FC2" w:rsidRDefault="00994FC2" w:rsidP="00994FC2">
      <w:pPr>
        <w:tabs>
          <w:tab w:val="left" w:pos="425"/>
          <w:tab w:val="left" w:pos="709"/>
        </w:tabs>
        <w:spacing w:after="0" w:line="312" w:lineRule="auto"/>
        <w:ind w:left="709"/>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Punkty w niniejszym kryterium zostaną przyznane zgodnie z poniższym:</w:t>
      </w:r>
    </w:p>
    <w:p w:rsidR="00994FC2" w:rsidRPr="00994FC2" w:rsidRDefault="00994FC2" w:rsidP="00994FC2">
      <w:pPr>
        <w:numPr>
          <w:ilvl w:val="0"/>
          <w:numId w:val="32"/>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niezaoferowanie przez Wykonawcę dodatkowego zewnętrznego dysku SSD o pojemności 2 TB z interfejsem USB przynajmniej 3.1 Gen 1 - </w:t>
      </w:r>
      <w:r w:rsidRPr="00994FC2">
        <w:rPr>
          <w:rFonts w:ascii="Times New Roman" w:eastAsia="DengXian" w:hAnsi="Times New Roman" w:cs="Times New Roman"/>
          <w:b/>
          <w:bCs/>
          <w:sz w:val="24"/>
          <w:szCs w:val="24"/>
        </w:rPr>
        <w:t>0 pkt;</w:t>
      </w:r>
    </w:p>
    <w:p w:rsidR="00994FC2" w:rsidRPr="00994FC2" w:rsidRDefault="00994FC2" w:rsidP="00994FC2">
      <w:pPr>
        <w:numPr>
          <w:ilvl w:val="0"/>
          <w:numId w:val="32"/>
        </w:numPr>
        <w:tabs>
          <w:tab w:val="left" w:pos="425"/>
          <w:tab w:val="left" w:pos="709"/>
        </w:tabs>
        <w:spacing w:after="0" w:line="312"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zaoferowanie przez Wykonawcę dodatkowego zewnętrznego dysku SSD o pojemności 2 TB z interfejsem USB przynajmniej 3.1 Gen 1 –</w:t>
      </w:r>
      <w:r w:rsidRPr="00994FC2">
        <w:rPr>
          <w:rFonts w:ascii="Times New Roman" w:eastAsia="DengXian" w:hAnsi="Times New Roman" w:cs="Times New Roman"/>
          <w:b/>
          <w:bCs/>
          <w:sz w:val="24"/>
          <w:szCs w:val="24"/>
        </w:rPr>
        <w:t xml:space="preserve"> 2 pkt.</w:t>
      </w:r>
    </w:p>
    <w:p w:rsidR="00994FC2" w:rsidRPr="00994FC2" w:rsidRDefault="00994FC2" w:rsidP="00994FC2">
      <w:pPr>
        <w:tabs>
          <w:tab w:val="left" w:pos="425"/>
          <w:tab w:val="left" w:pos="709"/>
        </w:tabs>
        <w:spacing w:after="0" w:line="312" w:lineRule="auto"/>
        <w:ind w:left="1429"/>
        <w:contextualSpacing/>
        <w:jc w:val="both"/>
        <w:rPr>
          <w:rFonts w:ascii="Times New Roman" w:eastAsia="DengXian" w:hAnsi="Times New Roman" w:cs="Times New Roman"/>
          <w:sz w:val="24"/>
          <w:szCs w:val="24"/>
        </w:rPr>
      </w:pPr>
    </w:p>
    <w:p w:rsidR="00994FC2" w:rsidRPr="00994FC2" w:rsidRDefault="00994FC2" w:rsidP="00994FC2">
      <w:pPr>
        <w:spacing w:after="160" w:line="312" w:lineRule="auto"/>
        <w:ind w:left="425"/>
        <w:jc w:val="both"/>
        <w:outlineLvl w:val="2"/>
        <w:rPr>
          <w:rFonts w:ascii="Times New Roman" w:eastAsia="Calibri" w:hAnsi="Times New Roman" w:cs="Times New Roman"/>
          <w:sz w:val="24"/>
          <w:szCs w:val="24"/>
        </w:rPr>
      </w:pPr>
      <w:r w:rsidRPr="00994FC2">
        <w:rPr>
          <w:rFonts w:ascii="Times New Roman" w:eastAsia="Calibri" w:hAnsi="Times New Roman" w:cs="Times New Roman"/>
          <w:sz w:val="24"/>
          <w:szCs w:val="24"/>
        </w:rPr>
        <w:t>Przy ocenie tego kryterium Zamawiający będzie brał pod uwagę „dodatkowy zewnętrzny dysk SSD” na podstawie zaznaczonego jednego z dwóch powyższych wariantów w wyznaczonym miejscu w Formularzu Ofertowym dotyczącym przedmiotowego kryterium. W przypadku, gdy Wykonawca nie wskaże kryterium SSD (nie zaznaczy lub zaznaczy dwa warianty), przyjmuje się, że nie zaoferował on dodatkowego zewnętrznego dysku SSD – Wykonawca otrzyma wówczas 0 pkt.</w:t>
      </w:r>
    </w:p>
    <w:p w:rsidR="00994FC2" w:rsidRPr="00994FC2" w:rsidRDefault="00994FC2" w:rsidP="00994FC2">
      <w:pPr>
        <w:numPr>
          <w:ilvl w:val="0"/>
          <w:numId w:val="28"/>
        </w:numPr>
        <w:tabs>
          <w:tab w:val="left" w:pos="425"/>
          <w:tab w:val="left" w:pos="709"/>
        </w:tabs>
        <w:spacing w:after="0" w:line="312" w:lineRule="auto"/>
        <w:ind w:left="426" w:hanging="426"/>
        <w:contextualSpacing/>
        <w:jc w:val="both"/>
        <w:rPr>
          <w:rFonts w:ascii="Times New Roman" w:eastAsia="Times New Roman" w:hAnsi="Times New Roman" w:cs="Times New Roman"/>
          <w:b/>
          <w:sz w:val="24"/>
          <w:szCs w:val="24"/>
        </w:rPr>
      </w:pPr>
      <w:r w:rsidRPr="00994FC2">
        <w:rPr>
          <w:rFonts w:ascii="Times New Roman" w:eastAsia="DengXian" w:hAnsi="Times New Roman" w:cs="Times New Roman"/>
          <w:sz w:val="24"/>
          <w:szCs w:val="24"/>
        </w:rPr>
        <w:t>Punktacja przyznawana ofertom w poszczególnych kryteriach oceny ofert będzie liczona z dokładnością do dwóch miejsc po przecinku, zgodnie z zasadami arytmetyki.</w:t>
      </w:r>
    </w:p>
    <w:p w:rsidR="00994FC2" w:rsidRPr="00994FC2" w:rsidRDefault="00994FC2" w:rsidP="00994FC2">
      <w:pPr>
        <w:numPr>
          <w:ilvl w:val="0"/>
          <w:numId w:val="28"/>
        </w:numPr>
        <w:tabs>
          <w:tab w:val="left" w:pos="425"/>
          <w:tab w:val="left" w:pos="709"/>
        </w:tabs>
        <w:spacing w:after="0" w:line="312" w:lineRule="auto"/>
        <w:ind w:left="426" w:hanging="426"/>
        <w:contextualSpacing/>
        <w:jc w:val="both"/>
        <w:rPr>
          <w:rFonts w:ascii="Times New Roman" w:eastAsia="Times New Roman" w:hAnsi="Times New Roman" w:cs="Times New Roman"/>
          <w:b/>
          <w:sz w:val="24"/>
          <w:szCs w:val="24"/>
        </w:rPr>
      </w:pPr>
      <w:r w:rsidRPr="00994FC2">
        <w:rPr>
          <w:rFonts w:ascii="Times New Roman" w:eastAsia="Times New Roman" w:hAnsi="Times New Roman" w:cs="Times New Roman"/>
          <w:sz w:val="24"/>
          <w:szCs w:val="24"/>
        </w:rPr>
        <w:lastRenderedPageBreak/>
        <w:t xml:space="preserve">Zamawiający udzieli zamówienia Wykonawcy, którego oferta odpowiada wszystkim wymaganiom przedstawionym w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oraz uzyska najwyższą łączną liczbę punktów w ramach kryteriów oceny ofert. Suma punktów przyznana w ramach kryteriów: cena oferty brutto (</w:t>
      </w: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doświadczenie trenera (</w:t>
      </w:r>
      <w:r w:rsidRPr="00994FC2">
        <w:rPr>
          <w:rFonts w:ascii="Times New Roman" w:eastAsia="Times New Roman" w:hAnsi="Times New Roman" w:cs="Times New Roman"/>
          <w:b/>
          <w:bCs/>
          <w:sz w:val="24"/>
          <w:szCs w:val="24"/>
        </w:rPr>
        <w:t>DT</w:t>
      </w:r>
      <w:r w:rsidRPr="00994FC2">
        <w:rPr>
          <w:rFonts w:ascii="Times New Roman" w:eastAsia="Times New Roman" w:hAnsi="Times New Roman" w:cs="Times New Roman"/>
          <w:sz w:val="24"/>
          <w:szCs w:val="24"/>
        </w:rPr>
        <w:t>), wydłużenie okresu gwarancji (</w:t>
      </w: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sz w:val="24"/>
          <w:szCs w:val="24"/>
        </w:rPr>
        <w:t>), dodatkowy dysk zewnętrzny SSD (</w:t>
      </w:r>
      <w:r w:rsidRPr="00994FC2">
        <w:rPr>
          <w:rFonts w:ascii="Times New Roman" w:eastAsia="Times New Roman" w:hAnsi="Times New Roman" w:cs="Times New Roman"/>
          <w:b/>
          <w:bCs/>
          <w:sz w:val="24"/>
          <w:szCs w:val="24"/>
        </w:rPr>
        <w:t>SSD</w:t>
      </w:r>
      <w:r w:rsidRPr="00994FC2">
        <w:rPr>
          <w:rFonts w:ascii="Times New Roman" w:eastAsia="Times New Roman" w:hAnsi="Times New Roman" w:cs="Times New Roman"/>
          <w:sz w:val="24"/>
          <w:szCs w:val="24"/>
        </w:rPr>
        <w:t>), zostanie obliczona według wzoru:</w:t>
      </w:r>
    </w:p>
    <w:p w:rsidR="00994FC2" w:rsidRPr="00994FC2" w:rsidRDefault="00994FC2" w:rsidP="00994FC2">
      <w:pPr>
        <w:tabs>
          <w:tab w:val="left" w:pos="425"/>
          <w:tab w:val="left" w:pos="709"/>
        </w:tabs>
        <w:spacing w:after="0" w:line="312" w:lineRule="auto"/>
        <w:ind w:left="426"/>
        <w:contextualSpacing/>
        <w:jc w:val="center"/>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 xml:space="preserve">P = C + DT+ </w:t>
      </w: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b/>
          <w:bCs/>
          <w:sz w:val="24"/>
          <w:szCs w:val="24"/>
        </w:rPr>
        <w:t xml:space="preserve"> + SSD </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b/>
          <w:bCs/>
          <w:i/>
          <w:iCs/>
          <w:sz w:val="24"/>
          <w:szCs w:val="24"/>
        </w:rPr>
      </w:pPr>
      <w:r w:rsidRPr="00994FC2">
        <w:rPr>
          <w:rFonts w:ascii="Times New Roman" w:eastAsia="Times New Roman" w:hAnsi="Times New Roman" w:cs="Times New Roman"/>
          <w:b/>
          <w:bCs/>
          <w:i/>
          <w:iCs/>
          <w:sz w:val="24"/>
          <w:szCs w:val="24"/>
        </w:rPr>
        <w:t>gdzie:</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P</w:t>
      </w:r>
      <w:r w:rsidRPr="00994FC2">
        <w:rPr>
          <w:rFonts w:ascii="Times New Roman" w:eastAsia="Times New Roman" w:hAnsi="Times New Roman" w:cs="Times New Roman"/>
          <w:sz w:val="24"/>
          <w:szCs w:val="24"/>
        </w:rPr>
        <w:t xml:space="preserve"> – łączna ilość punktów;</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 ilość punktów w kryterium cena oferty brutto;</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DT</w:t>
      </w:r>
      <w:r w:rsidRPr="00994FC2">
        <w:rPr>
          <w:rFonts w:ascii="Times New Roman" w:eastAsia="Times New Roman" w:hAnsi="Times New Roman" w:cs="Times New Roman"/>
          <w:sz w:val="24"/>
          <w:szCs w:val="24"/>
        </w:rPr>
        <w:t>– ilość punktów w kryterium doświadczenie trenera;</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sz w:val="24"/>
          <w:szCs w:val="24"/>
        </w:rPr>
        <w:t xml:space="preserve"> – ilość punktów w kryterium wydłużenie okresu gwarancji;</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 xml:space="preserve">SSD </w:t>
      </w:r>
      <w:r w:rsidRPr="00994FC2">
        <w:rPr>
          <w:rFonts w:ascii="Times New Roman" w:eastAsia="Times New Roman" w:hAnsi="Times New Roman" w:cs="Times New Roman"/>
          <w:sz w:val="24"/>
          <w:szCs w:val="24"/>
        </w:rPr>
        <w:t>– ilość punktów w kryterium dodatkowego dysku zewnętrznego SSD;</w:t>
      </w:r>
    </w:p>
    <w:p w:rsidR="00994FC2" w:rsidRPr="00994FC2" w:rsidRDefault="00994FC2" w:rsidP="00994FC2">
      <w:pPr>
        <w:tabs>
          <w:tab w:val="left" w:pos="425"/>
          <w:tab w:val="left" w:pos="709"/>
        </w:tabs>
        <w:spacing w:after="0" w:line="312" w:lineRule="auto"/>
        <w:ind w:left="426"/>
        <w:contextualSpacing/>
        <w:jc w:val="both"/>
        <w:rPr>
          <w:rFonts w:ascii="Times New Roman" w:eastAsia="Times New Roman" w:hAnsi="Times New Roman" w:cs="Times New Roman"/>
          <w:sz w:val="24"/>
          <w:szCs w:val="24"/>
        </w:rPr>
      </w:pPr>
    </w:p>
    <w:p w:rsidR="00994FC2" w:rsidRPr="00994FC2" w:rsidRDefault="00994FC2" w:rsidP="00994FC2">
      <w:pPr>
        <w:numPr>
          <w:ilvl w:val="0"/>
          <w:numId w:val="1"/>
        </w:numPr>
        <w:spacing w:after="0" w:line="312"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WYMAGANIA DOTYCZĄCE WADIUM</w:t>
      </w:r>
    </w:p>
    <w:p w:rsidR="00994FC2" w:rsidRPr="00994FC2" w:rsidRDefault="00994FC2" w:rsidP="00994FC2">
      <w:pPr>
        <w:numPr>
          <w:ilvl w:val="0"/>
          <w:numId w:val="3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Wykonawca zobowiązany jest do zabezpieczenia swojej oferty wadium w wysokości: </w:t>
      </w:r>
      <w:r w:rsidRPr="00994FC2">
        <w:rPr>
          <w:rFonts w:ascii="Times New Roman" w:eastAsia="DengXian" w:hAnsi="Times New Roman" w:cs="Times New Roman"/>
          <w:b/>
          <w:bCs/>
          <w:sz w:val="24"/>
          <w:szCs w:val="24"/>
        </w:rPr>
        <w:t xml:space="preserve">60.000,00 </w:t>
      </w:r>
      <w:r w:rsidRPr="00994FC2">
        <w:rPr>
          <w:rFonts w:ascii="Times New Roman" w:eastAsia="DengXian" w:hAnsi="Times New Roman" w:cs="Times New Roman"/>
          <w:b/>
          <w:sz w:val="24"/>
          <w:szCs w:val="24"/>
        </w:rPr>
        <w:t>zł</w:t>
      </w:r>
      <w:r w:rsidRPr="00994FC2">
        <w:rPr>
          <w:rFonts w:ascii="Times New Roman" w:eastAsia="DengXian" w:hAnsi="Times New Roman" w:cs="Times New Roman"/>
          <w:sz w:val="24"/>
          <w:szCs w:val="24"/>
        </w:rPr>
        <w:t xml:space="preserve"> (słownie: sześćdziesiąt tysięcy złotych 00/100). </w:t>
      </w:r>
    </w:p>
    <w:p w:rsidR="00994FC2" w:rsidRPr="00994FC2" w:rsidRDefault="00994FC2" w:rsidP="00994FC2">
      <w:pPr>
        <w:numPr>
          <w:ilvl w:val="0"/>
          <w:numId w:val="3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Wadium wnosi się przed upływem terminu składania ofert i utrzymuje nieprzerwanie do dnia upływu terminu związania ofertą. </w:t>
      </w:r>
    </w:p>
    <w:p w:rsidR="00994FC2" w:rsidRPr="00994FC2" w:rsidRDefault="00994FC2" w:rsidP="00994FC2">
      <w:pPr>
        <w:numPr>
          <w:ilvl w:val="0"/>
          <w:numId w:val="3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Wadium może być wnoszone według wyboru Wykonawcy w jednej lub kilku następujących formach:</w:t>
      </w:r>
    </w:p>
    <w:p w:rsidR="00994FC2" w:rsidRPr="00994FC2" w:rsidRDefault="00994FC2" w:rsidP="00994FC2">
      <w:pPr>
        <w:numPr>
          <w:ilvl w:val="1"/>
          <w:numId w:val="34"/>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pieniądzu,</w:t>
      </w:r>
    </w:p>
    <w:p w:rsidR="00994FC2" w:rsidRPr="00994FC2" w:rsidRDefault="00994FC2" w:rsidP="00994FC2">
      <w:pPr>
        <w:numPr>
          <w:ilvl w:val="1"/>
          <w:numId w:val="34"/>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gwarancjach bankowych,</w:t>
      </w:r>
    </w:p>
    <w:p w:rsidR="00994FC2" w:rsidRPr="00994FC2" w:rsidRDefault="00994FC2" w:rsidP="00994FC2">
      <w:pPr>
        <w:numPr>
          <w:ilvl w:val="1"/>
          <w:numId w:val="34"/>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gwarancjach ubezpieczeniowych,</w:t>
      </w:r>
    </w:p>
    <w:p w:rsidR="00994FC2" w:rsidRPr="00994FC2" w:rsidRDefault="00994FC2" w:rsidP="00994FC2">
      <w:pPr>
        <w:numPr>
          <w:ilvl w:val="1"/>
          <w:numId w:val="34"/>
        </w:numPr>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poręczeniach udzielanych przez podmioty, o których mowa w art. 6b ust. 5 pkt 2 ustawy z dnia 9 listopada 2000 r. o utworzeniu Polskiej Agencji Rozwoju Przedsiębiorczości (Dz. U. z 2020 r. poz. 299).</w:t>
      </w:r>
    </w:p>
    <w:p w:rsidR="00994FC2" w:rsidRPr="00994FC2" w:rsidRDefault="00994FC2" w:rsidP="00994FC2">
      <w:pPr>
        <w:numPr>
          <w:ilvl w:val="0"/>
          <w:numId w:val="33"/>
        </w:numPr>
        <w:tabs>
          <w:tab w:val="left" w:pos="426"/>
        </w:tabs>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Wadium w formie pieniądza należy wnieść przelewem na następujący rachunek bankowy Zamawiającego:</w:t>
      </w:r>
    </w:p>
    <w:p w:rsidR="00994FC2" w:rsidRPr="00994FC2" w:rsidRDefault="00994FC2" w:rsidP="00994FC2">
      <w:pPr>
        <w:autoSpaceDE w:val="0"/>
        <w:autoSpaceDN w:val="0"/>
        <w:adjustRightInd w:val="0"/>
        <w:spacing w:after="160" w:line="268" w:lineRule="auto"/>
        <w:jc w:val="center"/>
        <w:rPr>
          <w:rFonts w:ascii="Times New Roman" w:eastAsia="Calibri" w:hAnsi="Times New Roman" w:cs="Times New Roman"/>
          <w:b/>
          <w:bCs/>
          <w:sz w:val="24"/>
          <w:szCs w:val="24"/>
        </w:rPr>
      </w:pPr>
      <w:r w:rsidRPr="00994FC2">
        <w:rPr>
          <w:rFonts w:ascii="Times New Roman" w:eastAsia="Calibri" w:hAnsi="Times New Roman" w:cs="Times New Roman"/>
          <w:b/>
          <w:bCs/>
          <w:sz w:val="24"/>
          <w:szCs w:val="24"/>
        </w:rPr>
        <w:t>NBP Oddział Okr</w:t>
      </w:r>
      <w:r w:rsidRPr="00994FC2">
        <w:rPr>
          <w:rFonts w:ascii="Times New Roman" w:eastAsia="TimesNewRoman" w:hAnsi="Times New Roman" w:cs="Times New Roman"/>
          <w:b/>
          <w:sz w:val="24"/>
          <w:szCs w:val="24"/>
        </w:rPr>
        <w:t>ę</w:t>
      </w:r>
      <w:r w:rsidRPr="00994FC2">
        <w:rPr>
          <w:rFonts w:ascii="Times New Roman" w:eastAsia="Calibri" w:hAnsi="Times New Roman" w:cs="Times New Roman"/>
          <w:b/>
          <w:bCs/>
          <w:sz w:val="24"/>
          <w:szCs w:val="24"/>
        </w:rPr>
        <w:t>gowy w Białymstoku</w:t>
      </w:r>
    </w:p>
    <w:p w:rsidR="00994FC2" w:rsidRPr="00994FC2" w:rsidRDefault="00994FC2" w:rsidP="00994FC2">
      <w:pPr>
        <w:autoSpaceDE w:val="0"/>
        <w:autoSpaceDN w:val="0"/>
        <w:adjustRightInd w:val="0"/>
        <w:spacing w:after="160" w:line="268" w:lineRule="auto"/>
        <w:jc w:val="center"/>
        <w:rPr>
          <w:rFonts w:ascii="Times New Roman" w:eastAsia="Calibri" w:hAnsi="Times New Roman" w:cs="Times New Roman"/>
          <w:b/>
          <w:bCs/>
          <w:sz w:val="24"/>
          <w:szCs w:val="24"/>
        </w:rPr>
      </w:pPr>
      <w:r w:rsidRPr="00994FC2">
        <w:rPr>
          <w:rFonts w:ascii="Times New Roman" w:eastAsia="Calibri" w:hAnsi="Times New Roman" w:cs="Times New Roman"/>
          <w:b/>
          <w:bCs/>
          <w:sz w:val="24"/>
          <w:szCs w:val="24"/>
        </w:rPr>
        <w:t>Nr 25101010490008661391200000</w:t>
      </w:r>
    </w:p>
    <w:p w:rsidR="00994FC2" w:rsidRPr="00994FC2" w:rsidRDefault="00994FC2" w:rsidP="00994FC2">
      <w:pPr>
        <w:spacing w:after="0" w:line="312" w:lineRule="auto"/>
        <w:ind w:left="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 dopiskiem „Wadium - nr postępowania </w:t>
      </w:r>
      <w:r w:rsidR="001163C7">
        <w:rPr>
          <w:rFonts w:ascii="Times New Roman" w:eastAsia="DengXian" w:hAnsi="Times New Roman" w:cs="Times New Roman"/>
          <w:sz w:val="24"/>
          <w:szCs w:val="24"/>
        </w:rPr>
        <w:t>46</w:t>
      </w:r>
      <w:r w:rsidRPr="00994FC2">
        <w:rPr>
          <w:rFonts w:ascii="Times New Roman" w:eastAsia="DengXian" w:hAnsi="Times New Roman" w:cs="Times New Roman"/>
          <w:sz w:val="24"/>
          <w:szCs w:val="24"/>
        </w:rPr>
        <w:t>/L/21”.</w:t>
      </w:r>
    </w:p>
    <w:p w:rsidR="00994FC2" w:rsidRPr="00994FC2" w:rsidRDefault="00994FC2" w:rsidP="00994FC2">
      <w:pPr>
        <w:spacing w:after="0" w:line="312"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b/>
          <w:bCs/>
          <w:sz w:val="24"/>
          <w:szCs w:val="24"/>
        </w:rPr>
        <w:t>UWAGA:</w:t>
      </w:r>
      <w:r w:rsidRPr="00994FC2">
        <w:rPr>
          <w:rFonts w:ascii="Times New Roman" w:eastAsia="Calibri" w:hAnsi="Times New Roman" w:cs="Times New Roman"/>
          <w:sz w:val="24"/>
          <w:szCs w:val="24"/>
        </w:rPr>
        <w:t xml:space="preserve"> Za termin wniesienia wadium w formie pieniądza zostanie przyjęty termin uznania rachunku Zamawiającego.</w:t>
      </w:r>
    </w:p>
    <w:p w:rsidR="00994FC2" w:rsidRPr="00994FC2" w:rsidRDefault="00994FC2" w:rsidP="00994FC2">
      <w:pPr>
        <w:numPr>
          <w:ilvl w:val="0"/>
          <w:numId w:val="33"/>
        </w:numPr>
        <w:spacing w:after="0" w:line="312"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Wadium wnoszone w formie poręczeń lub gwarancji musi spełniać co najmniej poniższe wymagania:</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lastRenderedPageBreak/>
        <w:t xml:space="preserve">musi obejmować odpowiedzialność za wszystkie przypadki powodujące zatrzymanie wadium określone w </w:t>
      </w:r>
      <w:proofErr w:type="spellStart"/>
      <w:r w:rsidRPr="00994FC2">
        <w:rPr>
          <w:rFonts w:ascii="Times New Roman" w:eastAsia="DengXian" w:hAnsi="Times New Roman" w:cs="Times New Roman"/>
          <w:bCs/>
          <w:sz w:val="24"/>
          <w:szCs w:val="24"/>
        </w:rPr>
        <w:t>p.z.p</w:t>
      </w:r>
      <w:proofErr w:type="spellEnd"/>
      <w:r w:rsidRPr="00994FC2">
        <w:rPr>
          <w:rFonts w:ascii="Times New Roman" w:eastAsia="DengXian" w:hAnsi="Times New Roman" w:cs="Times New Roman"/>
          <w:bCs/>
          <w:sz w:val="24"/>
          <w:szCs w:val="24"/>
        </w:rPr>
        <w:t xml:space="preserve">., bez potwierdzania tych okoliczności, </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 treści dokumentu powinno jednoznacznej wynikać zobowiązanie gwaranta do zapłaty całej kwoty wadium,</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powinno być nieodwołalne i bezwarunkowe oraz płatne na pierwsze żądanie,</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bCs/>
          <w:sz w:val="24"/>
          <w:szCs w:val="24"/>
        </w:rPr>
        <w:t>t</w:t>
      </w:r>
      <w:r w:rsidRPr="00994FC2">
        <w:rPr>
          <w:rFonts w:ascii="Times New Roman" w:eastAsia="DengXian" w:hAnsi="Times New Roman" w:cs="Times New Roman"/>
          <w:sz w:val="24"/>
          <w:szCs w:val="24"/>
        </w:rPr>
        <w:t xml:space="preserve">ermin obowiązywania poręczenia lub gwarancji nie może być krótszy niż termin związania ofertą (z zastrzeżeniem, że pierwszym dniem terminu związania ofertą jest dzień składania ofert), </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w treści poręczenia lub gwarancji powinna znaleźć się nazwa oraz numer przedmiotowego postępowania, </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bCs/>
          <w:sz w:val="24"/>
          <w:szCs w:val="24"/>
        </w:rPr>
        <w:t xml:space="preserve">w </w:t>
      </w:r>
      <w:r w:rsidRPr="00994FC2">
        <w:rPr>
          <w:rFonts w:ascii="Times New Roman" w:eastAsia="DengXian" w:hAnsi="Times New Roman" w:cs="Times New Roman"/>
          <w:sz w:val="24"/>
          <w:szCs w:val="24"/>
        </w:rPr>
        <w:t xml:space="preserve">przypadku Wykonawców wspólnie ubiegających się o udzielenie zamówienia (art. 58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Zamawiający wymaga aby poręczenie lub gwarancja obejmowały swą treścią (jako zobowiązanych z tytułu poręczenia lub gwarancji) wszystkich Wykonawców wspólnie ubiegających się o udzielenie zamówienia lub z treści dokumentu wadium wynikało jednoznacznie, że zabezpiecza ofertę Wykonawców wspólnie ubiegających się o udzielenie zamówienia wraz z wskazaniem wszystkich tych Wykonawców, </w:t>
      </w:r>
    </w:p>
    <w:p w:rsidR="00994FC2" w:rsidRPr="00994FC2" w:rsidRDefault="00994FC2" w:rsidP="00994FC2">
      <w:pPr>
        <w:numPr>
          <w:ilvl w:val="1"/>
          <w:numId w:val="35"/>
        </w:numPr>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bCs/>
          <w:sz w:val="24"/>
          <w:szCs w:val="24"/>
        </w:rPr>
        <w:t>musi zostać złożone w oryginale – w postaci elektronicznej, opatrzone kwalifikowanym podpisem elektronicznym przez wystawcę poręczenia lub gwarancji.</w:t>
      </w:r>
    </w:p>
    <w:p w:rsidR="00994FC2" w:rsidRPr="00994FC2" w:rsidRDefault="00994FC2" w:rsidP="00994FC2">
      <w:pPr>
        <w:numPr>
          <w:ilvl w:val="0"/>
          <w:numId w:val="33"/>
        </w:numPr>
        <w:tabs>
          <w:tab w:val="left" w:pos="720"/>
        </w:tabs>
        <w:spacing w:after="0" w:line="312" w:lineRule="auto"/>
        <w:ind w:left="426" w:hanging="426"/>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 przypadku wniesienia wadium w formie:</w:t>
      </w:r>
    </w:p>
    <w:p w:rsidR="00994FC2" w:rsidRPr="00994FC2" w:rsidRDefault="00994FC2" w:rsidP="00994FC2">
      <w:pPr>
        <w:numPr>
          <w:ilvl w:val="0"/>
          <w:numId w:val="36"/>
        </w:numPr>
        <w:spacing w:after="0" w:line="312" w:lineRule="auto"/>
        <w:ind w:left="709" w:hanging="283"/>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pieniądza – zaleca się, by dowód dokonania przelewu został dołączony do oferty, </w:t>
      </w:r>
    </w:p>
    <w:p w:rsidR="00994FC2" w:rsidRPr="00994FC2" w:rsidRDefault="00994FC2" w:rsidP="00994FC2">
      <w:pPr>
        <w:numPr>
          <w:ilvl w:val="0"/>
          <w:numId w:val="36"/>
        </w:numPr>
        <w:tabs>
          <w:tab w:val="left" w:pos="10163"/>
        </w:tab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poręczeń lub gwarancji – wymaga się, by oryginał dokumentu został złożony wraz z ofertą.</w:t>
      </w:r>
    </w:p>
    <w:p w:rsidR="00994FC2" w:rsidRPr="00994FC2" w:rsidRDefault="00994FC2" w:rsidP="00994FC2">
      <w:pPr>
        <w:numPr>
          <w:ilvl w:val="0"/>
          <w:numId w:val="3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Oferta wykonawcy, który nie wniesie wadium </w:t>
      </w:r>
      <w:r w:rsidRPr="00994FC2">
        <w:rPr>
          <w:rFonts w:ascii="Times New Roman" w:eastAsia="DengXian" w:hAnsi="Times New Roman" w:cs="Times New Roman"/>
          <w:bCs/>
          <w:sz w:val="24"/>
          <w:szCs w:val="24"/>
        </w:rPr>
        <w:t>lub wniesie wadium w sposób nieprawidłowy</w:t>
      </w:r>
      <w:r w:rsidRPr="00994FC2">
        <w:rPr>
          <w:rFonts w:ascii="Times New Roman" w:eastAsia="DengXian" w:hAnsi="Times New Roman" w:cs="Times New Roman"/>
          <w:sz w:val="24"/>
          <w:szCs w:val="24"/>
        </w:rPr>
        <w:t xml:space="preserve"> lub nie utrzyma wadium nieprzerwanie do upływu terminu związania ofertą lub złoży wniosek o zwrot wadium w przypadku, o którym mowa w art. 98 ust. 2 pkt 3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zostanie odrzucona.</w:t>
      </w:r>
    </w:p>
    <w:p w:rsidR="00994FC2" w:rsidRPr="00994FC2" w:rsidRDefault="00994FC2" w:rsidP="00994FC2">
      <w:pPr>
        <w:numPr>
          <w:ilvl w:val="0"/>
          <w:numId w:val="33"/>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Zasady zwrotu oraz okoliczności zatrzymania wadium określa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spacing w:after="0" w:line="312" w:lineRule="auto"/>
        <w:jc w:val="both"/>
        <w:rPr>
          <w:rFonts w:ascii="Times New Roman" w:eastAsia="Calibri" w:hAnsi="Times New Roman" w:cs="Times New Roman"/>
          <w:b/>
          <w:sz w:val="24"/>
          <w:szCs w:val="24"/>
          <w:u w:val="single"/>
        </w:rPr>
      </w:pPr>
    </w:p>
    <w:p w:rsidR="00994FC2" w:rsidRPr="00994FC2" w:rsidRDefault="00994FC2" w:rsidP="00994FC2">
      <w:pPr>
        <w:numPr>
          <w:ilvl w:val="0"/>
          <w:numId w:val="1"/>
        </w:numPr>
        <w:spacing w:after="0" w:line="312"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PODWYKONAWSTWO</w:t>
      </w:r>
    </w:p>
    <w:p w:rsidR="00994FC2" w:rsidRPr="00994FC2" w:rsidRDefault="00994FC2" w:rsidP="00994FC2">
      <w:pPr>
        <w:numPr>
          <w:ilvl w:val="3"/>
          <w:numId w:val="37"/>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Wykonawca może powierzyć wykonanie części zamówienia podwykonawcy (podwykonawcom). </w:t>
      </w:r>
    </w:p>
    <w:p w:rsidR="00994FC2" w:rsidRPr="00994FC2" w:rsidRDefault="00994FC2" w:rsidP="00994FC2">
      <w:pPr>
        <w:numPr>
          <w:ilvl w:val="3"/>
          <w:numId w:val="37"/>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zastrzega obowiązku osobistego wykonania przez Wykonawcę jakiejkolwiek części zamówienia.</w:t>
      </w:r>
    </w:p>
    <w:p w:rsidR="00994FC2" w:rsidRPr="00994FC2" w:rsidRDefault="00994FC2" w:rsidP="00994FC2">
      <w:pPr>
        <w:numPr>
          <w:ilvl w:val="3"/>
          <w:numId w:val="37"/>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Powierzenie wykonania części zamówienia podwykonawcom nie zwalnia Wykonawcy z odpowiedzialności za należyte wykonanie zamówienia.</w:t>
      </w:r>
    </w:p>
    <w:p w:rsidR="00994FC2" w:rsidRPr="00994FC2" w:rsidRDefault="00994FC2" w:rsidP="00994FC2">
      <w:pPr>
        <w:spacing w:after="0" w:line="312" w:lineRule="auto"/>
        <w:jc w:val="both"/>
        <w:rPr>
          <w:rFonts w:ascii="Times New Roman" w:eastAsia="Calibri" w:hAnsi="Times New Roman" w:cs="Times New Roman"/>
          <w:b/>
          <w:sz w:val="24"/>
          <w:szCs w:val="24"/>
          <w:u w:val="single"/>
        </w:rPr>
      </w:pPr>
    </w:p>
    <w:p w:rsidR="00994FC2" w:rsidRPr="00994FC2" w:rsidRDefault="00994FC2" w:rsidP="00994FC2">
      <w:pPr>
        <w:numPr>
          <w:ilvl w:val="0"/>
          <w:numId w:val="1"/>
        </w:numPr>
        <w:spacing w:after="0" w:line="312" w:lineRule="auto"/>
        <w:ind w:left="426" w:hanging="568"/>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lastRenderedPageBreak/>
        <w:t>INFORMACJE O FORMALNOŚCIACH, JAKIE POWINNY BYĆ DOPEŁNIONE PO WYBORZE OFERTY W CELU ZAWARCIA UMOWY W SPRAWIE ZAMÓWIENIA PUBLICZNEGO</w:t>
      </w:r>
    </w:p>
    <w:p w:rsidR="00994FC2" w:rsidRPr="00994FC2" w:rsidRDefault="00994FC2" w:rsidP="00994FC2">
      <w:pPr>
        <w:numPr>
          <w:ilvl w:val="3"/>
          <w:numId w:val="3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zawiera umowę w sprawie zamówienia publicznego w terminie nie krótszym niż 10 dni od dnia przesłania zawiadomienia o wyborze najkorzystniejszej oferty. </w:t>
      </w:r>
    </w:p>
    <w:p w:rsidR="00994FC2" w:rsidRPr="00994FC2" w:rsidRDefault="00994FC2" w:rsidP="00994FC2">
      <w:pPr>
        <w:numPr>
          <w:ilvl w:val="3"/>
          <w:numId w:val="3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może zawrzeć umowę w sprawie zamówienia publicznego przed upływem terminu, o którym mowa w ust. 1 powyżej, jeżeli w postępowaniu złożono tylko jedną ofertę.</w:t>
      </w:r>
    </w:p>
    <w:p w:rsidR="00994FC2" w:rsidRPr="00994FC2" w:rsidRDefault="00994FC2" w:rsidP="00994FC2">
      <w:pPr>
        <w:numPr>
          <w:ilvl w:val="3"/>
          <w:numId w:val="3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przypadku wyboru oferty złożonej przez Wykonawców wspólnie ubiegających się o udzielenie zamówienia Zamawiający zażąda przed zawarciem umowy w sprawie zamówienia publicznego umowy regulującej współpracę tych Wykonawców.</w:t>
      </w:r>
    </w:p>
    <w:p w:rsidR="00994FC2" w:rsidRPr="00994FC2" w:rsidRDefault="00994FC2" w:rsidP="00994FC2">
      <w:pPr>
        <w:numPr>
          <w:ilvl w:val="3"/>
          <w:numId w:val="38"/>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994FC2" w:rsidRPr="00994FC2" w:rsidRDefault="00994FC2" w:rsidP="00994FC2">
      <w:pPr>
        <w:spacing w:after="0" w:line="312" w:lineRule="auto"/>
        <w:jc w:val="both"/>
        <w:rPr>
          <w:rFonts w:ascii="Times New Roman" w:eastAsia="Calibri" w:hAnsi="Times New Roman" w:cs="Times New Roman"/>
          <w:b/>
          <w:sz w:val="24"/>
          <w:szCs w:val="24"/>
          <w:u w:val="single"/>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INFORMACJE O TREŚCI ZAWIERANEJ UMOWY ORAZ MOŻLIWOŚCI JEJ ZMIANY</w:t>
      </w:r>
    </w:p>
    <w:p w:rsidR="00994FC2" w:rsidRPr="00994FC2" w:rsidRDefault="00994FC2" w:rsidP="00994FC2">
      <w:pPr>
        <w:numPr>
          <w:ilvl w:val="3"/>
          <w:numId w:val="39"/>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Wybrany Wykonawca jest zobowiązany do zawarcia umowy w sprawie zamówienia publicznego na warunkach określonych we Wzorze Umowy, stanowiącym </w:t>
      </w:r>
      <w:r w:rsidRPr="00994FC2">
        <w:rPr>
          <w:rFonts w:ascii="Times New Roman" w:eastAsia="DengXian" w:hAnsi="Times New Roman" w:cs="Times New Roman"/>
          <w:b/>
          <w:sz w:val="24"/>
          <w:szCs w:val="24"/>
        </w:rPr>
        <w:t>Załącznik nr 6 do SWZ</w:t>
      </w:r>
      <w:r w:rsidRPr="00994FC2">
        <w:rPr>
          <w:rFonts w:ascii="Times New Roman" w:eastAsia="DengXian" w:hAnsi="Times New Roman" w:cs="Times New Roman"/>
          <w:sz w:val="24"/>
          <w:szCs w:val="24"/>
        </w:rPr>
        <w:t>.</w:t>
      </w:r>
    </w:p>
    <w:p w:rsidR="00994FC2" w:rsidRPr="00994FC2" w:rsidRDefault="00994FC2" w:rsidP="00994FC2">
      <w:pPr>
        <w:numPr>
          <w:ilvl w:val="3"/>
          <w:numId w:val="39"/>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Zakres świadczenia Wykonawcy wynikający z umowy jest tożsamy z jego zobowiązaniem zawartym w ofercie.</w:t>
      </w:r>
    </w:p>
    <w:p w:rsidR="00994FC2" w:rsidRPr="00994FC2" w:rsidRDefault="00994FC2" w:rsidP="00994FC2">
      <w:pPr>
        <w:numPr>
          <w:ilvl w:val="3"/>
          <w:numId w:val="39"/>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przewiduje możliwość zmiany zawartej umowy w stosunku do treści wybranej oferty w zakresie uregulowanym w art. 454-455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oraz wskazanym we Wzorze Umowy – Załącznik nr 6 do SWZ (zgodnie z art. 455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3"/>
          <w:numId w:val="39"/>
        </w:numPr>
        <w:spacing w:after="0" w:line="312"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Zmiana umowy wymaga dla swej ważności zachowania formy pisemnej.</w:t>
      </w:r>
    </w:p>
    <w:p w:rsidR="00994FC2" w:rsidRPr="00994FC2" w:rsidRDefault="00994FC2" w:rsidP="00994FC2">
      <w:pPr>
        <w:spacing w:after="0" w:line="312" w:lineRule="auto"/>
        <w:jc w:val="both"/>
        <w:rPr>
          <w:rFonts w:ascii="Times New Roman" w:eastAsia="Calibri" w:hAnsi="Times New Roman" w:cs="Times New Roman"/>
          <w:b/>
          <w:sz w:val="24"/>
          <w:szCs w:val="24"/>
        </w:rPr>
      </w:pPr>
    </w:p>
    <w:p w:rsidR="00994FC2" w:rsidRPr="00994FC2" w:rsidRDefault="00994FC2" w:rsidP="00994FC2">
      <w:pPr>
        <w:numPr>
          <w:ilvl w:val="0"/>
          <w:numId w:val="1"/>
        </w:numPr>
        <w:spacing w:after="0" w:line="312"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POUCZENIE O ŚRODKACH OCHRONY PRAWNEJ PRZYSŁUGUJĄCYCH WYKONAWCY</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Środki ochrony prawnej określone w niniejszym rozdziale przysługują wykonawcy oraz innemu podmiotowi, jeżeli ma lub miał interes w uzyskaniu zamówienia oraz poniósł lub może ponieść szkodę w wyniku naruszenia przez zamawiającego przepisów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Środki ochrony prawnej wobec ogłoszenia wszczynającego postępowanie o udzielenie zamówienia oraz dokumentów zamówienia przysługują również organizacjom wpisanym </w:t>
      </w:r>
      <w:r w:rsidRPr="00994FC2">
        <w:rPr>
          <w:rFonts w:ascii="Times New Roman" w:eastAsia="DengXian" w:hAnsi="Times New Roman" w:cs="Times New Roman"/>
          <w:sz w:val="24"/>
          <w:szCs w:val="24"/>
        </w:rPr>
        <w:lastRenderedPageBreak/>
        <w:t xml:space="preserve">na listę, o której mowa w art. 469 pkt 15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oraz Rzecznikowi Małych i Średnich Przedsiębiorców.</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przysługuje na:</w:t>
      </w:r>
    </w:p>
    <w:p w:rsidR="00994FC2" w:rsidRPr="00994FC2" w:rsidRDefault="00994FC2" w:rsidP="00994FC2">
      <w:pPr>
        <w:numPr>
          <w:ilvl w:val="1"/>
          <w:numId w:val="1"/>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niezgodną z przepisami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czynność Zamawiającego, podjętą w postępowaniu o udzielenie zamówienia, w tym na projektowane postanowienie umowy;</w:t>
      </w:r>
    </w:p>
    <w:p w:rsidR="00994FC2" w:rsidRPr="00994FC2" w:rsidRDefault="00994FC2" w:rsidP="00994FC2">
      <w:pPr>
        <w:numPr>
          <w:ilvl w:val="1"/>
          <w:numId w:val="1"/>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zaniechanie czynności w postępowaniu o udzielenie zamówienia do której zamawiający był obowiązany na podstawie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wobec treści ogłoszenia lub treści dokumentów zamówienia wnosi się w terminie 10 dni od dnia publikacji ogłoszenia w Dzienniku Urzędowym Unii Europejskiej lub zamieszczenia dokumentów zamówienia na stronie internetowej.</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wnosi się w terminie:</w:t>
      </w:r>
    </w:p>
    <w:p w:rsidR="00994FC2" w:rsidRPr="00994FC2" w:rsidRDefault="00994FC2" w:rsidP="00994FC2">
      <w:pPr>
        <w:numPr>
          <w:ilvl w:val="3"/>
          <w:numId w:val="41"/>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10 dni od dnia przekazania informacji o czynności Zamawiającego stanowiącej podstawę jego wniesienia, jeżeli informacja została przekazana przy użyciu środków komunikacji elektronicznej,</w:t>
      </w:r>
    </w:p>
    <w:p w:rsidR="00994FC2" w:rsidRPr="00994FC2" w:rsidRDefault="00994FC2" w:rsidP="00994FC2">
      <w:pPr>
        <w:numPr>
          <w:ilvl w:val="3"/>
          <w:numId w:val="41"/>
        </w:numPr>
        <w:suppressAutoHyphens/>
        <w:spacing w:after="0" w:line="312"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15 dni od dnia przekazania informacji o czynności Zamawiającego stanowiącej podstawę jego wniesienia, jeżeli informacja została przekazana w sposób inny niż określony w pkt 1.</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Termin wniesienia odwołania w pozostałych przypadkach określa art. 515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Na orzeczenie Krajowej Izby Odwoławczej oraz postanowienie Prezesa Krajowej Izby Odwoławczej, o którym mowa w art. 519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stronom oraz uczestnikom postępowania odwoławczego przysługuje skarga do sądu.</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postępowaniu toczącym się wskutek wniesienia skargi stosuje się odpowiednio przepisy ustawy z dnia 17 listopada 1964 r. – Kodeks postępowania cywilnego (Dz. U. z 2020 poz. 1575 ze zm.) o apelacji, jeżeli przepisy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nie stanowią inaczej.</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Skargę wnosi się do Sądu Okręgowego w Warszawie – sądu zamówień publicznych.</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przesyłając jednocześnie jej odpis przeciwnikowi skargi. Złożenie skargi w placówce pocztowej operatora wyznaczonego w rozumieniu ustawy z dnia 23.11.2012 r. – Prawo pocztowe jest równoznaczne z jej wniesieniem.</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Prezes Krajowej Izby Odwoławczej przekazuje skargę wraz z aktami postępowania odwoławczego do sądu zamówień publicznych w terminie 7 dni od dnia jej otrzymania.</w:t>
      </w:r>
    </w:p>
    <w:p w:rsidR="00994FC2" w:rsidRPr="00994FC2" w:rsidRDefault="00994FC2" w:rsidP="00994FC2">
      <w:pPr>
        <w:numPr>
          <w:ilvl w:val="3"/>
          <w:numId w:val="40"/>
        </w:numPr>
        <w:spacing w:after="0" w:line="312"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Szczegółowe regulacje dotyczące środków ochrony prawnej określone są w Dziale IX „Środki ochrony prawnej”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994FC2">
      <w:pPr>
        <w:spacing w:after="0" w:line="312" w:lineRule="auto"/>
        <w:ind w:left="426" w:hanging="426"/>
        <w:jc w:val="both"/>
        <w:rPr>
          <w:rFonts w:ascii="Times New Roman" w:eastAsia="Calibri" w:hAnsi="Times New Roman" w:cs="Times New Roman"/>
          <w:b/>
          <w:sz w:val="24"/>
          <w:szCs w:val="24"/>
          <w:u w:val="single"/>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OCHRONA DANYCH OSOBOWYCH</w:t>
      </w:r>
    </w:p>
    <w:p w:rsidR="00994FC2" w:rsidRPr="00994FC2" w:rsidRDefault="00994FC2" w:rsidP="00994FC2">
      <w:pPr>
        <w:spacing w:after="0" w:line="312"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994FC2" w:rsidRPr="00994FC2" w:rsidRDefault="00994FC2" w:rsidP="00994FC2">
      <w:pPr>
        <w:numPr>
          <w:ilvl w:val="0"/>
          <w:numId w:val="42"/>
        </w:numPr>
        <w:spacing w:after="0" w:line="312"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administratorem Pani/Pana danych osobowych jest </w:t>
      </w:r>
      <w:r w:rsidRPr="00994FC2">
        <w:rPr>
          <w:rFonts w:ascii="Times New Roman" w:eastAsia="SimSun" w:hAnsi="Times New Roman" w:cs="Times New Roman"/>
          <w:sz w:val="24"/>
          <w:szCs w:val="24"/>
        </w:rPr>
        <w:t>Komendant Wojewódzki Policji w Białymstoku z siedzibą przy ul. Sienkiewicza 65, 15-003 Białystok;</w:t>
      </w:r>
    </w:p>
    <w:p w:rsidR="00994FC2" w:rsidRPr="00994FC2" w:rsidRDefault="00994FC2" w:rsidP="00994FC2">
      <w:pPr>
        <w:numPr>
          <w:ilvl w:val="0"/>
          <w:numId w:val="42"/>
        </w:numPr>
        <w:spacing w:after="0" w:line="312" w:lineRule="auto"/>
        <w:ind w:left="426" w:hanging="426"/>
        <w:contextualSpacing/>
        <w:jc w:val="both"/>
        <w:rPr>
          <w:rFonts w:ascii="Times New Roman" w:eastAsia="Times New Roman" w:hAnsi="Times New Roman" w:cs="Times New Roman"/>
          <w:color w:val="00B0F0"/>
          <w:sz w:val="24"/>
          <w:szCs w:val="24"/>
        </w:rPr>
      </w:pPr>
      <w:r w:rsidRPr="00994FC2">
        <w:rPr>
          <w:rFonts w:ascii="Times New Roman" w:eastAsia="SimSun" w:hAnsi="Times New Roman" w:cs="Times New Roman"/>
          <w:sz w:val="24"/>
          <w:szCs w:val="24"/>
        </w:rPr>
        <w:t xml:space="preserve">administrator danych wyznaczył inspektora ochrony danych (IOD) w Komendzie Wojewódzkiej Policji w Białymstoku – Katarzynę Chorąży, z którym można się skontaktować telefonicznie: </w:t>
      </w:r>
      <w:r w:rsidR="00696534">
        <w:rPr>
          <w:rFonts w:ascii="Times New Roman" w:eastAsia="SimSun" w:hAnsi="Times New Roman" w:cs="Times New Roman"/>
          <w:sz w:val="24"/>
          <w:szCs w:val="24"/>
        </w:rPr>
        <w:t>47 711-</w:t>
      </w:r>
      <w:r w:rsidRPr="00994FC2">
        <w:rPr>
          <w:rFonts w:ascii="Times New Roman" w:eastAsia="SimSun" w:hAnsi="Times New Roman" w:cs="Times New Roman"/>
          <w:sz w:val="24"/>
          <w:szCs w:val="24"/>
        </w:rPr>
        <w:t>31</w:t>
      </w:r>
      <w:r w:rsidR="00696534">
        <w:rPr>
          <w:rFonts w:ascii="Times New Roman" w:eastAsia="SimSun" w:hAnsi="Times New Roman" w:cs="Times New Roman"/>
          <w:sz w:val="24"/>
          <w:szCs w:val="24"/>
        </w:rPr>
        <w:t>-</w:t>
      </w:r>
      <w:r w:rsidRPr="00994FC2">
        <w:rPr>
          <w:rFonts w:ascii="Times New Roman" w:eastAsia="SimSun" w:hAnsi="Times New Roman" w:cs="Times New Roman"/>
          <w:sz w:val="24"/>
          <w:szCs w:val="24"/>
        </w:rPr>
        <w:t xml:space="preserve">92, bądź za pośrednictwem e-mail: </w:t>
      </w:r>
      <w:hyperlink r:id="rId19" w:history="1">
        <w:r w:rsidRPr="00994FC2">
          <w:rPr>
            <w:rFonts w:ascii="Times New Roman" w:eastAsia="SimSun" w:hAnsi="Times New Roman" w:cs="Times New Roman"/>
            <w:color w:val="0000FF"/>
            <w:sz w:val="24"/>
            <w:szCs w:val="24"/>
            <w:u w:val="single"/>
          </w:rPr>
          <w:t>iod.kwp@bk.policja.gov.pl</w:t>
        </w:r>
      </w:hyperlink>
      <w:r w:rsidRPr="00994FC2">
        <w:rPr>
          <w:rFonts w:ascii="Times New Roman" w:eastAsia="SimSun" w:hAnsi="Times New Roman" w:cs="Times New Roman"/>
          <w:color w:val="0000FF"/>
          <w:sz w:val="24"/>
          <w:szCs w:val="24"/>
          <w:u w:val="single"/>
        </w:rPr>
        <w:t xml:space="preserve">, </w:t>
      </w:r>
    </w:p>
    <w:p w:rsidR="00994FC2" w:rsidRPr="00994FC2" w:rsidRDefault="00994FC2" w:rsidP="00994FC2">
      <w:pPr>
        <w:numPr>
          <w:ilvl w:val="0"/>
          <w:numId w:val="42"/>
        </w:numPr>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Pani/Pana dane osobowe przetwarzane będą na podstawie art. 6 ust. 1 lit. c, b, f RODO w celu </w:t>
      </w:r>
      <w:r w:rsidRPr="00994FC2">
        <w:rPr>
          <w:rFonts w:ascii="Times New Roman" w:eastAsia="DengXian" w:hAnsi="Times New Roman" w:cs="Times New Roman"/>
          <w:sz w:val="24"/>
          <w:szCs w:val="24"/>
        </w:rPr>
        <w:t xml:space="preserve">związanym </w:t>
      </w:r>
      <w:r w:rsidRPr="00994FC2">
        <w:rPr>
          <w:rFonts w:ascii="Times New Roman" w:eastAsia="DengXian" w:hAnsi="Times New Roman" w:cs="Times New Roman"/>
          <w:b/>
          <w:sz w:val="24"/>
          <w:szCs w:val="24"/>
        </w:rPr>
        <w:t xml:space="preserve">z prowadzeniem niniejszego postępowania o udzielenie zamówienia publicznego, </w:t>
      </w:r>
      <w:r w:rsidRPr="00994FC2">
        <w:rPr>
          <w:rFonts w:ascii="Times New Roman" w:eastAsia="DengXian" w:hAnsi="Times New Roman" w:cs="Times New Roman"/>
          <w:sz w:val="24"/>
          <w:szCs w:val="24"/>
        </w:rPr>
        <w:t>w celu prowadzenia analiz związanych z prowadzonym postępowaniem, w celu realizacji zawartej w wyniku postępowania umowy, w celu archiwizacji;</w:t>
      </w:r>
    </w:p>
    <w:p w:rsidR="00994FC2" w:rsidRPr="00994FC2" w:rsidRDefault="00994FC2" w:rsidP="00994FC2">
      <w:pPr>
        <w:numPr>
          <w:ilvl w:val="0"/>
          <w:numId w:val="42"/>
        </w:numPr>
        <w:spacing w:after="0" w:line="312"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podstawę prawną przetwarzania danych osobowych stanowi:</w:t>
      </w:r>
    </w:p>
    <w:p w:rsidR="00994FC2" w:rsidRPr="00994FC2" w:rsidRDefault="00994FC2" w:rsidP="00994FC2">
      <w:pPr>
        <w:numPr>
          <w:ilvl w:val="0"/>
          <w:numId w:val="43"/>
        </w:numPr>
        <w:spacing w:after="0" w:line="312" w:lineRule="auto"/>
        <w:ind w:left="709" w:hanging="283"/>
        <w:jc w:val="both"/>
        <w:rPr>
          <w:rFonts w:ascii="Times New Roman" w:eastAsia="Times New Roman" w:hAnsi="Times New Roman" w:cs="Times New Roman"/>
          <w:sz w:val="24"/>
          <w:szCs w:val="24"/>
          <w:lang w:eastAsia="pl-PL"/>
        </w:rPr>
      </w:pPr>
      <w:proofErr w:type="spellStart"/>
      <w:r w:rsidRPr="00994FC2">
        <w:rPr>
          <w:rFonts w:ascii="Times New Roman" w:eastAsia="Times New Roman" w:hAnsi="Times New Roman" w:cs="Times New Roman"/>
          <w:sz w:val="24"/>
          <w:szCs w:val="24"/>
          <w:lang w:eastAsia="pl-PL"/>
        </w:rPr>
        <w:t>p.z.p</w:t>
      </w:r>
      <w:proofErr w:type="spellEnd"/>
      <w:r w:rsidRPr="00994FC2">
        <w:rPr>
          <w:rFonts w:ascii="Times New Roman" w:eastAsia="Times New Roman" w:hAnsi="Times New Roman" w:cs="Times New Roman"/>
          <w:sz w:val="24"/>
          <w:szCs w:val="24"/>
          <w:lang w:eastAsia="pl-PL"/>
        </w:rPr>
        <w:t>., wydane na jej podstawie akty wykonawcze, ustawa o rachunkowości, ustawa o finansach publicznych oraz ustawa o narodowym zasobie archiwalnym i archiwach (art. 6 ust. 1 lit c oraz e RODO),</w:t>
      </w:r>
    </w:p>
    <w:p w:rsidR="00994FC2" w:rsidRPr="00994FC2" w:rsidRDefault="00994FC2" w:rsidP="00994FC2">
      <w:pPr>
        <w:numPr>
          <w:ilvl w:val="0"/>
          <w:numId w:val="43"/>
        </w:numPr>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zamiar zawarcia i realizacji umowy z Wykonawcą będącym osobą fizyczną (art. 6 ust. 1 lit b RODO),</w:t>
      </w:r>
    </w:p>
    <w:p w:rsidR="00994FC2" w:rsidRPr="00994FC2" w:rsidRDefault="00994FC2" w:rsidP="00994FC2">
      <w:pPr>
        <w:numPr>
          <w:ilvl w:val="0"/>
          <w:numId w:val="43"/>
        </w:numPr>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jak również zrealizowanych projektów (art. 6 ust. 1 lit f RODO); </w:t>
      </w:r>
    </w:p>
    <w:p w:rsidR="00994FC2" w:rsidRPr="00994FC2" w:rsidRDefault="00994FC2" w:rsidP="00994FC2">
      <w:pPr>
        <w:numPr>
          <w:ilvl w:val="0"/>
          <w:numId w:val="42"/>
        </w:numPr>
        <w:spacing w:after="0" w:line="312" w:lineRule="auto"/>
        <w:ind w:left="426" w:hanging="426"/>
        <w:contextualSpacing/>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rPr>
        <w:t>Zamawiający przetwarza następujące rodzaje danych osobowych:</w:t>
      </w:r>
    </w:p>
    <w:p w:rsidR="00994FC2" w:rsidRPr="00994FC2" w:rsidRDefault="00994FC2" w:rsidP="00994FC2">
      <w:pPr>
        <w:numPr>
          <w:ilvl w:val="0"/>
          <w:numId w:val="44"/>
        </w:numPr>
        <w:tabs>
          <w:tab w:val="left" w:pos="425"/>
          <w:tab w:val="left" w:pos="880"/>
        </w:tabs>
        <w:spacing w:after="0" w:line="312"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wykonawcy (będącego osobą fizyczną), którego oferta nie została wybrana – dane podane przez wykonawcę w ofercie, załącznikach do oferty oraz innych dokumentach składanych w postępowaniu o udzielenie zamówienia,</w:t>
      </w:r>
    </w:p>
    <w:p w:rsidR="00994FC2" w:rsidRPr="00994FC2" w:rsidRDefault="00994FC2" w:rsidP="00994FC2">
      <w:pPr>
        <w:numPr>
          <w:ilvl w:val="0"/>
          <w:numId w:val="44"/>
        </w:numPr>
        <w:tabs>
          <w:tab w:val="left" w:pos="425"/>
        </w:tabs>
        <w:spacing w:after="0" w:line="312"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lastRenderedPageBreak/>
        <w:t>dane osobowe wykonawcy (będącego osobą fizyczną), którego oferta została wybrana i z którym zawarto umowę – dane podane przez wykonawcę w ofercie i załącznikach do oferty oraz dane podane przy zawieraniu i w trakcie realizacji umowy,</w:t>
      </w:r>
    </w:p>
    <w:p w:rsidR="00994FC2" w:rsidRPr="00994FC2" w:rsidRDefault="00994FC2" w:rsidP="00994FC2">
      <w:pPr>
        <w:numPr>
          <w:ilvl w:val="0"/>
          <w:numId w:val="44"/>
        </w:numPr>
        <w:tabs>
          <w:tab w:val="left" w:pos="425"/>
        </w:tabs>
        <w:spacing w:after="0" w:line="312"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pracowników wykonawców, których oferta nie została wybrana oraz podwykonawców lub podmiotów udostępniających zasoby i ich pracowników – dane</w:t>
      </w:r>
      <w:r w:rsidRPr="00994FC2">
        <w:rPr>
          <w:rFonts w:ascii="Times New Roman" w:eastAsia="Calibri" w:hAnsi="Times New Roman" w:cs="Times New Roman"/>
          <w:color w:val="000000"/>
          <w:sz w:val="24"/>
          <w:szCs w:val="24"/>
        </w:rPr>
        <w:t xml:space="preserve"> </w:t>
      </w:r>
      <w:r w:rsidRPr="00994FC2">
        <w:rPr>
          <w:rFonts w:ascii="Times New Roman" w:eastAsia="Times New Roman" w:hAnsi="Times New Roman" w:cs="Times New Roman"/>
          <w:color w:val="000000"/>
          <w:sz w:val="24"/>
          <w:szCs w:val="24"/>
          <w:lang w:eastAsia="pl-PL"/>
        </w:rPr>
        <w:t>podane w ofercie i innych dokumentach składanych w postępowaniu o udzielenie zamówienia,</w:t>
      </w:r>
    </w:p>
    <w:p w:rsidR="00994FC2" w:rsidRPr="00994FC2" w:rsidRDefault="00994FC2" w:rsidP="00994FC2">
      <w:pPr>
        <w:numPr>
          <w:ilvl w:val="0"/>
          <w:numId w:val="44"/>
        </w:numPr>
        <w:tabs>
          <w:tab w:val="left" w:pos="425"/>
        </w:tabs>
        <w:spacing w:after="0" w:line="312"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994FC2" w:rsidRPr="00994FC2" w:rsidRDefault="00994FC2" w:rsidP="00994FC2">
      <w:pPr>
        <w:numPr>
          <w:ilvl w:val="0"/>
          <w:numId w:val="42"/>
        </w:numPr>
        <w:spacing w:after="0" w:line="312" w:lineRule="auto"/>
        <w:ind w:left="426" w:hanging="426"/>
        <w:contextualSpacing/>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rPr>
        <w:t>Zamawiający przetwarza dane osobowe:</w:t>
      </w:r>
    </w:p>
    <w:p w:rsidR="00994FC2" w:rsidRPr="00994FC2" w:rsidRDefault="00994FC2" w:rsidP="00994FC2">
      <w:pPr>
        <w:numPr>
          <w:ilvl w:val="0"/>
          <w:numId w:val="45"/>
        </w:numPr>
        <w:tabs>
          <w:tab w:val="left" w:pos="240"/>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podane przez wykonawców w ofertach i załącznikach do oferty oraz innych dokumentach składanych w trakcie postępowania – przez okres 5 albo 15 lat (w przypadku zamówień współfinansowanych ze środków UE), począwszy od 1 stycznia roku kalendarzowego następującego po zakończeniu okresu obowiązywania umowy;</w:t>
      </w:r>
    </w:p>
    <w:p w:rsidR="00994FC2" w:rsidRPr="00994FC2" w:rsidRDefault="00994FC2" w:rsidP="00994FC2">
      <w:pPr>
        <w:numPr>
          <w:ilvl w:val="0"/>
          <w:numId w:val="45"/>
        </w:numPr>
        <w:tabs>
          <w:tab w:val="left" w:pos="240"/>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994FC2" w:rsidRPr="00994FC2" w:rsidRDefault="00994FC2" w:rsidP="00994FC2">
      <w:pPr>
        <w:numPr>
          <w:ilvl w:val="0"/>
          <w:numId w:val="45"/>
        </w:numPr>
        <w:tabs>
          <w:tab w:val="left" w:pos="240"/>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podane przy zawieraniu i w trakcie realizacji umów – przez okres realizacji umowy, a następnie przez okres wskazany w przepisach o rachunkowości, o archiwizacji oraz przepisach dotyczących projektów współfinansowanych ze środków UE;</w:t>
      </w:r>
    </w:p>
    <w:p w:rsidR="00994FC2" w:rsidRPr="00994FC2" w:rsidRDefault="00994FC2" w:rsidP="00994FC2">
      <w:pPr>
        <w:numPr>
          <w:ilvl w:val="0"/>
          <w:numId w:val="45"/>
        </w:numPr>
        <w:tabs>
          <w:tab w:val="left" w:pos="240"/>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994FC2" w:rsidRPr="00994FC2" w:rsidRDefault="00994FC2" w:rsidP="00994FC2">
      <w:pPr>
        <w:numPr>
          <w:ilvl w:val="0"/>
          <w:numId w:val="42"/>
        </w:numPr>
        <w:tabs>
          <w:tab w:val="left" w:pos="425"/>
        </w:tabs>
        <w:spacing w:after="0" w:line="312" w:lineRule="auto"/>
        <w:ind w:left="426" w:hanging="426"/>
        <w:contextualSpacing/>
        <w:jc w:val="both"/>
        <w:rPr>
          <w:rFonts w:ascii="Times New Roman" w:eastAsia="Times New Roman" w:hAnsi="Times New Roman" w:cs="Times New Roman"/>
          <w:color w:val="00B0F0"/>
          <w:sz w:val="24"/>
          <w:szCs w:val="24"/>
          <w:lang w:eastAsia="pl-PL"/>
        </w:rPr>
      </w:pPr>
      <w:r w:rsidRPr="00994FC2">
        <w:rPr>
          <w:rFonts w:ascii="Times New Roman" w:eastAsia="Times New Roman" w:hAnsi="Times New Roman" w:cs="Times New Roman"/>
          <w:sz w:val="24"/>
          <w:szCs w:val="24"/>
        </w:rPr>
        <w:t>dane osobowe zawarte w ofertach i załącznikach do ofert będą ujawniane wykonawcom oraz wszystkim zainteresowanym z uwzględnieniem przepisów dotyczących zamówień publicznych oraz dostępu do informacji publicznej. Wszystkie dane osobowe opisane powyżej będą udostępnianie podmiotom przetwarzającym, które świadczą na rzecz administratora usługi z zakresu IT;</w:t>
      </w:r>
    </w:p>
    <w:p w:rsidR="00994FC2" w:rsidRPr="00994FC2" w:rsidRDefault="00994FC2" w:rsidP="00994FC2">
      <w:pPr>
        <w:numPr>
          <w:ilvl w:val="0"/>
          <w:numId w:val="42"/>
        </w:numPr>
        <w:tabs>
          <w:tab w:val="left" w:pos="425"/>
        </w:tabs>
        <w:spacing w:after="0" w:line="312" w:lineRule="auto"/>
        <w:ind w:left="426" w:hanging="426"/>
        <w:contextualSpacing/>
        <w:jc w:val="both"/>
        <w:rPr>
          <w:rFonts w:ascii="Times New Roman" w:eastAsia="Times New Roman" w:hAnsi="Times New Roman" w:cs="Times New Roman"/>
          <w:color w:val="00B0F0"/>
          <w:sz w:val="24"/>
          <w:szCs w:val="24"/>
        </w:rPr>
      </w:pPr>
      <w:r w:rsidRPr="00994FC2">
        <w:rPr>
          <w:rFonts w:ascii="Times New Roman" w:eastAsia="Times New Roman" w:hAnsi="Times New Roman" w:cs="Times New Roman"/>
          <w:sz w:val="24"/>
          <w:szCs w:val="24"/>
        </w:rPr>
        <w:t>posiada Pani/Pan:</w:t>
      </w:r>
    </w:p>
    <w:p w:rsidR="00994FC2" w:rsidRPr="00994FC2" w:rsidRDefault="00994FC2" w:rsidP="00994FC2">
      <w:pPr>
        <w:numPr>
          <w:ilvl w:val="0"/>
          <w:numId w:val="46"/>
        </w:numPr>
        <w:tabs>
          <w:tab w:val="left" w:pos="709"/>
        </w:tabs>
        <w:spacing w:after="0" w:line="312" w:lineRule="auto"/>
        <w:ind w:left="709" w:hanging="283"/>
        <w:jc w:val="both"/>
        <w:rPr>
          <w:rFonts w:ascii="Times New Roman" w:eastAsia="Calibri" w:hAnsi="Times New Roman" w:cs="Times New Roman"/>
          <w:i/>
          <w:sz w:val="24"/>
          <w:szCs w:val="24"/>
        </w:rPr>
      </w:pPr>
      <w:r w:rsidRPr="00994FC2">
        <w:rPr>
          <w:rFonts w:ascii="Times New Roman" w:eastAsia="Times New Roman" w:hAnsi="Times New Roman" w:cs="Times New Roman"/>
          <w:sz w:val="24"/>
          <w:szCs w:val="24"/>
          <w:lang w:eastAsia="pl-PL"/>
        </w:rPr>
        <w:lastRenderedPageBreak/>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94FC2" w:rsidRPr="00994FC2" w:rsidRDefault="00994FC2" w:rsidP="00994FC2">
      <w:pPr>
        <w:numPr>
          <w:ilvl w:val="0"/>
          <w:numId w:val="46"/>
        </w:numPr>
        <w:tabs>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na podstawie art. 16 RODO prawo do sprostowania Pani/Pana danych osobowych, które nie może skutkować zmianą </w:t>
      </w:r>
      <w:r w:rsidRPr="00994FC2">
        <w:rPr>
          <w:rFonts w:ascii="Times New Roman" w:eastAsia="Calibri" w:hAnsi="Times New Roman" w:cs="Times New Roman"/>
          <w:sz w:val="24"/>
          <w:szCs w:val="24"/>
        </w:rPr>
        <w:t xml:space="preserve">wyniku postępowania o udzielenie zamówienia publicznego ani zmianą postanowień umowy w zakresie niezgodnym z ustawą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w:t>
      </w:r>
      <w:r w:rsidRPr="00994FC2">
        <w:rPr>
          <w:rFonts w:ascii="Times New Roman" w:eastAsia="Times New Roman" w:hAnsi="Times New Roman" w:cs="Times New Roman"/>
          <w:sz w:val="24"/>
          <w:szCs w:val="24"/>
          <w:lang w:eastAsia="pl-PL"/>
        </w:rPr>
        <w:t>;</w:t>
      </w:r>
    </w:p>
    <w:p w:rsidR="00994FC2" w:rsidRPr="00994FC2" w:rsidRDefault="00994FC2" w:rsidP="00994FC2">
      <w:pPr>
        <w:numPr>
          <w:ilvl w:val="0"/>
          <w:numId w:val="46"/>
        </w:numPr>
        <w:tabs>
          <w:tab w:val="left" w:pos="709"/>
        </w:tabs>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w:t>
      </w:r>
      <w:r w:rsidRPr="00994FC2">
        <w:rPr>
          <w:rFonts w:ascii="Times New Roman" w:eastAsia="Calibri" w:hAnsi="Times New Roman" w:cs="Times New Roman"/>
          <w:sz w:val="24"/>
          <w:szCs w:val="24"/>
        </w:rPr>
        <w:t xml:space="preserve">rawo do ograniczenia przetwarzania nie ma zastosowania w odniesieniu do </w:t>
      </w:r>
      <w:r w:rsidRPr="00994FC2">
        <w:rPr>
          <w:rFonts w:ascii="Times New Roman" w:eastAsia="Times New Roman" w:hAnsi="Times New Roman" w:cs="Times New Roman"/>
          <w:sz w:val="24"/>
          <w:szCs w:val="24"/>
          <w:lang w:eastAsia="pl-PL"/>
        </w:rPr>
        <w:t xml:space="preserve">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w:t>
      </w:r>
      <w:r w:rsidRPr="00994FC2">
        <w:rPr>
          <w:rFonts w:ascii="Times New Roman" w:eastAsia="Calibri" w:hAnsi="Times New Roman" w:cs="Times New Roman"/>
          <w:sz w:val="24"/>
          <w:szCs w:val="24"/>
        </w:rPr>
        <w:t xml:space="preserve">(art. 19 ust. 3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w:t>
      </w:r>
    </w:p>
    <w:p w:rsidR="00994FC2" w:rsidRPr="00994FC2" w:rsidRDefault="00994FC2" w:rsidP="00994FC2">
      <w:pPr>
        <w:numPr>
          <w:ilvl w:val="0"/>
          <w:numId w:val="46"/>
        </w:numPr>
        <w:tabs>
          <w:tab w:val="left" w:pos="709"/>
        </w:tabs>
        <w:spacing w:after="0" w:line="312" w:lineRule="auto"/>
        <w:ind w:left="709" w:hanging="283"/>
        <w:jc w:val="both"/>
        <w:rPr>
          <w:rFonts w:ascii="Times New Roman" w:eastAsia="Times New Roman" w:hAnsi="Times New Roman" w:cs="Times New Roman"/>
          <w:i/>
          <w:color w:val="00B0F0"/>
          <w:sz w:val="24"/>
          <w:szCs w:val="24"/>
          <w:lang w:eastAsia="pl-PL"/>
        </w:rPr>
      </w:pPr>
      <w:r w:rsidRPr="00994FC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994FC2" w:rsidRPr="00994FC2" w:rsidRDefault="00994FC2" w:rsidP="00994FC2">
      <w:pPr>
        <w:numPr>
          <w:ilvl w:val="0"/>
          <w:numId w:val="42"/>
        </w:numPr>
        <w:tabs>
          <w:tab w:val="left" w:pos="425"/>
        </w:tabs>
        <w:spacing w:after="0" w:line="312" w:lineRule="auto"/>
        <w:ind w:left="426" w:hanging="426"/>
        <w:contextualSpacing/>
        <w:jc w:val="both"/>
        <w:rPr>
          <w:rFonts w:ascii="Times New Roman" w:eastAsia="Times New Roman" w:hAnsi="Times New Roman" w:cs="Times New Roman"/>
          <w:i/>
          <w:color w:val="00B0F0"/>
          <w:sz w:val="24"/>
          <w:szCs w:val="24"/>
          <w:lang w:eastAsia="pl-PL"/>
        </w:rPr>
      </w:pPr>
      <w:r w:rsidRPr="00994FC2">
        <w:rPr>
          <w:rFonts w:ascii="Times New Roman" w:eastAsia="Times New Roman" w:hAnsi="Times New Roman" w:cs="Times New Roman"/>
          <w:sz w:val="24"/>
          <w:szCs w:val="24"/>
        </w:rPr>
        <w:t>nie przysługuje Pani/Panu:</w:t>
      </w:r>
    </w:p>
    <w:p w:rsidR="00994FC2" w:rsidRPr="00994FC2" w:rsidRDefault="00994FC2" w:rsidP="00994FC2">
      <w:pPr>
        <w:numPr>
          <w:ilvl w:val="0"/>
          <w:numId w:val="47"/>
        </w:numPr>
        <w:spacing w:after="0" w:line="312" w:lineRule="auto"/>
        <w:ind w:left="709" w:hanging="283"/>
        <w:jc w:val="both"/>
        <w:rPr>
          <w:rFonts w:ascii="Times New Roman" w:eastAsia="Times New Roman" w:hAnsi="Times New Roman" w:cs="Times New Roman"/>
          <w:color w:val="00B0F0"/>
          <w:sz w:val="24"/>
          <w:szCs w:val="24"/>
          <w:lang w:eastAsia="pl-PL"/>
        </w:rPr>
      </w:pPr>
      <w:r w:rsidRPr="00994FC2">
        <w:rPr>
          <w:rFonts w:ascii="Times New Roman" w:eastAsia="Times New Roman" w:hAnsi="Times New Roman" w:cs="Times New Roman"/>
          <w:sz w:val="24"/>
          <w:szCs w:val="24"/>
          <w:lang w:eastAsia="pl-PL"/>
        </w:rPr>
        <w:t>w związku z art. 17 ust. 3 lit. b, d lub e RODO prawo do usunięcia danych osobowych;</w:t>
      </w:r>
    </w:p>
    <w:p w:rsidR="00994FC2" w:rsidRPr="00994FC2" w:rsidRDefault="00994FC2" w:rsidP="00994FC2">
      <w:pPr>
        <w:numPr>
          <w:ilvl w:val="0"/>
          <w:numId w:val="47"/>
        </w:numPr>
        <w:spacing w:after="0" w:line="312"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prawo do przenoszenia danych osobowych, o którym mowa w art. 20 RODO;</w:t>
      </w:r>
    </w:p>
    <w:p w:rsidR="00994FC2" w:rsidRPr="00994FC2" w:rsidRDefault="00994FC2" w:rsidP="00994FC2">
      <w:pPr>
        <w:numPr>
          <w:ilvl w:val="0"/>
          <w:numId w:val="47"/>
        </w:numPr>
        <w:spacing w:after="0" w:line="312" w:lineRule="auto"/>
        <w:ind w:left="709" w:hanging="283"/>
        <w:jc w:val="both"/>
        <w:rPr>
          <w:rFonts w:ascii="Times New Roman" w:eastAsia="Calibri" w:hAnsi="Times New Roman" w:cs="Times New Roman"/>
          <w:sz w:val="24"/>
          <w:szCs w:val="24"/>
        </w:rPr>
      </w:pPr>
      <w:r w:rsidRPr="00994FC2">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994FC2" w:rsidRPr="00994FC2" w:rsidRDefault="00994FC2" w:rsidP="00994FC2">
      <w:pPr>
        <w:numPr>
          <w:ilvl w:val="0"/>
          <w:numId w:val="42"/>
        </w:numPr>
        <w:tabs>
          <w:tab w:val="left" w:pos="425"/>
        </w:tabs>
        <w:spacing w:after="0" w:line="312" w:lineRule="auto"/>
        <w:ind w:left="426" w:hanging="426"/>
        <w:jc w:val="both"/>
        <w:rPr>
          <w:rFonts w:ascii="Times New Roman" w:eastAsia="Calibri" w:hAnsi="Times New Roman" w:cs="Times New Roman"/>
          <w:b/>
          <w:sz w:val="24"/>
          <w:szCs w:val="24"/>
          <w:u w:val="single"/>
        </w:rPr>
      </w:pPr>
      <w:r w:rsidRPr="00994FC2">
        <w:rPr>
          <w:rFonts w:ascii="Times New Roman" w:eastAsia="Calibri" w:hAnsi="Times New Roman" w:cs="Times New Roman"/>
          <w:sz w:val="24"/>
          <w:szCs w:val="24"/>
        </w:rPr>
        <w:t>podanie danych jest dobrowolne, jednakże ich niepodanie może uniemożliwić Zamawiającemu dokonanie oceny zdolności wykonawcy do należytego wykonania zamówienia.</w:t>
      </w:r>
    </w:p>
    <w:p w:rsidR="00994FC2" w:rsidRPr="00994FC2" w:rsidRDefault="00994FC2" w:rsidP="00994FC2">
      <w:pPr>
        <w:spacing w:after="0" w:line="312" w:lineRule="auto"/>
        <w:ind w:left="426" w:hanging="426"/>
        <w:jc w:val="both"/>
        <w:rPr>
          <w:rFonts w:ascii="Times New Roman" w:eastAsia="DengXian" w:hAnsi="Times New Roman" w:cs="Times New Roman"/>
          <w:sz w:val="24"/>
          <w:szCs w:val="24"/>
        </w:rPr>
      </w:pPr>
    </w:p>
    <w:p w:rsidR="00994FC2" w:rsidRPr="00994FC2" w:rsidRDefault="00994FC2" w:rsidP="00994FC2">
      <w:pPr>
        <w:numPr>
          <w:ilvl w:val="0"/>
          <w:numId w:val="1"/>
        </w:numPr>
        <w:spacing w:after="0" w:line="312"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WYKAZ ZAŁĄCZNIKÓW DO SWZ</w:t>
      </w:r>
    </w:p>
    <w:tbl>
      <w:tblPr>
        <w:tblStyle w:val="Tabela-Siatka"/>
        <w:tblW w:w="0" w:type="auto"/>
        <w:tblInd w:w="108" w:type="dxa"/>
        <w:tblLook w:val="04A0" w:firstRow="1" w:lastRow="0" w:firstColumn="1" w:lastColumn="0" w:noHBand="0" w:noVBand="1"/>
      </w:tblPr>
      <w:tblGrid>
        <w:gridCol w:w="1985"/>
        <w:gridCol w:w="7193"/>
      </w:tblGrid>
      <w:tr w:rsidR="00994FC2" w:rsidRPr="00994FC2" w:rsidTr="00994FC2">
        <w:trPr>
          <w:trHeight w:val="138"/>
        </w:trPr>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Załącznik nr 1 </w:t>
            </w:r>
          </w:p>
        </w:tc>
        <w:tc>
          <w:tcPr>
            <w:tcW w:w="7193" w:type="dxa"/>
            <w:tcBorders>
              <w:top w:val="single" w:sz="4" w:space="0" w:color="auto"/>
              <w:left w:val="single" w:sz="4" w:space="0" w:color="auto"/>
              <w:bottom w:val="single" w:sz="4" w:space="0" w:color="auto"/>
              <w:right w:val="single" w:sz="4" w:space="0" w:color="auto"/>
            </w:tcBorders>
            <w:vAlign w:val="bottom"/>
            <w:hideMark/>
          </w:tcPr>
          <w:p w:rsidR="00994FC2" w:rsidRPr="00994FC2" w:rsidRDefault="00994FC2" w:rsidP="00994FC2">
            <w:pPr>
              <w:suppressAutoHyphens/>
              <w:spacing w:line="312" w:lineRule="auto"/>
              <w:jc w:val="both"/>
              <w:rPr>
                <w:sz w:val="24"/>
                <w:szCs w:val="24"/>
              </w:rPr>
            </w:pPr>
            <w:proofErr w:type="spellStart"/>
            <w:r w:rsidRPr="00994FC2">
              <w:rPr>
                <w:sz w:val="24"/>
                <w:szCs w:val="24"/>
                <w:lang w:val="en-US"/>
              </w:rPr>
              <w:t>Szczegółowy</w:t>
            </w:r>
            <w:proofErr w:type="spellEnd"/>
            <w:r w:rsidRPr="00994FC2">
              <w:rPr>
                <w:sz w:val="24"/>
                <w:szCs w:val="24"/>
                <w:lang w:val="en-US"/>
              </w:rPr>
              <w:t xml:space="preserve"> o</w:t>
            </w:r>
            <w:r w:rsidRPr="00994FC2">
              <w:rPr>
                <w:sz w:val="24"/>
                <w:szCs w:val="24"/>
              </w:rPr>
              <w:t xml:space="preserve">pis przedmiotu zamówienia </w:t>
            </w:r>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Załącznik nr 2 </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bCs/>
                <w:sz w:val="24"/>
                <w:szCs w:val="24"/>
              </w:rPr>
            </w:pPr>
            <w:r w:rsidRPr="00994FC2">
              <w:rPr>
                <w:sz w:val="24"/>
                <w:szCs w:val="24"/>
              </w:rPr>
              <w:t xml:space="preserve">Formularz ofertowy </w:t>
            </w:r>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Załącznik nr 3 </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lang w:val="en-US"/>
              </w:rPr>
            </w:pPr>
            <w:proofErr w:type="spellStart"/>
            <w:r w:rsidRPr="00994FC2">
              <w:rPr>
                <w:sz w:val="24"/>
                <w:szCs w:val="24"/>
                <w:lang w:val="en-US"/>
              </w:rPr>
              <w:t>Wykaz</w:t>
            </w:r>
            <w:proofErr w:type="spellEnd"/>
            <w:r w:rsidRPr="00994FC2">
              <w:rPr>
                <w:sz w:val="24"/>
                <w:szCs w:val="24"/>
                <w:lang w:val="en-US"/>
              </w:rPr>
              <w:t xml:space="preserve"> </w:t>
            </w:r>
            <w:proofErr w:type="spellStart"/>
            <w:r w:rsidRPr="00994FC2">
              <w:rPr>
                <w:sz w:val="24"/>
                <w:szCs w:val="24"/>
                <w:lang w:val="en-US"/>
              </w:rPr>
              <w:t>doświadczenia</w:t>
            </w:r>
            <w:proofErr w:type="spellEnd"/>
            <w:r w:rsidRPr="00994FC2">
              <w:rPr>
                <w:sz w:val="24"/>
                <w:szCs w:val="24"/>
                <w:lang w:val="en-US"/>
              </w:rPr>
              <w:t xml:space="preserve"> </w:t>
            </w:r>
            <w:proofErr w:type="spellStart"/>
            <w:r w:rsidRPr="00994FC2">
              <w:rPr>
                <w:sz w:val="24"/>
                <w:szCs w:val="24"/>
                <w:lang w:val="en-US"/>
              </w:rPr>
              <w:t>trenera</w:t>
            </w:r>
            <w:proofErr w:type="spellEnd"/>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lastRenderedPageBreak/>
              <w:t xml:space="preserve">Załącznik nr 4 </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Oświadczenie o przynależności lub braku przynależności do grupy kapitałowej</w:t>
            </w:r>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Załącznik nr 5 </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Oświadczenie o aktualności informacji zawartych w oświadczeniu JEDZ</w:t>
            </w:r>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Załącznik nr 6 </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 xml:space="preserve">Wzór umowy </w:t>
            </w:r>
          </w:p>
        </w:tc>
      </w:tr>
      <w:tr w:rsidR="00994FC2" w:rsidRPr="00994FC2" w:rsidTr="00994FC2">
        <w:tc>
          <w:tcPr>
            <w:tcW w:w="1985"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rPr>
              <w:t>Załącznik nr 7</w:t>
            </w:r>
          </w:p>
        </w:tc>
        <w:tc>
          <w:tcPr>
            <w:tcW w:w="7193" w:type="dxa"/>
            <w:tcBorders>
              <w:top w:val="single" w:sz="4" w:space="0" w:color="auto"/>
              <w:left w:val="single" w:sz="4" w:space="0" w:color="auto"/>
              <w:bottom w:val="single" w:sz="4" w:space="0" w:color="auto"/>
              <w:right w:val="single" w:sz="4" w:space="0" w:color="auto"/>
            </w:tcBorders>
            <w:hideMark/>
          </w:tcPr>
          <w:p w:rsidR="00994FC2" w:rsidRPr="00994FC2" w:rsidRDefault="00994FC2" w:rsidP="00994FC2">
            <w:pPr>
              <w:suppressAutoHyphens/>
              <w:spacing w:line="312" w:lineRule="auto"/>
              <w:jc w:val="both"/>
              <w:rPr>
                <w:sz w:val="24"/>
                <w:szCs w:val="24"/>
              </w:rPr>
            </w:pPr>
            <w:r w:rsidRPr="00994FC2">
              <w:rPr>
                <w:sz w:val="24"/>
                <w:szCs w:val="24"/>
                <w:lang w:val="en-US"/>
              </w:rPr>
              <w:t>W</w:t>
            </w:r>
            <w:r w:rsidRPr="00994FC2">
              <w:rPr>
                <w:sz w:val="24"/>
                <w:szCs w:val="24"/>
              </w:rPr>
              <w:t>ykaz spełniania parametrów technicznych</w:t>
            </w:r>
          </w:p>
        </w:tc>
      </w:tr>
    </w:tbl>
    <w:p w:rsidR="00994FC2" w:rsidRPr="00994FC2" w:rsidRDefault="00994FC2" w:rsidP="00994FC2">
      <w:pPr>
        <w:spacing w:after="0" w:line="312" w:lineRule="auto"/>
        <w:jc w:val="both"/>
        <w:rPr>
          <w:rFonts w:ascii="Times New Roman" w:eastAsia="Calibri" w:hAnsi="Times New Roman" w:cs="Times New Roman"/>
          <w:b/>
          <w:sz w:val="24"/>
          <w:szCs w:val="24"/>
          <w:u w:val="single"/>
        </w:rPr>
      </w:pPr>
    </w:p>
    <w:p w:rsidR="00994FC2" w:rsidRPr="00994FC2" w:rsidRDefault="00994FC2" w:rsidP="00994FC2">
      <w:pPr>
        <w:spacing w:after="0" w:line="312" w:lineRule="auto"/>
        <w:jc w:val="both"/>
        <w:rPr>
          <w:rFonts w:ascii="Times New Roman" w:eastAsia="Calibri" w:hAnsi="Times New Roman" w:cs="Times New Roman"/>
          <w:sz w:val="24"/>
          <w:szCs w:val="24"/>
        </w:rPr>
      </w:pPr>
    </w:p>
    <w:p w:rsidR="00FF67DD" w:rsidRPr="00994FC2" w:rsidRDefault="00FF67DD">
      <w:pPr>
        <w:rPr>
          <w:rFonts w:ascii="Times New Roman" w:hAnsi="Times New Roman" w:cs="Times New Roman"/>
          <w:sz w:val="24"/>
          <w:szCs w:val="24"/>
        </w:rPr>
      </w:pPr>
    </w:p>
    <w:sectPr w:rsidR="00FF67DD" w:rsidRPr="00994FC2">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0C" w:rsidRDefault="0016370C" w:rsidP="00994FC2">
      <w:pPr>
        <w:spacing w:after="0" w:line="240" w:lineRule="auto"/>
      </w:pPr>
      <w:r>
        <w:separator/>
      </w:r>
    </w:p>
  </w:endnote>
  <w:endnote w:type="continuationSeparator" w:id="0">
    <w:p w:rsidR="0016370C" w:rsidRDefault="0016370C" w:rsidP="0099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0C" w:rsidRDefault="0016370C" w:rsidP="00994FC2">
      <w:pPr>
        <w:spacing w:after="0" w:line="240" w:lineRule="auto"/>
      </w:pPr>
      <w:r>
        <w:separator/>
      </w:r>
    </w:p>
  </w:footnote>
  <w:footnote w:type="continuationSeparator" w:id="0">
    <w:p w:rsidR="0016370C" w:rsidRDefault="0016370C" w:rsidP="00994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C2" w:rsidRPr="00994FC2" w:rsidRDefault="00994FC2" w:rsidP="00994FC2">
    <w:pPr>
      <w:tabs>
        <w:tab w:val="center" w:pos="4536"/>
        <w:tab w:val="right" w:pos="9072"/>
      </w:tabs>
      <w:spacing w:after="0" w:line="240" w:lineRule="auto"/>
      <w:ind w:leftChars="1000" w:left="2200"/>
      <w:jc w:val="both"/>
      <w:rPr>
        <w:rFonts w:ascii="Times New Roman" w:eastAsia="Calibri" w:hAnsi="Times New Roman" w:cs="Times New Roman"/>
        <w:i/>
        <w:iCs/>
        <w:sz w:val="20"/>
        <w:szCs w:val="20"/>
      </w:rPr>
    </w:pPr>
    <w:bookmarkStart w:id="13" w:name="_Hlk57709238"/>
    <w:bookmarkStart w:id="14" w:name="_Hlk75594092"/>
    <w:bookmarkEnd w:id="13"/>
    <w:r w:rsidRPr="00994FC2">
      <w:rPr>
        <w:rFonts w:ascii="Times New Roman" w:eastAsia="Calibri" w:hAnsi="Times New Roman" w:cs="Times New Roman"/>
        <w:i/>
        <w:iCs/>
        <w:noProof/>
        <w:sz w:val="20"/>
        <w:szCs w:val="20"/>
        <w:lang w:eastAsia="pl-PL"/>
      </w:rPr>
      <w:drawing>
        <wp:anchor distT="0" distB="0" distL="114935" distR="114935" simplePos="0" relativeHeight="251659264" behindDoc="1" locked="0" layoutInCell="1" allowOverlap="1" wp14:anchorId="14C4BDC6" wp14:editId="5AB1075B">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994FC2">
      <w:rPr>
        <w:rFonts w:ascii="Times New Roman" w:eastAsia="Calibri" w:hAnsi="Times New Roman" w:cs="Times New Roman"/>
        <w:i/>
        <w:iCs/>
        <w:sz w:val="20"/>
        <w:szCs w:val="20"/>
      </w:rPr>
      <w:t xml:space="preserve">Projekt pn. „Wsparcie techniczne i operacyjne w procesie pozyskiwania materiału dowodowego w postaci cyfrowej w sprawach zwalczania nadużyć naruszających interesy finansowe Unii Europejskiej” finansowany z Programu Unii Europejskiej </w:t>
    </w:r>
    <w:proofErr w:type="spellStart"/>
    <w:r w:rsidRPr="00994FC2">
      <w:rPr>
        <w:rFonts w:ascii="Times New Roman" w:eastAsia="Calibri" w:hAnsi="Times New Roman" w:cs="Times New Roman"/>
        <w:i/>
        <w:iCs/>
        <w:sz w:val="20"/>
        <w:szCs w:val="20"/>
      </w:rPr>
      <w:t>Hercule</w:t>
    </w:r>
    <w:proofErr w:type="spellEnd"/>
    <w:r w:rsidRPr="00994FC2">
      <w:rPr>
        <w:rFonts w:ascii="Times New Roman" w:eastAsia="Calibri" w:hAnsi="Times New Roman" w:cs="Times New Roman"/>
        <w:i/>
        <w:iCs/>
        <w:sz w:val="20"/>
        <w:szCs w:val="20"/>
      </w:rPr>
      <w:t xml:space="preserve"> III Nr identyfikacyjny projektu: 101012448</w:t>
    </w:r>
  </w:p>
  <w:bookmarkEnd w:id="14"/>
  <w:p w:rsidR="00994FC2" w:rsidRPr="00994FC2" w:rsidRDefault="00994FC2" w:rsidP="00994FC2">
    <w:pPr>
      <w:tabs>
        <w:tab w:val="center" w:pos="4536"/>
        <w:tab w:val="right" w:pos="9072"/>
      </w:tabs>
      <w:spacing w:after="0" w:line="240" w:lineRule="auto"/>
      <w:rPr>
        <w:rFonts w:ascii="Times New Roman" w:eastAsia="Calibri" w:hAnsi="Times New Roman" w:cs="Times New Roman"/>
        <w:sz w:val="20"/>
        <w:szCs w:val="20"/>
      </w:rPr>
    </w:pPr>
  </w:p>
  <w:p w:rsidR="00994FC2" w:rsidRDefault="00994F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3ECA"/>
    <w:multiLevelType w:val="singleLevel"/>
    <w:tmpl w:val="9D7A3ECA"/>
    <w:lvl w:ilvl="0">
      <w:start w:val="1"/>
      <w:numFmt w:val="decimal"/>
      <w:lvlText w:val="%1)"/>
      <w:lvlJc w:val="left"/>
      <w:pPr>
        <w:tabs>
          <w:tab w:val="left" w:pos="1418"/>
        </w:tabs>
        <w:ind w:left="1418" w:hanging="425"/>
      </w:pPr>
    </w:lvl>
  </w:abstractNum>
  <w:abstractNum w:abstractNumId="1">
    <w:nsid w:val="C87C62E1"/>
    <w:multiLevelType w:val="singleLevel"/>
    <w:tmpl w:val="C87C62E1"/>
    <w:lvl w:ilvl="0">
      <w:start w:val="1"/>
      <w:numFmt w:val="lowerLetter"/>
      <w:lvlText w:val="%1)"/>
      <w:lvlJc w:val="left"/>
      <w:pPr>
        <w:tabs>
          <w:tab w:val="left" w:pos="425"/>
        </w:tabs>
        <w:ind w:left="425" w:hanging="425"/>
      </w:pPr>
    </w:lvl>
  </w:abstractNum>
  <w:abstractNum w:abstractNumId="2">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DengXian" w:hAnsi="Times New Roman" w:cs="Times New Roman" w:hint="default"/>
        <w:b w:val="0"/>
        <w:strike w:val="0"/>
        <w:dstrike w:val="0"/>
        <w:color w:val="000000"/>
        <w:u w:val="none"/>
        <w:effect w:val="none"/>
      </w:rPr>
    </w:lvl>
    <w:lvl w:ilvl="2">
      <w:start w:val="1"/>
      <w:numFmt w:val="decimal"/>
      <w:lvlText w:val="%1.%2.%3."/>
      <w:lvlJc w:val="left"/>
      <w:pPr>
        <w:ind w:left="1224" w:hanging="504"/>
      </w:pPr>
      <w:rPr>
        <w:strike w:val="0"/>
        <w:dstrike w:val="0"/>
        <w:color w:val="000000"/>
        <w:u w:val="none"/>
        <w:effect w:val="none"/>
      </w:rPr>
    </w:lvl>
    <w:lvl w:ilvl="3">
      <w:start w:val="1"/>
      <w:numFmt w:val="decimal"/>
      <w:lvlText w:val="1.1.%4."/>
      <w:lvlJc w:val="left"/>
      <w:pPr>
        <w:ind w:left="1728" w:hanging="648"/>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B4AA3"/>
    <w:multiLevelType w:val="multilevel"/>
    <w:tmpl w:val="062B4AA3"/>
    <w:lvl w:ilvl="0">
      <w:start w:val="2"/>
      <w:numFmt w:val="decimal"/>
      <w:lvlText w:val="%1."/>
      <w:lvlJc w:val="left"/>
      <w:pPr>
        <w:ind w:left="3240" w:hanging="360"/>
      </w:pPr>
      <w:rPr>
        <w:sz w:val="24"/>
        <w:szCs w:val="24"/>
      </w:rPr>
    </w:lvl>
    <w:lvl w:ilvl="1">
      <w:start w:val="1"/>
      <w:numFmt w:val="decimal"/>
      <w:isLgl/>
      <w:lvlText w:val="%2)"/>
      <w:lvlJc w:val="left"/>
      <w:pPr>
        <w:ind w:left="1146" w:hanging="720"/>
      </w:pPr>
      <w:rPr>
        <w:rFonts w:ascii="Times New Roman" w:eastAsia="DengXian" w:hAnsi="Times New Roman" w:cs="Times New Roman" w:hint="default"/>
      </w:rPr>
    </w:lvl>
    <w:lvl w:ilvl="2">
      <w:start w:val="1"/>
      <w:numFmt w:val="decimal"/>
      <w:isLgl/>
      <w:lvlText w:val="%1.%2.%3."/>
      <w:lvlJc w:val="left"/>
      <w:pPr>
        <w:ind w:left="3600" w:hanging="720"/>
      </w:pPr>
    </w:lvl>
    <w:lvl w:ilvl="3">
      <w:start w:val="1"/>
      <w:numFmt w:val="decimal"/>
      <w:isLgl/>
      <w:lvlText w:val="%1.%2.%3.%4."/>
      <w:lvlJc w:val="left"/>
      <w:pPr>
        <w:ind w:left="3960" w:hanging="1080"/>
      </w:pPr>
    </w:lvl>
    <w:lvl w:ilvl="4">
      <w:start w:val="1"/>
      <w:numFmt w:val="decimal"/>
      <w:isLgl/>
      <w:lvlText w:val="%1.%2.%3.%4.%5."/>
      <w:lvlJc w:val="left"/>
      <w:pPr>
        <w:ind w:left="3960" w:hanging="1080"/>
      </w:pPr>
    </w:lvl>
    <w:lvl w:ilvl="5">
      <w:start w:val="1"/>
      <w:numFmt w:val="decimal"/>
      <w:isLgl/>
      <w:lvlText w:val="%1.%2.%3.%4.%5.%6."/>
      <w:lvlJc w:val="left"/>
      <w:pPr>
        <w:ind w:left="4320" w:hanging="1440"/>
      </w:pPr>
    </w:lvl>
    <w:lvl w:ilvl="6">
      <w:start w:val="1"/>
      <w:numFmt w:val="decimal"/>
      <w:isLgl/>
      <w:lvlText w:val="%1.%2.%3.%4.%5.%6.%7."/>
      <w:lvlJc w:val="left"/>
      <w:pPr>
        <w:ind w:left="4320" w:hanging="1440"/>
      </w:pPr>
    </w:lvl>
    <w:lvl w:ilvl="7">
      <w:start w:val="1"/>
      <w:numFmt w:val="decimal"/>
      <w:isLgl/>
      <w:lvlText w:val="%1.%2.%3.%4.%5.%6.%7.%8."/>
      <w:lvlJc w:val="left"/>
      <w:pPr>
        <w:ind w:left="4680" w:hanging="1800"/>
      </w:pPr>
    </w:lvl>
    <w:lvl w:ilvl="8">
      <w:start w:val="1"/>
      <w:numFmt w:val="decimal"/>
      <w:isLgl/>
      <w:lvlText w:val="%1.%2.%3.%4.%5.%6.%7.%8.%9."/>
      <w:lvlJc w:val="left"/>
      <w:pPr>
        <w:ind w:left="5040" w:hanging="2160"/>
      </w:pPr>
    </w:lvl>
  </w:abstractNum>
  <w:abstractNum w:abstractNumId="4">
    <w:nsid w:val="08E4547F"/>
    <w:multiLevelType w:val="multilevel"/>
    <w:tmpl w:val="08E4547F"/>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C22F4E"/>
    <w:multiLevelType w:val="multilevel"/>
    <w:tmpl w:val="0CC22F4E"/>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7">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27139"/>
    <w:multiLevelType w:val="multilevel"/>
    <w:tmpl w:val="0FA271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0F40869"/>
    <w:multiLevelType w:val="multilevel"/>
    <w:tmpl w:val="10F40869"/>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C34FC3"/>
    <w:multiLevelType w:val="multilevel"/>
    <w:tmpl w:val="17C34FC3"/>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EC6A32"/>
    <w:multiLevelType w:val="multilevel"/>
    <w:tmpl w:val="17EC6A32"/>
    <w:lvl w:ilvl="0">
      <w:start w:val="1"/>
      <w:numFmt w:val="lowerLetter"/>
      <w:lvlText w:val="%1)"/>
      <w:lvlJc w:val="left"/>
      <w:pPr>
        <w:ind w:left="1146" w:hanging="360"/>
      </w:pPr>
      <w:rPr>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nsid w:val="203B1F2B"/>
    <w:multiLevelType w:val="multilevel"/>
    <w:tmpl w:val="203B1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D963D6"/>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4">
    <w:nsid w:val="233B3450"/>
    <w:multiLevelType w:val="multilevel"/>
    <w:tmpl w:val="233B3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45AD"/>
    <w:multiLevelType w:val="multilevel"/>
    <w:tmpl w:val="2A6345A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B645988"/>
    <w:multiLevelType w:val="multilevel"/>
    <w:tmpl w:val="2B645988"/>
    <w:lvl w:ilvl="0">
      <w:start w:val="1"/>
      <w:numFmt w:val="decimal"/>
      <w:lvlText w:val="%1."/>
      <w:lvlJc w:val="left"/>
      <w:pPr>
        <w:ind w:left="780" w:hanging="42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DA3E2C"/>
    <w:multiLevelType w:val="multilevel"/>
    <w:tmpl w:val="2DDA3E2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FAF7F9F"/>
    <w:multiLevelType w:val="multilevel"/>
    <w:tmpl w:val="2FAF7F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AE68F8"/>
    <w:multiLevelType w:val="multilevel"/>
    <w:tmpl w:val="22E280B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6676B0"/>
    <w:multiLevelType w:val="multilevel"/>
    <w:tmpl w:val="3766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AA3F77"/>
    <w:multiLevelType w:val="multilevel"/>
    <w:tmpl w:val="37AA3F7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3D1DB75D"/>
    <w:multiLevelType w:val="singleLevel"/>
    <w:tmpl w:val="3D1DB75D"/>
    <w:lvl w:ilvl="0">
      <w:start w:val="1"/>
      <w:numFmt w:val="lowerLetter"/>
      <w:lvlText w:val="%1)"/>
      <w:lvlJc w:val="left"/>
      <w:pPr>
        <w:tabs>
          <w:tab w:val="left" w:pos="425"/>
        </w:tabs>
        <w:ind w:left="425" w:hanging="425"/>
      </w:pPr>
    </w:lvl>
  </w:abstractNum>
  <w:abstractNum w:abstractNumId="25">
    <w:nsid w:val="44E951AA"/>
    <w:multiLevelType w:val="multilevel"/>
    <w:tmpl w:val="44E951AA"/>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1EB6A4"/>
    <w:multiLevelType w:val="singleLevel"/>
    <w:tmpl w:val="491EB6A4"/>
    <w:lvl w:ilvl="0">
      <w:start w:val="1"/>
      <w:numFmt w:val="decimal"/>
      <w:lvlText w:val="%1."/>
      <w:lvlJc w:val="left"/>
      <w:pPr>
        <w:tabs>
          <w:tab w:val="left" w:pos="425"/>
        </w:tabs>
        <w:ind w:left="425" w:hanging="425"/>
      </w:pPr>
      <w:rPr>
        <w:b w:val="0"/>
        <w:bCs/>
      </w:rPr>
    </w:lvl>
  </w:abstractNum>
  <w:abstractNum w:abstractNumId="27">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D4DDC1"/>
    <w:multiLevelType w:val="singleLevel"/>
    <w:tmpl w:val="4FD4DDC1"/>
    <w:lvl w:ilvl="0">
      <w:start w:val="1"/>
      <w:numFmt w:val="decimal"/>
      <w:lvlText w:val="%1)"/>
      <w:lvlJc w:val="left"/>
      <w:pPr>
        <w:tabs>
          <w:tab w:val="left" w:pos="709"/>
        </w:tabs>
        <w:ind w:left="709" w:hanging="425"/>
      </w:pPr>
    </w:lvl>
  </w:abstractNum>
  <w:abstractNum w:abstractNumId="30">
    <w:nsid w:val="56814C1A"/>
    <w:multiLevelType w:val="multilevel"/>
    <w:tmpl w:val="56814C1A"/>
    <w:lvl w:ilvl="0">
      <w:start w:val="1"/>
      <w:numFmt w:val="decimal"/>
      <w:lvlText w:val="%1)"/>
      <w:lvlJc w:val="left"/>
      <w:pPr>
        <w:ind w:left="1866" w:hanging="360"/>
      </w:pPr>
      <w:rPr>
        <w:rFonts w:ascii="Times New Roman" w:hAnsi="Times New Roman" w:cs="Times New Roman" w:hint="default"/>
        <w:sz w:val="24"/>
        <w:szCs w:val="24"/>
      </w:rPr>
    </w:lvl>
    <w:lvl w:ilvl="1">
      <w:start w:val="1"/>
      <w:numFmt w:val="decimal"/>
      <w:lvlText w:val="%2)"/>
      <w:lvlJc w:val="left"/>
      <w:pPr>
        <w:ind w:left="2586" w:hanging="360"/>
      </w:pPr>
      <w:rPr>
        <w:rFonts w:ascii="Times New Roman" w:eastAsia="Calibri" w:hAnsi="Times New Roman" w:cs="Times New Roman"/>
      </w:r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1">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E92B73"/>
    <w:multiLevelType w:val="multilevel"/>
    <w:tmpl w:val="5CE92B73"/>
    <w:lvl w:ilvl="0">
      <w:start w:val="1"/>
      <w:numFmt w:val="decimal"/>
      <w:lvlText w:val="%1)"/>
      <w:lvlJc w:val="left"/>
      <w:pPr>
        <w:ind w:left="1146" w:hanging="360"/>
      </w:pPr>
      <w:rPr>
        <w:rFonts w:ascii="Times New Roman" w:hAnsi="Times New Roman" w:cs="Times New Roman" w:hint="default"/>
        <w:sz w:val="24"/>
        <w:szCs w:val="24"/>
      </w:rPr>
    </w:lvl>
    <w:lvl w:ilvl="1">
      <w:start w:val="1"/>
      <w:numFmt w:val="decimal"/>
      <w:lvlText w:val="%2)"/>
      <w:lvlJc w:val="left"/>
      <w:pPr>
        <w:ind w:left="1866" w:hanging="360"/>
      </w:pPr>
      <w:rPr>
        <w:rFonts w:ascii="Times New Roman" w:hAnsi="Times New Roman" w:cs="Times New Roman" w:hint="default"/>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5FF4A184"/>
    <w:multiLevelType w:val="singleLevel"/>
    <w:tmpl w:val="5FF4A184"/>
    <w:lvl w:ilvl="0">
      <w:start w:val="1"/>
      <w:numFmt w:val="decimal"/>
      <w:lvlText w:val="%1."/>
      <w:lvlJc w:val="left"/>
      <w:pPr>
        <w:tabs>
          <w:tab w:val="left" w:pos="425"/>
        </w:tabs>
        <w:ind w:left="425" w:hanging="425"/>
      </w:pPr>
    </w:lvl>
  </w:abstractNum>
  <w:abstractNum w:abstractNumId="34">
    <w:nsid w:val="627C0A14"/>
    <w:multiLevelType w:val="multilevel"/>
    <w:tmpl w:val="627C0A14"/>
    <w:lvl w:ilvl="0">
      <w:start w:val="1"/>
      <w:numFmt w:val="decimal"/>
      <w:lvlText w:val="%1."/>
      <w:lvlJc w:val="left"/>
      <w:pPr>
        <w:ind w:left="84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DC3ADF"/>
    <w:multiLevelType w:val="multilevel"/>
    <w:tmpl w:val="63DC3ADF"/>
    <w:lvl w:ilvl="0">
      <w:start w:val="1"/>
      <w:numFmt w:val="upperRoman"/>
      <w:lvlText w:val="%1."/>
      <w:lvlJc w:val="left"/>
      <w:pPr>
        <w:ind w:left="720" w:hanging="72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7102BF"/>
    <w:multiLevelType w:val="multilevel"/>
    <w:tmpl w:val="647102BF"/>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47D6260"/>
    <w:multiLevelType w:val="multilevel"/>
    <w:tmpl w:val="647D6260"/>
    <w:lvl w:ilvl="0">
      <w:start w:val="3"/>
      <w:numFmt w:val="decimal"/>
      <w:lvlText w:val="%1."/>
      <w:lvlJc w:val="left"/>
      <w:pPr>
        <w:ind w:left="288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A165B5"/>
    <w:multiLevelType w:val="multilevel"/>
    <w:tmpl w:val="67A165B5"/>
    <w:lvl w:ilvl="0">
      <w:start w:val="1"/>
      <w:numFmt w:val="decimal"/>
      <w:lvlText w:val="%1."/>
      <w:lvlJc w:val="left"/>
      <w:pPr>
        <w:ind w:left="502" w:hanging="360"/>
      </w:pPr>
      <w:rPr>
        <w:b w:val="0"/>
        <w:sz w:val="24"/>
        <w:szCs w:val="24"/>
      </w:rPr>
    </w:lvl>
    <w:lvl w:ilvl="1">
      <w:start w:val="1"/>
      <w:numFmt w:val="decimal"/>
      <w:lvlText w:val="%2)"/>
      <w:lvlJc w:val="left"/>
      <w:pPr>
        <w:ind w:left="1222" w:hanging="360"/>
      </w:pPr>
      <w:rPr>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nsid w:val="6CB64345"/>
    <w:multiLevelType w:val="multilevel"/>
    <w:tmpl w:val="6CB643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6A38F4"/>
    <w:multiLevelType w:val="multilevel"/>
    <w:tmpl w:val="6E6A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color w:val="auto"/>
        <w:u w:val="none"/>
        <w:effect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7F3ECF"/>
    <w:multiLevelType w:val="multilevel"/>
    <w:tmpl w:val="767F3ECF"/>
    <w:lvl w:ilvl="0">
      <w:start w:val="1"/>
      <w:numFmt w:val="lowerLetter"/>
      <w:lvlText w:val="%1)"/>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3">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BF3482"/>
    <w:multiLevelType w:val="multilevel"/>
    <w:tmpl w:val="77BF3482"/>
    <w:lvl w:ilvl="0">
      <w:start w:val="1"/>
      <w:numFmt w:val="decimal"/>
      <w:lvlText w:val="%1)"/>
      <w:lvlJc w:val="left"/>
      <w:pPr>
        <w:ind w:left="1146" w:hanging="360"/>
      </w:pPr>
    </w:lvl>
    <w:lvl w:ilvl="1">
      <w:start w:val="1"/>
      <w:numFmt w:val="decimal"/>
      <w:lvlText w:val="%2)"/>
      <w:lvlJc w:val="left"/>
      <w:pPr>
        <w:ind w:left="1866" w:hanging="360"/>
      </w:pPr>
      <w:rPr>
        <w:rFonts w:ascii="Times New Roman" w:hAnsi="Times New Roman" w:cs="Times New Roman" w:hint="default"/>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nsid w:val="7B565B36"/>
    <w:multiLevelType w:val="multilevel"/>
    <w:tmpl w:val="7B565B36"/>
    <w:lvl w:ilvl="0">
      <w:start w:val="1"/>
      <w:numFmt w:val="decimal"/>
      <w:lvlText w:val="%1)"/>
      <w:lvlJc w:val="left"/>
      <w:pPr>
        <w:ind w:left="1429" w:hanging="360"/>
      </w:pPr>
      <w:rPr>
        <w:rFonts w:ascii="Times New Roman" w:hAnsi="Times New Roman" w:cs="Times New Roman" w:hint="default"/>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7FF53F58"/>
    <w:multiLevelType w:val="multilevel"/>
    <w:tmpl w:val="7FF53F58"/>
    <w:lvl w:ilvl="0">
      <w:start w:val="1"/>
      <w:numFmt w:val="decimal"/>
      <w:lvlText w:val="%1)"/>
      <w:lvlJc w:val="left"/>
      <w:pPr>
        <w:ind w:left="502"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11"/>
    <w:lvlOverride w:ilvl="0">
      <w:startOverride w:val="1"/>
    </w:lvlOverride>
    <w:lvlOverride w:ilvl="1"/>
    <w:lvlOverride w:ilvl="2"/>
    <w:lvlOverride w:ilvl="3"/>
    <w:lvlOverride w:ilvl="4"/>
    <w:lvlOverride w:ilvl="5"/>
    <w:lvlOverride w:ilvl="6"/>
    <w:lvlOverride w:ilvl="7"/>
    <w:lvlOverride w:ilvl="8"/>
  </w:num>
  <w:num w:numId="47">
    <w:abstractNumId w:val="4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3"/>
    <w:rsid w:val="000118C3"/>
    <w:rsid w:val="001163C7"/>
    <w:rsid w:val="0016370C"/>
    <w:rsid w:val="0047751B"/>
    <w:rsid w:val="00497B9B"/>
    <w:rsid w:val="00516832"/>
    <w:rsid w:val="00696534"/>
    <w:rsid w:val="00994FC2"/>
    <w:rsid w:val="00AF11AE"/>
    <w:rsid w:val="00CD4BC5"/>
    <w:rsid w:val="00D33267"/>
    <w:rsid w:val="00D76136"/>
    <w:rsid w:val="00FA68F2"/>
    <w:rsid w:val="00FA7190"/>
    <w:rsid w:val="00FF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qFormat/>
    <w:rsid w:val="00994FC2"/>
    <w:pPr>
      <w:spacing w:after="0" w:line="240" w:lineRule="auto"/>
    </w:pPr>
    <w:rPr>
      <w:rFonts w:ascii="Times New Roman" w:eastAsia="DengXi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94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FC2"/>
  </w:style>
  <w:style w:type="paragraph" w:styleId="Stopka">
    <w:name w:val="footer"/>
    <w:basedOn w:val="Normalny"/>
    <w:link w:val="StopkaZnak"/>
    <w:uiPriority w:val="99"/>
    <w:unhideWhenUsed/>
    <w:rsid w:val="00994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FC2"/>
  </w:style>
  <w:style w:type="paragraph" w:styleId="Tekstdymka">
    <w:name w:val="Balloon Text"/>
    <w:basedOn w:val="Normalny"/>
    <w:link w:val="TekstdymkaZnak"/>
    <w:uiPriority w:val="99"/>
    <w:semiHidden/>
    <w:unhideWhenUsed/>
    <w:rsid w:val="00477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qFormat/>
    <w:rsid w:val="00994FC2"/>
    <w:pPr>
      <w:spacing w:after="0" w:line="240" w:lineRule="auto"/>
    </w:pPr>
    <w:rPr>
      <w:rFonts w:ascii="Times New Roman" w:eastAsia="DengXi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94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FC2"/>
  </w:style>
  <w:style w:type="paragraph" w:styleId="Stopka">
    <w:name w:val="footer"/>
    <w:basedOn w:val="Normalny"/>
    <w:link w:val="StopkaZnak"/>
    <w:uiPriority w:val="99"/>
    <w:unhideWhenUsed/>
    <w:rsid w:val="00994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FC2"/>
  </w:style>
  <w:style w:type="paragraph" w:styleId="Tekstdymka">
    <w:name w:val="Balloon Text"/>
    <w:basedOn w:val="Normalny"/>
    <w:link w:val="TekstdymkaZnak"/>
    <w:uiPriority w:val="99"/>
    <w:semiHidden/>
    <w:unhideWhenUsed/>
    <w:rsid w:val="00477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bialystok" TargetMode="External"/><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s://platformazakupowa.pl/pn/kwp_bialystok%20do%20dnia%2020.09.202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kwp_bialystok" TargetMode="External"/><Relationship Id="rId5" Type="http://schemas.openxmlformats.org/officeDocument/2006/relationships/webSettings" Target="webSettings.xml"/><Relationship Id="rId15" Type="http://schemas.openxmlformats.org/officeDocument/2006/relationships/hyperlink" Target="https://platformazakupowa.pl/kwp_bialystok" TargetMode="External"/><Relationship Id="rId10" Type="http://schemas.openxmlformats.org/officeDocument/2006/relationships/hyperlink" Target="https://platformazakupowa.pl/pn/kwp_bialystok" TargetMode="External"/><Relationship Id="rId19" Type="http://schemas.openxmlformats.org/officeDocument/2006/relationships/hyperlink" Target="mailto:iod.kwp@bk.policja.gov.pl" TargetMode="External"/><Relationship Id="rId4" Type="http://schemas.openxmlformats.org/officeDocument/2006/relationships/settings" Target="settings.xml"/><Relationship Id="rId9" Type="http://schemas.openxmlformats.org/officeDocument/2006/relationships/hyperlink" Target="mailto:zamowienia.kwp@bk.policja.gov.pl" TargetMode="External"/><Relationship Id="rId14" Type="http://schemas.openxmlformats.org/officeDocument/2006/relationships/hyperlink" Target="https://platformazakupowa.pl/pn/kwp_bialysto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28</Pages>
  <Words>9026</Words>
  <Characters>54162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grażynasacharko</dc:creator>
  <cp:keywords/>
  <dc:description/>
  <cp:lastModifiedBy>grażynasacharko</cp:lastModifiedBy>
  <cp:revision>7</cp:revision>
  <cp:lastPrinted>2021-12-01T09:42:00Z</cp:lastPrinted>
  <dcterms:created xsi:type="dcterms:W3CDTF">2021-11-26T10:40:00Z</dcterms:created>
  <dcterms:modified xsi:type="dcterms:W3CDTF">2021-12-01T09:42:00Z</dcterms:modified>
</cp:coreProperties>
</file>