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color w:val="000000"/>
        </w:rPr>
      </w:pPr>
      <w:r>
        <w:rPr>
          <w:color w:val="000000"/>
        </w:rPr>
        <w:t>Załącznik nr 1 do SWZ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Wymagania techniczno-użytkowe dla  fabrycznie nowego </w:t>
      </w:r>
      <w:r>
        <w:rPr>
          <w:rFonts w:cs="Garamond" w:ascii="Garamond" w:hAnsi="Garamond"/>
          <w:b/>
          <w:bCs/>
          <w:iCs/>
          <w:color w:val="000000"/>
          <w:spacing w:val="-5"/>
        </w:rPr>
        <w:t>lekkiego samochodu rozpoznawczo- ratowniczego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3995" w:type="dxa"/>
        <w:jc w:val="left"/>
        <w:tblInd w:w="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9661"/>
        <w:gridCol w:w="3705"/>
      </w:tblGrid>
      <w:tr>
        <w:trPr/>
        <w:tc>
          <w:tcPr>
            <w:tcW w:w="629" w:type="dxa"/>
            <w:tcBorders/>
            <w:shd w:color="auto" w:fill="D9D9D9" w:themeFill="background1" w:themeFillShade="d9" w:val="clear"/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LP.</w:t>
            </w:r>
          </w:p>
        </w:tc>
        <w:tc>
          <w:tcPr>
            <w:tcW w:w="9661" w:type="dxa"/>
            <w:tcBorders/>
            <w:shd w:color="auto" w:fill="D9D9D9" w:themeFill="background1" w:themeFillShade="d9" w:val="clear"/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WARUNKI ZAMAWIAJACEGO</w:t>
            </w:r>
          </w:p>
        </w:tc>
        <w:tc>
          <w:tcPr>
            <w:tcW w:w="3705" w:type="dxa"/>
            <w:tcBorders/>
            <w:shd w:color="auto" w:fill="D9D9D9" w:themeFill="background1" w:themeFillShade="d9" w:val="clear"/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PROPOZYCJE WYKONAWCY</w:t>
            </w:r>
          </w:p>
        </w:tc>
      </w:tr>
      <w:tr>
        <w:trPr/>
        <w:tc>
          <w:tcPr>
            <w:tcW w:w="629" w:type="dxa"/>
            <w:tcBorders/>
            <w:shd w:color="auto" w:fill="D9D9D9" w:themeFill="background1" w:themeFillShade="d9" w:val="clear"/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I.</w:t>
            </w:r>
          </w:p>
        </w:tc>
        <w:tc>
          <w:tcPr>
            <w:tcW w:w="9661" w:type="dxa"/>
            <w:tcBorders/>
            <w:shd w:color="auto" w:fill="D9D9D9" w:themeFill="background1" w:themeFillShade="d9" w:val="clear"/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Warunki ogólne</w:t>
            </w:r>
          </w:p>
        </w:tc>
        <w:tc>
          <w:tcPr>
            <w:tcW w:w="3705" w:type="dxa"/>
            <w:tcBorders/>
            <w:shd w:color="auto" w:fill="D9D9D9" w:themeFill="background1" w:themeFillShade="d9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/>
        <w:tc>
          <w:tcPr>
            <w:tcW w:w="629" w:type="dxa"/>
            <w:vMerge w:val="restart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1.</w:t>
            </w:r>
          </w:p>
        </w:tc>
        <w:tc>
          <w:tcPr>
            <w:tcW w:w="966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Pojazd zabudowany i wyposażony spełnia następujące wymagania:</w:t>
            </w:r>
          </w:p>
        </w:tc>
        <w:tc>
          <w:tcPr>
            <w:tcW w:w="3705" w:type="dxa"/>
            <w:tcBorders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/>
        <w:tc>
          <w:tcPr>
            <w:tcW w:w="629" w:type="dxa"/>
            <w:vMerge w:val="continue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</w:r>
          </w:p>
        </w:tc>
        <w:tc>
          <w:tcPr>
            <w:tcW w:w="966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- ustawy z dnia 20 czerwca 1997 r. „Prawo o ruchu drogowym” (Dz. U. z 2021 r. poz. 450), wraz z przepisami wykonawczymi do ustawy,</w:t>
            </w:r>
          </w:p>
        </w:tc>
        <w:tc>
          <w:tcPr>
            <w:tcW w:w="3705" w:type="dxa"/>
            <w:tcBorders/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9" w:type="dxa"/>
            <w:vMerge w:val="continue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</w:r>
          </w:p>
        </w:tc>
        <w:tc>
          <w:tcPr>
            <w:tcW w:w="966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-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143, poz. 1002 ze zm.),  wraz z uszczegółowieniem tych wymogów i wyposażeniem podanym niżej.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Spełnienie ww. wymagań to dostarczenie, przedłożenie najpóźniej w dniu odbioru techniczno-jakościowego przedmiotu zamówienia aktualnego świadectwa dopuszczenia dla dostarczonego pojazdu o ile Maksymalna Masa Rzeczywista pojazdu przekracza 3000 kg  oraz sprzętu - jeżeli przedmiotowe świadectwa będą dla niego wymagane.</w:t>
            </w:r>
          </w:p>
        </w:tc>
        <w:tc>
          <w:tcPr>
            <w:tcW w:w="3705" w:type="dxa"/>
            <w:tcBorders/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9" w:type="dxa"/>
            <w:vMerge w:val="continue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</w:r>
          </w:p>
        </w:tc>
        <w:tc>
          <w:tcPr>
            <w:tcW w:w="966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-</w:t>
            </w:r>
            <w:r>
              <w:rPr>
                <w:rFonts w:eastAsia="Calibri"/>
                <w:color w:val="C9211E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</w:t>
            </w:r>
          </w:p>
        </w:tc>
        <w:tc>
          <w:tcPr>
            <w:tcW w:w="3705" w:type="dxa"/>
            <w:tcBorders/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9" w:type="dxa"/>
            <w:vMerge w:val="continue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</w:r>
          </w:p>
        </w:tc>
        <w:tc>
          <w:tcPr>
            <w:tcW w:w="966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- norm PN-EN 1846-1 oraz PN-EN 1846-2 o ile Maksymalna Masa Rzeczywista pojazdu przekracza 3000 kg</w:t>
            </w:r>
          </w:p>
        </w:tc>
        <w:tc>
          <w:tcPr>
            <w:tcW w:w="3705" w:type="dxa"/>
            <w:tcBorders/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9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2.</w:t>
            </w:r>
          </w:p>
        </w:tc>
        <w:tc>
          <w:tcPr>
            <w:tcW w:w="966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lang w:val="pl-PL" w:eastAsia="en-US" w:bidi="ar-SA"/>
              </w:rPr>
              <w:t>Pojazd powinien być oznakowany numerami operacyjnymi zgodnie z zarządzeniem nr 1 Komendanta Głównego Państwowej Straży Pożarnej z dnia 24 stycznia 2020 r. w sprawie gospodarki transportowej w jednostkach organizacyjnych Państwowej Straży Pożarnej.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lang w:val="pl-PL" w:eastAsia="en-US" w:bidi="ar-SA"/>
              </w:rPr>
              <w:t>Numer operacyjny zostanie podany przez zamawiającego w trakcie realizacji zamówienia.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 xml:space="preserve">Wykonawca wykona i umieści na pojeździe logo/loga projektu dofinansowującego. </w:t>
            </w:r>
            <w:r>
              <w:rPr>
                <w:rFonts w:eastAsia="Calibri" w:cs="Calibri"/>
                <w:color w:val="000000"/>
                <w:kern w:val="0"/>
                <w:lang w:val="pl-PL" w:eastAsia="en-US" w:bidi="ar-SA"/>
              </w:rPr>
              <w:t>Dokładny wygląd i jej miejsce mocowania zostanie wskazane przez Zamawiającego po podpisaniu umowy. Naklejkę należy wykonać na folii samoprzylepnej, odpornej na niekorzystne działanie warunków atmosferycznych. Wykonawca przekaże także Użytkownikowi pojazdu dodatkowe 3 szt. ww. naklejek  umożliwiających samodzielne ich naklejanie.</w:t>
            </w:r>
          </w:p>
        </w:tc>
        <w:tc>
          <w:tcPr>
            <w:tcW w:w="3705" w:type="dxa"/>
            <w:tcBorders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/>
        <w:tc>
          <w:tcPr>
            <w:tcW w:w="629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3.</w:t>
            </w:r>
          </w:p>
        </w:tc>
        <w:tc>
          <w:tcPr>
            <w:tcW w:w="966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Podwozie pojazdu musi posiadać świadectwo homologacji wydane przez właściwego Ministra lub świadectwo WE. W przypadku, gdy przekroczone zostały warunki zabudowy określone przez producenta podwozia wymagane jest świadectwo homologacji całego pojazdu oraz zgoda producenta podwozia na wykonanie zabudowy. Urządzenia i podzespoły zamontowane w pojeździe powinny spełniać wymagania odrębnych przepisów krajowych i/lub międzynarodowych.</w:t>
            </w:r>
          </w:p>
        </w:tc>
        <w:tc>
          <w:tcPr>
            <w:tcW w:w="3705" w:type="dxa"/>
            <w:tcBorders/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4.</w:t>
            </w:r>
          </w:p>
        </w:tc>
        <w:tc>
          <w:tcPr>
            <w:tcW w:w="96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Zmiany adaptacyjne pojazdu, dotyczące montażu wyposażenia, nie mogą powodować utraty ani ograniczać uprawnień wynikających z fabrycznej gwarancji producenta pojazdu.</w:t>
            </w:r>
          </w:p>
        </w:tc>
        <w:tc>
          <w:tcPr>
            <w:tcW w:w="3705" w:type="dxa"/>
            <w:tcBorders>
              <w:top w:val="nil"/>
            </w:tcBorders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9" w:type="dxa"/>
            <w:tcBorders/>
            <w:shd w:color="auto" w:fill="D9D9D9" w:themeFill="background1" w:themeFillShade="d9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II.</w:t>
            </w:r>
          </w:p>
        </w:tc>
        <w:tc>
          <w:tcPr>
            <w:tcW w:w="9661" w:type="dxa"/>
            <w:tcBorders/>
            <w:shd w:color="auto" w:fill="D9D9D9" w:themeFill="background1" w:themeFillShade="d9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Podwozie z kabiną i strefą bagażową</w:t>
            </w:r>
          </w:p>
        </w:tc>
        <w:tc>
          <w:tcPr>
            <w:tcW w:w="3705" w:type="dxa"/>
            <w:tcBorders/>
            <w:shd w:color="auto" w:fill="D9D9D9" w:themeFill="background1" w:themeFillShade="d9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/>
        <w:tc>
          <w:tcPr>
            <w:tcW w:w="629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1.</w:t>
            </w:r>
          </w:p>
        </w:tc>
        <w:tc>
          <w:tcPr>
            <w:tcW w:w="966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Pojazd fabrycznie nowy. Rok produkcji podwozia nie starszy niż 2024.</w:t>
            </w:r>
          </w:p>
        </w:tc>
        <w:tc>
          <w:tcPr>
            <w:tcW w:w="3705" w:type="dxa"/>
            <w:tcBorders/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Podać producenta, typ i model podwozia oraz rok produkcji</w:t>
            </w:r>
            <w:r>
              <w:rPr>
                <w:rFonts w:eastAsia="Calibri"/>
                <w:b/>
                <w:color w:val="000000"/>
                <w:kern w:val="0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629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2.</w:t>
            </w:r>
          </w:p>
        </w:tc>
        <w:tc>
          <w:tcPr>
            <w:tcW w:w="966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highlight w:val="none"/>
                <w:shd w:fill="FFFFFF" w:val="clear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hd w:fill="FFFFFF" w:val="clear"/>
                <w:lang w:val="pl-PL" w:eastAsia="en-US" w:bidi="ar-SA"/>
              </w:rPr>
              <w:t>Minimalne parametry: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lang w:val="pl-PL" w:eastAsia="en-US" w:bidi="ar-SA"/>
              </w:rPr>
              <w:t>Kąt natarcia (°)                                   19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lang w:val="pl-PL" w:eastAsia="en-US" w:bidi="ar-SA"/>
              </w:rPr>
              <w:t>Kąt zejścia (°)</w:t>
              <w:tab/>
              <w:t xml:space="preserve">                                    20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lang w:val="pl-PL" w:eastAsia="en-US" w:bidi="ar-SA"/>
              </w:rPr>
              <w:t>Kąt rampowy (°)</w:t>
              <w:tab/>
              <w:t xml:space="preserve">                        20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lang w:val="pl-PL" w:eastAsia="en-US" w:bidi="ar-SA"/>
              </w:rPr>
              <w:t>Prześwit poprzeczny (mm)</w:t>
              <w:tab/>
              <w:t xml:space="preserve">            220</w:t>
            </w:r>
          </w:p>
        </w:tc>
        <w:tc>
          <w:tcPr>
            <w:tcW w:w="3705" w:type="dxa"/>
            <w:tcBorders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/>
        <w:tc>
          <w:tcPr>
            <w:tcW w:w="629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3.</w:t>
            </w:r>
          </w:p>
        </w:tc>
        <w:tc>
          <w:tcPr>
            <w:tcW w:w="966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 xml:space="preserve">Podwozie samochodu z silnikiem wysokoprężnym o zapłonie samoczynnym o mocy minimum </w:t>
              <w:br/>
              <w:t>140 kW spełniającym wymogi normy EURO 6. Pojemność silnika nie mniejsza niż 2000 cm3</w:t>
            </w:r>
          </w:p>
        </w:tc>
        <w:tc>
          <w:tcPr>
            <w:tcW w:w="3705" w:type="dxa"/>
            <w:tcBorders/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 xml:space="preserve">Podać wartość. </w:t>
            </w:r>
            <w:r>
              <w:rPr>
                <w:rFonts w:eastAsia="Calibri"/>
                <w:i/>
                <w:color w:val="000000"/>
                <w:kern w:val="0"/>
                <w:lang w:val="pl-PL" w:eastAsia="en-US" w:bidi="ar-SA"/>
              </w:rPr>
              <w:t>Moc silnika jest parametrem promowanym</w:t>
            </w:r>
          </w:p>
        </w:tc>
      </w:tr>
      <w:tr>
        <w:trPr/>
        <w:tc>
          <w:tcPr>
            <w:tcW w:w="629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4.</w:t>
            </w:r>
          </w:p>
        </w:tc>
        <w:tc>
          <w:tcPr>
            <w:tcW w:w="966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 xml:space="preserve">Maksymalna masa rzeczywista (MMR) samochodu gotowego do jazdy, rozkład tej masy na osie oraz masa przypadająca na każdą z osi nie przekracza maksymalnych wartości określonych przez producenta pojazdu lub podwozia bazowego. </w:t>
            </w:r>
            <w:r>
              <w:rPr>
                <w:rFonts w:eastAsia="Calibri"/>
                <w:color w:themeColor="text1" w:val="000000"/>
                <w:kern w:val="0"/>
                <w:lang w:val="pl-PL" w:eastAsia="en-US" w:bidi="ar-SA"/>
              </w:rPr>
              <w:t>Rezerwa masy min. 5%.</w:t>
            </w:r>
          </w:p>
        </w:tc>
        <w:tc>
          <w:tcPr>
            <w:tcW w:w="3705" w:type="dxa"/>
            <w:tcBorders/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9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5.</w:t>
            </w:r>
          </w:p>
        </w:tc>
        <w:tc>
          <w:tcPr>
            <w:tcW w:w="966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 xml:space="preserve">Skrzynia biegów manualna </w:t>
            </w:r>
            <w:r>
              <w:rPr>
                <w:rFonts w:eastAsia="Calibri" w:cs="Calibri"/>
                <w:color w:val="000000"/>
                <w:kern w:val="0"/>
                <w:lang w:val="pl-PL" w:eastAsia="en-US" w:bidi="ar-SA"/>
              </w:rPr>
              <w:t xml:space="preserve">zautomatyzowana </w:t>
            </w: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lub automatyczna.</w:t>
            </w:r>
          </w:p>
        </w:tc>
        <w:tc>
          <w:tcPr>
            <w:tcW w:w="3705" w:type="dxa"/>
            <w:tcBorders/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rFonts w:eastAsia="Calibri"/>
                <w:i/>
                <w:kern w:val="0"/>
                <w:lang w:val="pl-PL" w:eastAsia="en-US" w:bidi="ar-SA"/>
              </w:rPr>
              <w:t>Rodzaj skrzyni biegów jest  parametrem promowanym</w:t>
            </w:r>
          </w:p>
        </w:tc>
      </w:tr>
      <w:tr>
        <w:trPr/>
        <w:tc>
          <w:tcPr>
            <w:tcW w:w="629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6.</w:t>
            </w:r>
          </w:p>
        </w:tc>
        <w:tc>
          <w:tcPr>
            <w:tcW w:w="966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Dopuszczalna Masa Całkowita nie większa niż 3500 kg</w:t>
            </w:r>
          </w:p>
        </w:tc>
        <w:tc>
          <w:tcPr>
            <w:tcW w:w="3705" w:type="dxa"/>
            <w:tcBorders/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7.</w:t>
            </w:r>
          </w:p>
        </w:tc>
        <w:tc>
          <w:tcPr>
            <w:tcW w:w="96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>Kolor pojazdu - biały, czerwony lub srebrny</w:t>
            </w:r>
          </w:p>
        </w:tc>
        <w:tc>
          <w:tcPr>
            <w:tcW w:w="3705" w:type="dxa"/>
            <w:tcBorders>
              <w:top w:val="nil"/>
            </w:tcBorders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8.</w:t>
            </w:r>
          </w:p>
        </w:tc>
        <w:tc>
          <w:tcPr>
            <w:tcW w:w="96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Orurowanie przednie pojazdu</w:t>
            </w:r>
          </w:p>
        </w:tc>
        <w:tc>
          <w:tcPr>
            <w:tcW w:w="3705" w:type="dxa"/>
            <w:tcBorders>
              <w:top w:val="nil"/>
            </w:tcBorders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9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</w:r>
          </w:p>
        </w:tc>
        <w:tc>
          <w:tcPr>
            <w:tcW w:w="966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</w:r>
          </w:p>
          <w:p>
            <w:pPr>
              <w:pStyle w:val="Normal"/>
              <w:numPr>
                <w:ilvl w:val="0"/>
                <w:numId w:val="8"/>
              </w:numPr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Pojazd typu PICKUP z kabiną 4 drzwiową pięcioosobową (siedzenia przodem do kierunku jazdy) oraz  napędem 4 x 4  - stałym napędem obydwu osi lub z dołączanym napędem osi przedniej z blokadą tylnego mostu. Przestrzeń bagażowa/sprzętowa powinna posiadać zabudowę (np. typu „hard top"), o wysokości zbliżonej do wysokości kabiny, z możliwością łatwego dostępu do wnętrza,</w:t>
            </w:r>
          </w:p>
          <w:p>
            <w:pPr>
              <w:pStyle w:val="Normal"/>
              <w:numPr>
                <w:ilvl w:val="0"/>
                <w:numId w:val="8"/>
              </w:numPr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Hak holowniczy kulowy do holowania przyczepy o dopuszczalnej masie całkowitej dostosowanej do masy samochodu, wraz ze złączem elektrycznym (gniazdo 13- pinowe oraz dodatkowo adapter przejściówka 13/7.</w:t>
            </w:r>
          </w:p>
          <w:p>
            <w:pPr>
              <w:pStyle w:val="Normal"/>
              <w:suppressAutoHyphens w:val="true"/>
              <w:spacing w:before="0" w:after="0"/>
              <w:ind w:left="72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Hak przystosowany do holowania przyczepy bez hamulca o dopuszczalnej masie całkowitej do 750 kg, oraz przyczepy z hamulcem o dopuszczalnej masie całkowitej co najmniej 2500 kg.</w:t>
            </w:r>
          </w:p>
          <w:p>
            <w:pPr>
              <w:pStyle w:val="Normal"/>
              <w:numPr>
                <w:ilvl w:val="0"/>
                <w:numId w:val="8"/>
              </w:numPr>
              <w:suppressAutoHyphens w:val="true"/>
              <w:spacing w:before="0" w:after="0"/>
              <w:rPr>
                <w:rFonts w:eastAsia="Calibri"/>
                <w:kern w:val="0"/>
                <w:highlight w:val="none"/>
                <w:shd w:fill="FFFFFF" w:val="clear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shd w:fill="FFFFFF" w:val="clear"/>
                <w:lang w:val="pl-PL" w:eastAsia="en-US" w:bidi="ar-SA"/>
              </w:rPr>
              <w:t xml:space="preserve">Wyciągarka o napędzie elektrycznym, zamontowana z przodu pojazdu, minimalna siła uciągu co najmniej równa 5400 kg, wyciągarka wyposażona w: linę syntetyczną o długości użytkowej minimum 20 m zakończoną kauszą i hakiem, rolkową lub ślizgową prowadnicę liny, zestaw szekli, taśm i zblocze, sterowana przewodowo i bezprzewodowo. </w:t>
              <w:br/>
              <w:t>W przypadku zamontowania wciągarki wystającej poza obrys pojazdu należy ją zabezpieczyć orurowaniem oraz wyposażyć w pokrowiec. Wyciągarka powinna posiadać niezależne zabezpieczenie zasilania elektrycznego, zabezpieczające instalacje elektryczną pojazdu przed uszkodzeniem w momencie przeciążenia wyciągarki. Przy wciągarce wykonać punkt mocowania szekli, umożliwiający wyciąganie pojazdu układem ruchomego bloczka. ,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</w:r>
          </w:p>
        </w:tc>
        <w:tc>
          <w:tcPr>
            <w:tcW w:w="3705" w:type="dxa"/>
            <w:tcBorders/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9.</w:t>
            </w:r>
          </w:p>
        </w:tc>
        <w:tc>
          <w:tcPr>
            <w:tcW w:w="96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Instalacja elektryczna - moc alternatora, pojemność akumulatorów zapewnia pełne zapotrzebowanie na energię elektryczną przy jej maksymalnym obciążeniu.</w:t>
            </w:r>
          </w:p>
        </w:tc>
        <w:tc>
          <w:tcPr>
            <w:tcW w:w="3705" w:type="dxa"/>
            <w:tcBorders>
              <w:top w:val="nil"/>
            </w:tcBorders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10</w:t>
            </w:r>
          </w:p>
        </w:tc>
        <w:tc>
          <w:tcPr>
            <w:tcW w:w="96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highlight w:val="none"/>
                <w:shd w:fill="FFFFFF" w:val="clear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shd w:fill="FFFFFF" w:val="clear"/>
                <w:lang w:val="pl-PL" w:eastAsia="en-US" w:bidi="ar-SA"/>
              </w:rPr>
              <w:t>Instalacja elektryczna wyposażona w jeden wyłącznik do odłączania urządzeń dodatkowo zamontowanych w pojeździe (np. ładowarki latarek i radiotelefonów, radiotelefony, urządzenia sygnalizacyjno-akustyczne) z wyłączeniem terminala AVL.</w:t>
            </w:r>
          </w:p>
        </w:tc>
        <w:tc>
          <w:tcPr>
            <w:tcW w:w="3705" w:type="dxa"/>
            <w:tcBorders>
              <w:top w:val="nil"/>
            </w:tcBorders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color="auto" w:fill="DDDDDD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III</w:t>
            </w:r>
          </w:p>
        </w:tc>
        <w:tc>
          <w:tcPr>
            <w:tcW w:w="9661" w:type="dxa"/>
            <w:tcBorders>
              <w:top w:val="nil"/>
            </w:tcBorders>
            <w:shd w:color="auto" w:fill="DDDDDD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Wyposażenie pojazdu</w:t>
            </w:r>
          </w:p>
        </w:tc>
        <w:tc>
          <w:tcPr>
            <w:tcW w:w="3705" w:type="dxa"/>
            <w:tcBorders>
              <w:top w:val="nil"/>
            </w:tcBorders>
            <w:shd w:color="auto" w:fill="DDDDDD" w:val="clear"/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1.</w:t>
            </w:r>
          </w:p>
        </w:tc>
        <w:tc>
          <w:tcPr>
            <w:tcW w:w="9661" w:type="dxa"/>
            <w:tcBorders>
              <w:top w:val="nil"/>
            </w:tcBorders>
            <w:shd w:color="auto" w:fill="auto" w:val="clear"/>
          </w:tcPr>
          <w:p>
            <w:pPr>
              <w:pStyle w:val="BodyText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Wyposażenie pojazdu</w:t>
            </w:r>
          </w:p>
          <w:p>
            <w:pPr>
              <w:pStyle w:val="BodyText"/>
              <w:numPr>
                <w:ilvl w:val="0"/>
                <w:numId w:val="10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System elektronicznej kontroli toru jazdy z systemami: Ochroną przed dachowaniem, System kontroli zjazdu ze wzniesienia, Asystent ruszania na wzniesieniu, System kontroli kołysania przyczepy,</w:t>
            </w:r>
          </w:p>
          <w:p>
            <w:pPr>
              <w:pStyle w:val="BodyText"/>
              <w:numPr>
                <w:ilvl w:val="0"/>
                <w:numId w:val="10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pl-PL" w:eastAsia="en-US" w:bidi="ar-SA"/>
              </w:rPr>
              <w:t xml:space="preserve">System monitorowania ciśnienia w </w:t>
            </w:r>
            <w:r>
              <w:rPr>
                <w:rFonts w:eastAsia="Calibri"/>
                <w:kern w:val="0"/>
                <w:shd w:fill="FFFFFF" w:val="clear"/>
                <w:lang w:val="pl-PL" w:eastAsia="en-US" w:bidi="ar-SA"/>
              </w:rPr>
              <w:t>oponach</w:t>
            </w:r>
          </w:p>
          <w:p>
            <w:pPr>
              <w:pStyle w:val="BodyText"/>
              <w:numPr>
                <w:ilvl w:val="0"/>
                <w:numId w:val="10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highlight w:val="none"/>
                <w:shd w:fill="FFFFFF" w:val="clear"/>
                <w:lang w:val="pl-PL" w:eastAsia="en-US" w:bidi="ar-SA"/>
              </w:rPr>
            </w:pPr>
            <w:r>
              <w:rPr>
                <w:rFonts w:eastAsia="Calibri"/>
                <w:kern w:val="0"/>
                <w:shd w:fill="FFFFFF" w:val="clear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hd w:fill="FFFFFF" w:val="clear"/>
                <w:lang w:val="pl-PL" w:eastAsia="en-US" w:bidi="ar-SA"/>
              </w:rPr>
              <w:t>6 poduszek powietrznych (przednie, boczne w fotelach przednich, kurtyny powietrzne)</w:t>
            </w:r>
          </w:p>
          <w:p>
            <w:pPr>
              <w:pStyle w:val="BodyText"/>
              <w:numPr>
                <w:ilvl w:val="0"/>
                <w:numId w:val="10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highlight w:val="none"/>
                <w:shd w:fill="FFFFFF" w:val="clear"/>
                <w:lang w:val="pl-PL" w:eastAsia="en-US" w:bidi="ar-SA"/>
              </w:rPr>
            </w:pPr>
            <w:r>
              <w:rPr>
                <w:rFonts w:eastAsia="Calibri"/>
                <w:kern w:val="0"/>
                <w:shd w:fill="FFFFFF" w:val="clear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hd w:fill="FFFFFF" w:val="clear"/>
                <w:lang w:val="pl-PL" w:eastAsia="en-US" w:bidi="ar-SA"/>
              </w:rPr>
              <w:t>Immobiliser i Alarm</w:t>
            </w:r>
          </w:p>
          <w:p>
            <w:pPr>
              <w:pStyle w:val="BodyText"/>
              <w:numPr>
                <w:ilvl w:val="0"/>
                <w:numId w:val="10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highlight w:val="none"/>
                <w:shd w:fill="FFFFFF" w:val="clear"/>
                <w:lang w:val="pl-PL" w:eastAsia="en-US" w:bidi="ar-SA"/>
              </w:rPr>
            </w:pPr>
            <w:r>
              <w:rPr>
                <w:rFonts w:eastAsia="Calibri"/>
                <w:kern w:val="0"/>
                <w:shd w:fill="FFFFFF" w:val="clear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hd w:fill="FFFFFF" w:val="clear"/>
                <w:lang w:val="pl-PL" w:eastAsia="en-US" w:bidi="ar-SA"/>
              </w:rPr>
              <w:t>LED-owe reflektory przednie, kierunkowskazy, światła do jazdy dziennej, przednie reflektory przeciwmgielne,</w:t>
            </w:r>
          </w:p>
          <w:p>
            <w:pPr>
              <w:pStyle w:val="BodyText"/>
              <w:numPr>
                <w:ilvl w:val="0"/>
                <w:numId w:val="10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highlight w:val="none"/>
                <w:shd w:fill="FFFFFF" w:val="clear"/>
                <w:lang w:val="pl-PL" w:eastAsia="en-US" w:bidi="ar-SA"/>
              </w:rPr>
            </w:pPr>
            <w:r>
              <w:rPr>
                <w:rFonts w:eastAsia="Calibri"/>
                <w:kern w:val="0"/>
                <w:shd w:fill="FFFFFF" w:val="clear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hd w:fill="FFFFFF" w:val="clear"/>
                <w:lang w:val="pl-PL" w:eastAsia="en-US" w:bidi="ar-SA"/>
              </w:rPr>
              <w:t>Szyba od strony kierowcy z zabezpieczeniem przed przycięciem palców</w:t>
            </w:r>
          </w:p>
          <w:p>
            <w:pPr>
              <w:pStyle w:val="BodyText"/>
              <w:numPr>
                <w:ilvl w:val="0"/>
                <w:numId w:val="10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highlight w:val="none"/>
                <w:shd w:fill="FFFFFF" w:val="clear"/>
                <w:lang w:val="pl-PL" w:eastAsia="en-US" w:bidi="ar-SA"/>
              </w:rPr>
            </w:pPr>
            <w:r>
              <w:rPr>
                <w:rFonts w:eastAsia="Calibri"/>
                <w:kern w:val="0"/>
                <w:shd w:fill="FFFFFF" w:val="clear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hd w:fill="FFFFFF" w:val="clear"/>
                <w:lang w:val="pl-PL" w:eastAsia="en-US" w:bidi="ar-SA"/>
              </w:rPr>
              <w:t>Hydrauliczne wspomaganie kierownicy zależne od prędkości jazdy</w:t>
            </w:r>
          </w:p>
          <w:p>
            <w:pPr>
              <w:pStyle w:val="BodyText"/>
              <w:numPr>
                <w:ilvl w:val="0"/>
                <w:numId w:val="10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shd w:fill="FFFFFF" w:val="clear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hd w:fill="FFFFFF" w:val="clear"/>
                <w:lang w:val="pl-PL" w:eastAsia="en-US" w:bidi="ar-SA"/>
              </w:rPr>
              <w:t>Kierownica regulowana w dwóch płaszc</w:t>
            </w:r>
            <w:r>
              <w:rPr>
                <w:rFonts w:eastAsia="Calibri"/>
                <w:kern w:val="0"/>
                <w:lang w:val="pl-PL" w:eastAsia="en-US" w:bidi="ar-SA"/>
              </w:rPr>
              <w:t>zyznach,</w:t>
            </w:r>
          </w:p>
          <w:p>
            <w:pPr>
              <w:pStyle w:val="BodyText"/>
              <w:numPr>
                <w:ilvl w:val="0"/>
                <w:numId w:val="10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pl-PL" w:eastAsia="en-US" w:bidi="ar-SA"/>
              </w:rPr>
              <w:t>Lusterka zewnętrzne elektrycznie regulowane, składane i podgrzewane z kierunkowskazem</w:t>
            </w:r>
          </w:p>
          <w:p>
            <w:pPr>
              <w:pStyle w:val="BodyText"/>
              <w:numPr>
                <w:ilvl w:val="0"/>
                <w:numId w:val="10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pl-PL" w:eastAsia="en-US" w:bidi="ar-SA"/>
              </w:rPr>
              <w:t>Fotel kierowcy z regulacją wysokości</w:t>
            </w:r>
          </w:p>
          <w:p>
            <w:pPr>
              <w:pStyle w:val="BodyText"/>
              <w:numPr>
                <w:ilvl w:val="0"/>
                <w:numId w:val="10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pl-PL" w:eastAsia="en-US" w:bidi="ar-SA"/>
              </w:rPr>
              <w:t>Czujnik zmierzchu i czujnik deszczu</w:t>
            </w:r>
          </w:p>
          <w:p>
            <w:pPr>
              <w:pStyle w:val="BodyText"/>
              <w:numPr>
                <w:ilvl w:val="0"/>
                <w:numId w:val="10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pl-PL" w:eastAsia="en-US" w:bidi="ar-SA"/>
              </w:rPr>
              <w:t>Centralny zamek</w:t>
            </w:r>
          </w:p>
          <w:p>
            <w:pPr>
              <w:pStyle w:val="BodyText"/>
              <w:numPr>
                <w:ilvl w:val="0"/>
                <w:numId w:val="10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pl-PL" w:eastAsia="en-US" w:bidi="ar-SA"/>
              </w:rPr>
              <w:t>2 gniazda USB typu C z przodu</w:t>
            </w:r>
          </w:p>
          <w:p>
            <w:pPr>
              <w:pStyle w:val="BodyText"/>
              <w:numPr>
                <w:ilvl w:val="0"/>
                <w:numId w:val="10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pl-PL" w:eastAsia="en-US" w:bidi="ar-SA"/>
              </w:rPr>
              <w:t>Elektrycznie sterowane szyby</w:t>
            </w:r>
          </w:p>
          <w:p>
            <w:pPr>
              <w:pStyle w:val="BodyText"/>
              <w:numPr>
                <w:ilvl w:val="0"/>
                <w:numId w:val="10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pl-PL" w:eastAsia="en-US" w:bidi="ar-SA"/>
              </w:rPr>
              <w:t>Czujniki parkowania: przód / tył</w:t>
            </w:r>
          </w:p>
          <w:p>
            <w:pPr>
              <w:pStyle w:val="BodyText"/>
              <w:numPr>
                <w:ilvl w:val="0"/>
                <w:numId w:val="10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pl-PL" w:eastAsia="en-US" w:bidi="ar-SA"/>
              </w:rPr>
              <w:t>Osłony przeciwsłoneczne z lusterkami i podświetleniem</w:t>
            </w:r>
          </w:p>
          <w:p>
            <w:pPr>
              <w:pStyle w:val="BodyText"/>
              <w:numPr>
                <w:ilvl w:val="0"/>
                <w:numId w:val="10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14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Blokada tylnego mostu</w:t>
            </w:r>
          </w:p>
          <w:p>
            <w:pPr>
              <w:pStyle w:val="BodyText"/>
              <w:numPr>
                <w:ilvl w:val="0"/>
                <w:numId w:val="10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14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pl-PL" w:eastAsia="en-US" w:bidi="ar-SA"/>
              </w:rPr>
              <w:t>System ostrzegania i samoczynnego hamowania w przypadku ryzyka kolizji</w:t>
            </w:r>
          </w:p>
          <w:p>
            <w:pPr>
              <w:pStyle w:val="BodyText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pl-PL" w:eastAsia="en-US" w:bidi="ar-SA"/>
              </w:rPr>
              <w:t>System ostrzegania przed niezamierzoną zmianą pasa ruchu</w:t>
            </w:r>
          </w:p>
          <w:p>
            <w:pPr>
              <w:pStyle w:val="BodyText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pl-PL" w:eastAsia="en-US" w:bidi="ar-SA"/>
              </w:rPr>
              <w:t>System automatycznej zmiany świateł: drogowe / mijania</w:t>
            </w:r>
          </w:p>
          <w:p>
            <w:pPr>
              <w:pStyle w:val="BodyText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pl-PL" w:eastAsia="en-US" w:bidi="ar-SA"/>
              </w:rPr>
              <w:t>Alert o niebezpiecznej odległości od poprzedzającego pojazdu</w:t>
            </w:r>
          </w:p>
          <w:p>
            <w:pPr>
              <w:pStyle w:val="BodyText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pl-PL" w:eastAsia="en-US" w:bidi="ar-SA"/>
              </w:rPr>
              <w:t>Klimatyzacja automatyczna dwustrefowa</w:t>
            </w:r>
          </w:p>
          <w:p>
            <w:pPr>
              <w:pStyle w:val="BodyText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pl-PL" w:eastAsia="en-US" w:bidi="ar-SA"/>
              </w:rPr>
              <w:t>Oświetlenie okolic pojazdu w lusterkach</w:t>
            </w:r>
          </w:p>
          <w:p>
            <w:pPr>
              <w:pStyle w:val="BodyText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pl-PL" w:eastAsia="en-US" w:bidi="ar-SA"/>
              </w:rPr>
              <w:t>Monitorowanie martwego pola z asystentem</w:t>
            </w:r>
          </w:p>
          <w:p>
            <w:pPr>
              <w:pStyle w:val="BodyText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pl-PL" w:eastAsia="en-US" w:bidi="ar-SA"/>
              </w:rPr>
              <w:t>System monitoro</w:t>
            </w:r>
            <w:r>
              <w:rPr>
                <w:rFonts w:eastAsia="Calibri"/>
                <w:kern w:val="0"/>
                <w:shd w:fill="FFFFFF" w:val="clear"/>
                <w:lang w:val="pl-PL" w:eastAsia="en-US" w:bidi="ar-SA"/>
              </w:rPr>
              <w:t>wania ruchu za pojazdem z asystentem</w:t>
            </w:r>
          </w:p>
          <w:p>
            <w:pPr>
              <w:pStyle w:val="BodyText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highlight w:val="none"/>
                <w:shd w:fill="FFFFFF" w:val="clear"/>
                <w:lang w:val="pl-PL" w:eastAsia="en-US" w:bidi="ar-SA"/>
              </w:rPr>
            </w:pPr>
            <w:r>
              <w:rPr>
                <w:rFonts w:eastAsia="Calibri"/>
                <w:kern w:val="0"/>
                <w:shd w:fill="FFFFFF" w:val="clear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hd w:fill="FFFFFF" w:val="clear"/>
                <w:lang w:val="pl-PL" w:eastAsia="en-US" w:bidi="ar-SA"/>
              </w:rPr>
              <w:t>Tempomat adaptacyjny</w:t>
            </w:r>
          </w:p>
          <w:p>
            <w:pPr>
              <w:pStyle w:val="BodyText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highlight w:val="none"/>
                <w:shd w:fill="FFFFFF" w:val="clear"/>
                <w:lang w:val="pl-PL" w:eastAsia="en-US" w:bidi="ar-SA"/>
              </w:rPr>
            </w:pPr>
            <w:r>
              <w:rPr>
                <w:rFonts w:eastAsia="Calibri"/>
                <w:kern w:val="0"/>
                <w:shd w:fill="FFFFFF" w:val="clear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hd w:fill="FFFFFF" w:val="clear"/>
                <w:lang w:val="pl-PL" w:eastAsia="en-US" w:bidi="ar-SA"/>
              </w:rPr>
              <w:t>Nawigacja z odtwarzaczem AV (Audio Video)</w:t>
            </w:r>
          </w:p>
          <w:p>
            <w:pPr>
              <w:pStyle w:val="BodyText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highlight w:val="none"/>
                <w:shd w:fill="FFFFFF" w:val="clear"/>
                <w:lang w:val="pl-PL" w:eastAsia="en-US" w:bidi="ar-SA"/>
              </w:rPr>
            </w:pPr>
            <w:r>
              <w:rPr>
                <w:rFonts w:eastAsia="Calibri"/>
                <w:kern w:val="0"/>
                <w:shd w:fill="FFFFFF" w:val="clear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hd w:fill="FFFFFF" w:val="clear"/>
                <w:lang w:val="pl-PL" w:eastAsia="en-US" w:bidi="ar-SA"/>
              </w:rPr>
              <w:t>System kamer 360 stopni,  obraz wyświetlany jest odrębnym wyświetlaczem niż wyświetlacz graficznego terminala statusów.</w:t>
            </w:r>
          </w:p>
          <w:p>
            <w:pPr>
              <w:pStyle w:val="BodyText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pl-PL" w:eastAsia="en-US" w:bidi="ar-SA"/>
              </w:rPr>
              <w:t>Elektryczne wspomaganie kierownicy</w:t>
            </w:r>
          </w:p>
          <w:p>
            <w:pPr>
              <w:pStyle w:val="BodyText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pl-PL" w:eastAsia="en-US" w:bidi="ar-SA"/>
              </w:rPr>
              <w:t>Minimum 18" felgi aluminiowe</w:t>
            </w:r>
          </w:p>
          <w:p>
            <w:pPr>
              <w:pStyle w:val="BodyText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pl-PL" w:eastAsia="en-US" w:bidi="ar-SA"/>
              </w:rPr>
              <w:t>Nakładka na próg drzwi przednich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Ogumienie szosowe letnie, bieżnik dostosowanym do różnych warunków atmosferycznych, oraz dodatkowo kpl opon zimowych.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</w:r>
          </w:p>
        </w:tc>
        <w:tc>
          <w:tcPr>
            <w:tcW w:w="3705" w:type="dxa"/>
            <w:tcBorders>
              <w:top w:val="nil"/>
            </w:tcBorders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color="auto" w:fill="DDDDDD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IV.</w:t>
            </w:r>
          </w:p>
        </w:tc>
        <w:tc>
          <w:tcPr>
            <w:tcW w:w="9661" w:type="dxa"/>
            <w:tcBorders>
              <w:top w:val="nil"/>
            </w:tcBorders>
            <w:shd w:color="auto" w:fill="DDDDDD" w:val="clear"/>
          </w:tcPr>
          <w:p>
            <w:pPr>
              <w:pStyle w:val="BodyText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Wyposażenie pożarnicze</w:t>
            </w:r>
          </w:p>
        </w:tc>
        <w:tc>
          <w:tcPr>
            <w:tcW w:w="3705" w:type="dxa"/>
            <w:tcBorders>
              <w:top w:val="nil"/>
            </w:tcBorders>
            <w:shd w:color="auto" w:fill="DDDDDD" w:val="clear"/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669" w:hRule="atLeast"/>
        </w:trPr>
        <w:tc>
          <w:tcPr>
            <w:tcW w:w="629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1.</w:t>
            </w:r>
          </w:p>
        </w:tc>
        <w:tc>
          <w:tcPr>
            <w:tcW w:w="966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Kabina wyposażona dodatkowo w: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indywidualne oświetlenie nad siedzeniem dowódcy,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radiotelefon samochodowy (przewoźny) dwuzakresowy analogowy i cyfrowy  (szyfrowanie min. w standardzie ARC4 kluczem o długości 40 bit)- 2 szt z instalacją antenową na pasmo radiowe 148 MHz. Anteny 1/4 fali, zysk anteny 2,15 dBi, dostosowane do rodzaju zabudowy (metalowa/kompozytowa), zainstalowane na dachu pojazdu/kabiny kierowcy zgodnie z zaleceniami producenta anteny, zestrojone na częstotliwości 149.000 MH. Jeden z radiotelefonów z możliwością przełączania na zewnętrzny maszt antenowy. Obydwa radiotelefony wyposażone w mikrofonogłośnik bluetooth, umożliwiający bezprzewodowe prowadzenie korespondencji radiowej na zewnątrz pojazdu.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Terminal AVL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Gniazdo elektryczne 12 V (gniazdo zapalniczki),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lang w:val="pl-PL" w:eastAsia="en-US" w:bidi="ar-SA"/>
              </w:rPr>
              <w:t>Wideorejestrator z kartą pamięci - ekran LCD o przekątnej min. 2,4", rozdzielczość nagrywania min. Full HD (1920x1080 px) w dzień i w nocy (nagrywanie w pętli), rozdzielczość zdjęć minimum 4 Mpix, czujnik wstrząsów, automatyczne nagrywanie zdarzeń, czytnik kart pamięci, micro USB, szerokokątna kamera o kącie widzenia minimum 140˚ bez martwej strefy, możliwość wyjęcia urządzenia z samochodu i wykonania dokumentacji zdjęciowej z wypadków lub innych zdarzeń na drodze, sensor przeciążeń. Kartą pamięci min. 64 GB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 xml:space="preserve">Radiotelefony muszą spełniać minimalne wymagania techniczno-funkcjonalne określone </w:t>
              <w:br/>
              <w:t>w załączniku nr 3 do instrukcji stanowiącej załącznik do rozkazu nr 8 Komendanta Głównego PSP z dnia 5 kwietnia 2019 r. w sprawie wprowadzenia nowych zasad organizacji łączności w radiowej (</w:t>
            </w:r>
            <w:r>
              <w:rPr>
                <w:rFonts w:eastAsia="Times New Roman"/>
                <w:color w:val="000000"/>
                <w:kern w:val="0"/>
                <w:lang w:val="pl-PL" w:eastAsia="pl-PL" w:bidi="ar-SA"/>
              </w:rPr>
              <w:t>Dz.Urz.KGPSP.2019.7)</w:t>
            </w: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.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Radiotelefony powinny być zaprogramowane na podstawie danych (obsady kanałowej) podanych w trakcie realizacji umowy przez zamawiającego.</w:t>
            </w:r>
          </w:p>
          <w:p>
            <w:pPr>
              <w:pStyle w:val="Normal"/>
              <w:tabs>
                <w:tab w:val="clear" w:pos="708"/>
                <w:tab w:val="right" w:pos="-267" w:leader="none"/>
              </w:tabs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</w:r>
          </w:p>
        </w:tc>
        <w:tc>
          <w:tcPr>
            <w:tcW w:w="3705" w:type="dxa"/>
            <w:tcBorders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5669" w:hRule="atLeast"/>
        </w:trPr>
        <w:tc>
          <w:tcPr>
            <w:tcW w:w="6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2.</w:t>
            </w:r>
          </w:p>
        </w:tc>
        <w:tc>
          <w:tcPr>
            <w:tcW w:w="96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Przedział bagażowy wyposażany w: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Gniazdo elektryczne 12 V (gniazdo zapalniczki), zamontowane w przedziale bagażowym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Oświetlenie w przedziale bagażowym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Zbijak do szyb z nożem do cięcia pasów bezpieczeństwa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Wielofunkcyjne narzędzie ratownicze do wejść siłowych typy T1 z możliwością cięcia prętów min. fi 14 lub podobne o nie gorszych parametrach technicznych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spacing w:before="0" w:after="0"/>
              <w:rPr>
                <w:rFonts w:eastAsia="Calibri"/>
                <w:kern w:val="0"/>
                <w:highlight w:val="none"/>
                <w:shd w:fill="FFFFFF" w:val="clear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shd w:fill="FFFFFF" w:val="clear"/>
                <w:lang w:val="pl-PL" w:eastAsia="en-US" w:bidi="ar-SA"/>
              </w:rPr>
              <w:t>Miernik wielogazowy z pomiarem:  O2, CO, H2S i gazów wybuchowych. Rozdzielczość pomiaru CO od 1ppm, H2S od 0,1ppm, gazy wybuchowe 0,1% LEL ( DGW ), a tlen od 0,1%v/v. Wykonany w klasie IP67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Gaśnica przenośna proszkowa, min. 4 kg proszku ABC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Koc gaśniczy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Latarka akumulatorowa w wykonaniu co najmniej: EEx, IIC, T4, wraz z ładowarką - 2 kpl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Komplet dysków sygnalizacyjnych (min. 6 szt.) przewożonych w walizce - 1 kpl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Taśma ostrzegawcza rolka 500 m z napisem „STRAŻ"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Radiotelefon przenośny z ładowarką zasilaną z instalacji samochodu dwuzakresowy analogowy i cyfrowy  (szyfrowanie min. w standardzie ARC4 kluczem o długości 40 bit)- 2 szt - dopuszcza się montaż w innym miejscu niż przedział bagażowy.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Maszt antenowy (min. 6 m), w komplecie z kablem antenowym o długości min. 10 mb do podłączenia anteny, anteną na pasmo VHF z uchwytem, skrzynką z narzędziami do montażu masztu, pokrowcem na maszt, Dodatkowo mocowanie do pojazdu i odciągi stalowe do postawienia jako maszt wolnostojący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Zestaw ratownictwa medycznego R1 w wersji plecakowej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Przedział bagażowy odizolowany od warunków atmosferycznym z szafką do montażu na ww. elementy.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</w:r>
          </w:p>
        </w:tc>
        <w:tc>
          <w:tcPr>
            <w:tcW w:w="3705" w:type="dxa"/>
            <w:tcBorders>
              <w:top w:val="nil"/>
            </w:tcBorders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/>
        <w:tc>
          <w:tcPr>
            <w:tcW w:w="629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3.</w:t>
            </w:r>
          </w:p>
        </w:tc>
        <w:tc>
          <w:tcPr>
            <w:tcW w:w="966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lang w:val="pl-PL" w:eastAsia="en-US" w:bidi="ar-SA"/>
              </w:rPr>
              <w:t>Pojazd posiada urządzenia sygnalizacyjno - ostrzegawcze, akustyczne i świetlne pojazdu uprzywilejowanego, (stopień ochrony urządzeń zamontowanych poza kabiną nie mniejsza niż IP 65) w formie galeryjki LED z system umożliwiającym podawanie komunikatów słownych oraz dźwiękowych wyposażone w kontrolę poziomu głośności.  S</w:t>
            </w:r>
            <w:r>
              <w:rPr>
                <w:rFonts w:eastAsia="Calibri" w:cs="Calibri" w:cstheme="minorHAnsi"/>
                <w:color w:val="000000"/>
                <w:kern w:val="0"/>
                <w:lang w:val="pl-PL" w:eastAsia="en-US" w:bidi="ar-SA"/>
              </w:rPr>
              <w:t>ygnalizacja świetlna wykonana w technologii LED, budowa niskoprofilowa, montowana na dachu kabiny, musi być osłonięta konstrukcją uniemożliwiającą uszkodzenie jej przez np. gałęzie.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lang w:val="pl-PL" w:eastAsia="en-US" w:bidi="ar-SA"/>
              </w:rPr>
              <w:t>Z tyłu pojazdu  - na zabudowie typu hardtop  zamontowana dodatkowa – trzecia lampa LED , po lewej stronie z możliwością emitowania zamiennie światła barwy niebieskiej lub czerwonej z możliwością wyłączania w przypadku jazdy w kolumnie.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lang w:val="pl-PL" w:eastAsia="en-US" w:bidi="ar-SA"/>
              </w:rPr>
              <w:t>Z przodu pojazdu (w atrapie lub zderzaku) zamontowane dwie lampy LED niebieskie kierunkowe. Lampy wyposażone w przezroczyste klosze, min 6 LED każda.,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lang w:val="pl-PL" w:eastAsia="en-US" w:bidi="ar-SA"/>
              </w:rPr>
              <w:t>Urządzenie dźwiękowe (min. 3 modulowane tony zmieniane przyciskiem sygnały w miejscu dostępnym dla kierowcy oraz wyposażone w funkcję „mix” automatycznie zmieniającą modulowane tony co określony czas) wyposażone w funkcję megafonu. Wartość ciśnienia akustycznego generowanego przez urządzenie o wartości min. 110 dB (dla każdego rodzaju dźwięku o zmiennym tonie, mierzona w odległości 3 metry przed pojazdem). Dodatkowo pojazd powinien być wyposażony w system pozwalający na generowanie tonów o niskiej częstotliwości, współpracujący z zamontowanym modulatorem. Głośniki systemu niskiej częstotliwości powinny być zamontowane z przodu pojazdu. Maksymalny poziom ciśnienia akustycznego wewnątrz kabiny pojazdu przy włączonej sygnalizacji dźwiękowej maksymalnie 85 dB (dotyczy wszystkich rodzajów sygnałów),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lang w:val="pl-PL" w:eastAsia="en-US" w:bidi="ar-SA"/>
              </w:rPr>
              <w:t>Urządzenie sygnalizacji świetlnej i dźwiękowej pojazdu uprzywilejowanego uruchamiane manipulatorem zmontowanym w miejscu umożliwiającym obsługę przez kierowcę i dowódcę. Manipulator z wbudowanym mikrofonem do podawania komunikatów przez megafon.</w:t>
            </w:r>
          </w:p>
        </w:tc>
        <w:tc>
          <w:tcPr>
            <w:tcW w:w="3705" w:type="dxa"/>
            <w:tcBorders/>
          </w:tcPr>
          <w:p>
            <w:pPr>
              <w:pStyle w:val="Normal"/>
              <w:suppressAutoHyphens w:val="true"/>
              <w:spacing w:before="0" w:after="0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/>
        <w:tc>
          <w:tcPr>
            <w:tcW w:w="629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4.</w:t>
            </w:r>
          </w:p>
        </w:tc>
        <w:tc>
          <w:tcPr>
            <w:tcW w:w="966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W samochodzie zamontowany moduł lokalizacji pojazdów wyposażony w graficzny terminal statusów (AVL) spełniający poniższe wymagania oraz posiadający: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jednostkę centralną,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graficzny terminal statusów,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zasilanie z niezależnego akumulatora, umożliwiając pracę modułu w przypadku braku zasilania głównego,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zewnętrzną antenę GPS,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zewnętrzną antenę GSM,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czujnik użycia (działania) sygnału uprzywilejowania (świetlnego i dźwiękowego),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uchwyt do montażu graficznego terminala statusów w pojeździe,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możliwość rejestrowania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włączenia/wyłączenia stacyjki samochodu.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Moduł wraz z urządzeniami współpracującymi musi zapewniać pełną gotowość do pracy w czasie poniżej 60 sek.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Jednostka centralna odpowiedzialna za komunikację samochodu z aplikacją zarządzającą musi być wyposażona w: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pamięć podręczną o pojemności co najmniej 2 MB, która zapamiętuje wszystkie parametry pojazdu (w szczególności: wysyłane statusy, prędkość pojazdu, położenie pojazdu),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co najmniej 4 wejścia analogowe i 6 wejść cyfrowych,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wejście anteny GPS,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wejście anteny GSM,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port do komunikacji z zewnętrznym graficznym terminalem,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wejście mikrofonowe,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wyjście głośnikowe.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Jednostka centralna musi posiadać następującą funkcjonalność: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lokalizować pojazd w oparciu o system GPS w co najwyżej 5 sekundowych odstępach czasu,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wysyłać standardowo dane o lokalizacji pojazdu do aplikacji zarządzającej systemem monitoringu min. co 30 sek., przy czym częstotliwość ta może być w dowolny sposób zdefiniowana przez użytkownika lub poprzez aplikację zarządzającą,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umożliwiać wysyłanie danych o lokalizacji pojazdu na żądanie uprawnionego dyspozytora,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musi umożliwiać wysyłanie informacji z czujnika o załączeniu i używaniu sygnałów uprzywilejowania przez pojazdy ratownicze PSP,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wysyłać statusy do dyspozytora właściwej aplikacji z systemu SWD-PSP niezwłocznie po ich zatwierdzeniu przez kierowcę pojazdu,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musi pozwalać na aktualizowanie oprogramowania jednostki centralnej za pomocą GPRS-u oraz bezpośrednio po podłączeniu jednostki centralnej do komputera,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zapamiętywać ostatnie znane położenie pojazdu.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Graficzny terminal statusów musi: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posiadać kolorowy ekran dotykowy o przekątnej min. 7”, (inny niż wyświetlacz kamery cofania)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posiadać własny autonomiczny system operacyjny niezależny od Dostawcy, celem zapewnienia otwartości systemu i uniezależnienia się Zamawiającego od oprogramowania jednego dostawcy,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umożliwiać wysyłanie i odbieranie wiadomości tekstowych,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umożliwiać przesyłanie statusów,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pracować jako nawigacja samochodowa,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posiadać zainstalowaną samochodową mapę Polski i Europy (licencję na oprogramowanie należy dostarczyć Zamawiającemu wraz z dostawą),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nawigować pojazd z ostatniej, zapamiętanej przez jednostkę centralną pozycji,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automatycznie wyznaczać trasę dojazdu do punktu wyznaczonego przez właściwego dyspozytora (tzn. do konkretnego adresu, ulicy lub współrzędnych geograficznych),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mieć możliwość zdalnej rekonfiguracji systemu statusów,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odbierać i umożliwić przeglądanie plików w formatach: PDF, JPG, GIF i BMP,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mieć ustawione następujące statusy: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Kod/status 1 – wyjazd do miejsce zdarzenia,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Kod/status 2 – przyjazd na miejsce zdarzenia,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Kod/status 3 – sytuacja opanowana,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Kod/status 4 – koniec działań (ratowniczych)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Kod/status 5 – powrót do bazy,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Kod/status 6 – awaria, wyłączenie (samochodu z działań ratowniczych).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Moduł integrujący system wysyłania statusów i lokalizacji pojazdów z aplikacją dyspozytorską wykorzystywaną na stanowiskach kierowania PSP (aplikacja SWD-PSP, której producentem jest firma Abakus sp. z o.o.):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niezbędne licencje dla dostarczanych urządzeń umożliwiających ich współpracę z systemem SWD-PSP pracującym w KP/KM PSP,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alarmowanie pojazdów poprzez automatyczne przekazywanie karty zdarzenia, zarejestrowanej w systemie dyspozytorskim, do dysponowanego pojazdu,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przekazywanie do pojazdów informacji o miejscu zdarzenia w postaci współrzędnych geograficznych lub danych adresowych,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rejestrowanie potwierdzenia dotarcia karty zdarzenia do zadysponowanego pojazdu,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wysyłanie dodatkowych informacji tekstowych do zadysponowanych pojazdów,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odbiór potwierdzeń z wysłanych informacji tekstowych,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rejestrowanie w systemie dyspozytorskim czasów operacyjnych związanych statusem poszczególnych pojazdów,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odczyt zarejestrowanych współrzędnych geograficznych lokalizowanych pojazdów w zadanym przedziale czasowym lub na żądanie,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odczyt zarejestrowanych współrzędnych geograficznych lokalizowanych pojazdów w zadanym przedziale czasowym.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Wymagania dodatkowe: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Dostawca zapewni pełną funkcjonalność urządzenia i współpracę z systemem monitoringu ruchu pojazdów użytkowanych w jednostkach PSP odbiorcy w momencie odbioru pojazdu,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Odbiorca przekaże Dostawcy telemetryczne karty SIM niezbędnych do wykonania konfiguracji dostarczanych urządzeń,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Miejsce montażu terminala graficznego statusów oraz jednostki centralnej należy uzgodnić z Odbiorcą,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Dostawca zobowiązany jest do aktualizacji oprogramowania, w tym mapy Polski i Europy w okresie obowiązywania gwarancji na pojazd,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Dostawca dostarczy oprogramowanie klienckie zapewniające komunikację i wymianę danych z systemem zarządzania i monitorowania pojazdów PSP użytkowanym przez Odbiorcę.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W ramach montażu nowego urządzenia Dostawca zobowiązany będzie do przygotowania i przekazania Odbiorcy - instrukcji montażu, obsługi i programowania sterowników GPS oraz terminali statusów, dokumentów licencyjnych na dostarczone oprogramowanie.</w:t>
            </w:r>
          </w:p>
        </w:tc>
        <w:tc>
          <w:tcPr>
            <w:tcW w:w="3705" w:type="dxa"/>
            <w:tcBorders/>
          </w:tcPr>
          <w:p>
            <w:pPr>
              <w:pStyle w:val="Normal"/>
              <w:suppressAutoHyphens w:val="tru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9" w:type="dxa"/>
            <w:tcBorders/>
            <w:shd w:color="auto" w:fill="D9D9D9" w:themeFill="background1" w:themeFillShade="d9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V.</w:t>
            </w:r>
          </w:p>
        </w:tc>
        <w:tc>
          <w:tcPr>
            <w:tcW w:w="9661" w:type="dxa"/>
            <w:tcBorders/>
            <w:shd w:color="auto" w:fill="D9D9D9" w:themeFill="background1" w:themeFillShade="d9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Pozostałe warunki Zamawiającego</w:t>
            </w:r>
          </w:p>
        </w:tc>
        <w:tc>
          <w:tcPr>
            <w:tcW w:w="3705" w:type="dxa"/>
            <w:tcBorders/>
            <w:shd w:color="auto" w:fill="D9D9D9" w:themeFill="background1" w:themeFillShade="d9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/>
        <w:tc>
          <w:tcPr>
            <w:tcW w:w="629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1.</w:t>
            </w:r>
          </w:p>
        </w:tc>
        <w:tc>
          <w:tcPr>
            <w:tcW w:w="966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Minimalna gwarancja na zabudowę : 24 miesiące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Minimalna gwarancja na podwozie: 24 miesiące</w:t>
            </w:r>
          </w:p>
        </w:tc>
        <w:tc>
          <w:tcPr>
            <w:tcW w:w="3705" w:type="dxa"/>
            <w:tcBorders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/>
        <w:tc>
          <w:tcPr>
            <w:tcW w:w="629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2.</w:t>
            </w:r>
          </w:p>
        </w:tc>
        <w:tc>
          <w:tcPr>
            <w:tcW w:w="966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 xml:space="preserve">Minimum jeden </w:t>
            </w:r>
            <w:r>
              <w:rPr>
                <w:rFonts w:eastAsia="Calibri"/>
                <w:b/>
                <w:color w:val="000000"/>
                <w:kern w:val="0"/>
                <w:lang w:val="pl-PL" w:eastAsia="en-US" w:bidi="ar-SA"/>
              </w:rPr>
              <w:t>punkt serwisowy nadwozia</w:t>
            </w: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 xml:space="preserve"> (podać adres serwisu nadwozia najbliższy siedzibie Zamawiającego)</w:t>
            </w:r>
          </w:p>
        </w:tc>
        <w:tc>
          <w:tcPr>
            <w:tcW w:w="3705" w:type="dxa"/>
            <w:tcBorders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/>
        <w:tc>
          <w:tcPr>
            <w:tcW w:w="629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3.</w:t>
            </w:r>
          </w:p>
        </w:tc>
        <w:tc>
          <w:tcPr>
            <w:tcW w:w="966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 xml:space="preserve">Minimum jeden </w:t>
            </w:r>
            <w:r>
              <w:rPr>
                <w:rFonts w:eastAsia="Calibri"/>
                <w:b/>
                <w:color w:val="000000"/>
                <w:kern w:val="0"/>
                <w:lang w:val="pl-PL" w:eastAsia="en-US" w:bidi="ar-SA"/>
              </w:rPr>
              <w:t>punkt serwisowy podwozia</w:t>
            </w: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 xml:space="preserve"> (podać adres serwisu podwozia najbliższy siedzibie Zamawiającego</w:t>
            </w:r>
          </w:p>
        </w:tc>
        <w:tc>
          <w:tcPr>
            <w:tcW w:w="3705" w:type="dxa"/>
            <w:tcBorders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/>
        <w:tc>
          <w:tcPr>
            <w:tcW w:w="629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4.</w:t>
            </w:r>
          </w:p>
        </w:tc>
        <w:tc>
          <w:tcPr>
            <w:tcW w:w="966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Wykonawca obowiązany jest do dostarczenia wraz z pojazdem: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b/>
                <w:color w:val="000000"/>
                <w:kern w:val="0"/>
                <w:lang w:val="pl-PL" w:eastAsia="en-US" w:bidi="ar-SA"/>
              </w:rPr>
              <w:t>instrukcji obsługi</w:t>
            </w: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 xml:space="preserve"> w języku polskim do podwozia samochodu, zabudowy pożarniczej </w:t>
              <w:br/>
              <w:t>i zainstalowanych urządzeń i wyposażenia,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b/>
                <w:color w:val="000000"/>
                <w:kern w:val="0"/>
                <w:lang w:val="pl-PL" w:eastAsia="en-US" w:bidi="ar-SA"/>
              </w:rPr>
              <w:t>dokumentacji niezbędne</w:t>
            </w: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j do zarejestrowania pojazdu jako „samochód specjalny”, wynikającej z ustawy „Prawo o ruchu drogowym”.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b/>
                <w:color w:val="000000"/>
                <w:kern w:val="0"/>
                <w:lang w:val="pl-PL" w:eastAsia="en-US" w:bidi="ar-SA"/>
              </w:rPr>
              <w:t>instrukcje obsługi urządzeń i sprzętu</w:t>
            </w: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 xml:space="preserve"> zamontowanego w pojeździe, wszystkie w języku polskim.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0" w:after="160"/>
              <w:contextualSpacing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color w:val="000000"/>
                <w:kern w:val="0"/>
                <w:lang w:val="pl-PL" w:eastAsia="en-US" w:bidi="ar-SA"/>
              </w:rPr>
              <w:t>Inne dokumenty dotyczące pojazdu wskazane w Umowie</w:t>
            </w:r>
          </w:p>
        </w:tc>
        <w:tc>
          <w:tcPr>
            <w:tcW w:w="3705" w:type="dxa"/>
            <w:tcBorders/>
          </w:tcPr>
          <w:p>
            <w:pPr>
              <w:pStyle w:val="Normal"/>
              <w:suppressAutoHyphens w:val="true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Uwaga : Wykonawca wypełnia kolumnę ,, Propozycje Wykonawcy ‘’, podając konkretny parametr lub wpisując np. wersje rozwiązania lub wyraz ,,spełnia ‘’. </w:t>
      </w:r>
    </w:p>
    <w:sectPr>
      <w:headerReference w:type="default" r:id="rId2"/>
      <w:footerReference w:type="default" r:id="rId3"/>
      <w:type w:val="nextPage"/>
      <w:pgSz w:orient="landscape" w:w="16838" w:h="11906"/>
      <w:pgMar w:left="1418" w:right="1418" w:gutter="0" w:header="863" w:top="1426" w:footer="709" w:bottom="1418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Segoe UI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Garamond">
    <w:charset w:val="01"/>
    <w:family w:val="swiss"/>
    <w:pitch w:val="default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00447117"/>
    </w:sdtPr>
    <w:sdtContent>
      <w:p>
        <w:pPr>
          <w:pStyle w:val="Footer"/>
          <w:rPr>
            <w:rFonts w:ascii="Cambria" w:hAnsi="Cambria" w:asciiTheme="majorHAnsi" w:hAnsiTheme="majorHAnsi"/>
          </w:rPr>
        </w:pPr>
        <w:r>
          <w:rPr>
            <w:rFonts w:ascii="Cambria" w:hAnsi="Cambria" w:asciiTheme="majorHAnsi" w:hAnsiTheme="majorHAnsi"/>
          </w:rPr>
          <w:t xml:space="preserve">str.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numPr>
        <w:ilvl w:val="0"/>
        <w:numId w:val="0"/>
      </w:numPr>
      <w:spacing w:lineRule="auto" w:line="360" w:before="0" w:after="140"/>
      <w:ind w:hanging="0" w:left="0"/>
      <w:jc w:val="left"/>
      <w:outlineLvl w:val="0"/>
      <w:rPr>
        <w:color w:val="FF0000"/>
      </w:rPr>
    </w:pPr>
    <w:r>
      <w:rPr>
        <w:color w:val="FF0000"/>
      </w:rPr>
      <w:t xml:space="preserve"> </w:t>
    </w:r>
    <w:r>
      <w:rPr>
        <w:color w:val="000000"/>
      </w:rPr>
      <w:t>Nr. sprawy MT.2070.</w:t>
    </w:r>
    <w:r>
      <w:rPr>
        <w:color w:val="000000"/>
      </w:rPr>
      <w:t>1</w:t>
    </w:r>
    <w:r>
      <w:rPr>
        <w:color w:val="000000"/>
      </w:rPr>
      <w:t>.202</w:t>
    </w:r>
    <w:r>
      <w:rPr>
        <w:color w:val="000000"/>
      </w:rPr>
      <w:t>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53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9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0"/>
        </w:tabs>
        <w:ind w:left="53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9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0"/>
        </w:tabs>
        <w:ind w:left="53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9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3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0" w:hanging="180"/>
      </w:pPr>
      <w:rPr/>
    </w:lvl>
  </w:abstractNum>
  <w:abstractNum w:abstractNumId="6">
    <w:lvl w:ilvl="0">
      <w:start w:val="1"/>
      <w:numFmt w:val="bullet"/>
      <w:lvlText w:val="•"/>
      <w:lvlJc w:val="left"/>
      <w:pPr>
        <w:tabs>
          <w:tab w:val="num" w:pos="0"/>
        </w:tabs>
        <w:ind w:left="53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95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16f2"/>
    <w:pPr>
      <w:widowControl w:val="false"/>
      <w:suppressAutoHyphens w:val="true"/>
      <w:bidi w:val="0"/>
      <w:spacing w:lineRule="auto" w:line="276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387a44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32"/>
      <w:szCs w:val="32"/>
    </w:rPr>
  </w:style>
  <w:style w:type="paragraph" w:styleId="Heading2">
    <w:name w:val="Heading 2"/>
    <w:basedOn w:val="Normal"/>
    <w:next w:val="Normal"/>
    <w:link w:val="Nagwek2Znak"/>
    <w:uiPriority w:val="9"/>
    <w:unhideWhenUsed/>
    <w:qFormat/>
    <w:rsid w:val="00b94a5d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26"/>
      <w:szCs w:val="26"/>
    </w:rPr>
  </w:style>
  <w:style w:type="paragraph" w:styleId="Heading3">
    <w:name w:val="Heading 3"/>
    <w:basedOn w:val="Normal"/>
    <w:next w:val="Normal"/>
    <w:link w:val="Nagwek3Znak"/>
    <w:uiPriority w:val="9"/>
    <w:unhideWhenUsed/>
    <w:qFormat/>
    <w:rsid w:val="00b94a5d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themeColor="accent1" w:themeShade="7f"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de2682"/>
    <w:rPr/>
  </w:style>
  <w:style w:type="character" w:styleId="NagwekZnak" w:customStyle="1">
    <w:name w:val="Nagłówek Znak"/>
    <w:basedOn w:val="DefaultParagraphFont"/>
    <w:uiPriority w:val="99"/>
    <w:qFormat/>
    <w:rsid w:val="00de2682"/>
    <w:rPr/>
  </w:style>
  <w:style w:type="character" w:styleId="StopkaZnak1" w:customStyle="1">
    <w:name w:val="Stopka Znak1"/>
    <w:basedOn w:val="DefaultParagraphFont"/>
    <w:uiPriority w:val="99"/>
    <w:semiHidden/>
    <w:qFormat/>
    <w:rsid w:val="00de2682"/>
    <w:rPr/>
  </w:style>
  <w:style w:type="character" w:styleId="Nagwek2Znak" w:customStyle="1">
    <w:name w:val="Nagłówek 2 Znak"/>
    <w:basedOn w:val="DefaultParagraphFont"/>
    <w:uiPriority w:val="9"/>
    <w:qFormat/>
    <w:rsid w:val="00b94a5d"/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26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b94a5d"/>
    <w:rPr>
      <w:rFonts w:ascii="Cambria" w:hAnsi="Cambria" w:eastAsia="" w:cs="" w:asciiTheme="majorHAnsi" w:cstheme="majorBidi" w:eastAsiaTheme="majorEastAsia" w:hAnsiTheme="majorHAnsi"/>
      <w:color w:themeColor="accent1" w:themeShade="7f" w:val="243F60"/>
      <w:sz w:val="24"/>
      <w:szCs w:val="24"/>
    </w:rPr>
  </w:style>
  <w:style w:type="character" w:styleId="Hipercze1" w:customStyle="1">
    <w:name w:val="Hiperłącze1"/>
    <w:qFormat/>
    <w:rPr>
      <w:color w:val="000080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1081f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qFormat/>
    <w:rsid w:val="004444d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kocowegoZnak1" w:customStyle="1">
    <w:name w:val="Tekst przypisu końcowego Znak1"/>
    <w:basedOn w:val="DefaultParagraphFont"/>
    <w:uiPriority w:val="99"/>
    <w:semiHidden/>
    <w:qFormat/>
    <w:rsid w:val="004444dd"/>
    <w:rPr>
      <w:rFonts w:ascii="Times New Roman" w:hAnsi="Times New Roman" w:cs="Times New Roman"/>
      <w:sz w:val="20"/>
      <w:szCs w:val="20"/>
    </w:rPr>
  </w:style>
  <w:style w:type="character" w:styleId="Nagwek1Znak" w:customStyle="1">
    <w:name w:val="Nagłówek 1 Znak"/>
    <w:basedOn w:val="DefaultParagraphFont"/>
    <w:uiPriority w:val="9"/>
    <w:qFormat/>
    <w:rsid w:val="00387a44"/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32"/>
      <w:szCs w:val="32"/>
    </w:rPr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Arial" w:hAnsi="Arial"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de2682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ption111" w:customStyle="1">
    <w:name w:val="caption111"/>
    <w:basedOn w:val="Normal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styleId="Default" w:customStyle="1">
    <w:name w:val="Default"/>
    <w:qFormat/>
    <w:rsid w:val="00de2682"/>
    <w:pPr>
      <w:widowControl/>
      <w:suppressAutoHyphens w:val="true"/>
      <w:bidi w:val="0"/>
      <w:spacing w:before="0" w:after="0"/>
      <w:jc w:val="left"/>
    </w:pPr>
    <w:rPr>
      <w:rFonts w:ascii="Tahoma" w:hAnsi="Tahoma" w:eastAsia="Calibri" w:cs="Tahoma"/>
      <w:color w:val="000000"/>
      <w:kern w:val="0"/>
      <w:sz w:val="24"/>
      <w:szCs w:val="24"/>
      <w:lang w:val="pl-PL" w:eastAsia="en-US" w:bidi="ar-SA"/>
    </w:rPr>
  </w:style>
  <w:style w:type="paragraph" w:styleId="Stopka1" w:customStyle="1">
    <w:name w:val="Stopka1"/>
    <w:basedOn w:val="Normal"/>
    <w:link w:val="StopkaZnak"/>
    <w:uiPriority w:val="99"/>
    <w:unhideWhenUsed/>
    <w:qFormat/>
    <w:rsid w:val="00de2682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de2682"/>
    <w:pPr>
      <w:spacing w:before="0" w:after="160"/>
      <w:ind w:left="720"/>
      <w:contextualSpacing/>
    </w:pPr>
    <w:rPr/>
  </w:style>
  <w:style w:type="paragraph" w:styleId="Footer">
    <w:name w:val="Footer"/>
    <w:basedOn w:val="Normal"/>
    <w:link w:val="StopkaZnak1"/>
    <w:uiPriority w:val="99"/>
    <w:unhideWhenUsed/>
    <w:rsid w:val="00de2682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1081f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106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EndnoteText">
    <w:name w:val="Endnote Text"/>
    <w:basedOn w:val="Normal"/>
    <w:link w:val="TekstprzypisukocowegoZnak"/>
    <w:rsid w:val="004444dd"/>
    <w:pPr>
      <w:widowControl/>
      <w:spacing w:lineRule="auto" w:line="240"/>
      <w:jc w:val="left"/>
    </w:pPr>
    <w:rPr>
      <w:rFonts w:eastAsia="Times New Roman"/>
      <w:sz w:val="20"/>
      <w:szCs w:val="20"/>
      <w:lang w:eastAsia="pl-PL"/>
    </w:rPr>
  </w:style>
  <w:style w:type="paragraph" w:styleId="Zawartotabeli" w:customStyle="1">
    <w:name w:val="Zawartość tabeli"/>
    <w:basedOn w:val="Normal"/>
    <w:qFormat/>
    <w:pPr>
      <w:suppressLineNumbers/>
      <w:spacing w:lineRule="auto" w:line="240"/>
    </w:pPr>
    <w:rPr>
      <w:rFonts w:eastAsia="MS Mincho"/>
      <w:sz w:val="20"/>
      <w:szCs w:val="20"/>
      <w:lang w:eastAsia="ar-SA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e26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Application>LibreOffice/7.6.3.2$Windows_X86_64 LibreOffice_project/29d686fea9f6705b262d369fede658f824154cc0</Application>
  <AppVersion>15.0000</AppVersion>
  <Pages>12</Pages>
  <Words>2585</Words>
  <Characters>16923</Characters>
  <CharactersWithSpaces>19353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2021-08-16T11:17:00Z</dcterms:created>
  <dc:creator/>
  <dc:description/>
  <dc:language>pl-PL</dc:language>
  <cp:lastModifiedBy/>
  <cp:lastPrinted>2023-02-27T08:56:00Z</cp:lastPrinted>
  <dcterms:modified xsi:type="dcterms:W3CDTF">2024-07-19T08:35:04Z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