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 NR 4 DO SWZ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276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>SZCZEGÓŁOWY OPIS PRZEDMIOTU ZAMÓWIENIA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spacing w:lineRule="auto" w:line="276"/>
        <w:jc w:val="left"/>
        <w:rPr>
          <w:rFonts w:ascii="Times New Roman" w:hAnsi="Times New Roman"/>
          <w:b w:val="false"/>
          <w:b w:val="false"/>
          <w:sz w:val="20"/>
          <w:szCs w:val="20"/>
          <w:u w:val="none"/>
        </w:rPr>
      </w:pPr>
      <w:r>
        <w:rPr>
          <w:rFonts w:ascii="Times New Roman" w:hAnsi="Times New Roman"/>
          <w:b w:val="false"/>
          <w:sz w:val="20"/>
          <w:szCs w:val="20"/>
          <w:u w:val="none"/>
        </w:rPr>
        <w:t>Przedmiotem zamówienia jest świadczenie usług pocztowych w obrocie krajowym i zagranicznym, w zakresie przyjmowania, przemieszczania i doręczania przesyłek pocztowych, kurierskich, paczek pocztowych i i ch ewentualnych zwrotów w rozumieniu ustawy Prawo Pocztowe z dnia 23 listopada 2012 r. (t.j. Dz. U. z 2023 r. poz. 1640, z 2024 r. poz. 467, 1222.) oraz usług transportowych (transport przesyłek do pocztowej placówki nadawczej) na rzecz Urzędu Gminy Redzikowo.</w:t>
      </w:r>
    </w:p>
    <w:p>
      <w:pPr>
        <w:pStyle w:val="Normal"/>
        <w:numPr>
          <w:ilvl w:val="0"/>
          <w:numId w:val="1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Przez usługi pocztowe w obrocie krajowym i zagranicznym będące przedmiotem zamówienia rozumie się przyjmowanie, sortowanie, przemieszczanie i doręczanie:</w:t>
      </w:r>
    </w:p>
    <w:p>
      <w:pPr>
        <w:pStyle w:val="Normal"/>
        <w:numPr>
          <w:ilvl w:val="0"/>
          <w:numId w:val="0"/>
        </w:numPr>
        <w:bidi w:val="0"/>
        <w:spacing w:lineRule="auto" w:line="276"/>
        <w:ind w:left="72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przesyłek listowych, w tym poleconych, w wadze do 2000g o rozmiarach S,M,L:</w:t>
      </w:r>
    </w:p>
    <w:p>
      <w:pPr>
        <w:pStyle w:val="Normal"/>
        <w:numPr>
          <w:ilvl w:val="0"/>
          <w:numId w:val="2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zwykłych ekonomicznych – przesyłek nierejestrowanych nie będących przesyłkami najszybszej kategorii,</w:t>
      </w:r>
    </w:p>
    <w:p>
      <w:pPr>
        <w:pStyle w:val="Normal"/>
        <w:numPr>
          <w:ilvl w:val="0"/>
          <w:numId w:val="2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zwykłych priorytetowych – przesyłek nierejestrowanych będących przesyłkami najszybszej kategorii,</w:t>
      </w:r>
    </w:p>
    <w:p>
      <w:pPr>
        <w:pStyle w:val="Normal"/>
        <w:numPr>
          <w:ilvl w:val="0"/>
          <w:numId w:val="2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poleconych ekonomicznych – przesyłek rejestrowanych nie będących przesyłkami najszybszej kategorii, doręczanych w sposób zabezpieczający je przed utratą, ubytkiem zawartości lub uszkodzeniem, </w:t>
      </w:r>
    </w:p>
    <w:p>
      <w:pPr>
        <w:pStyle w:val="Normal"/>
        <w:numPr>
          <w:ilvl w:val="0"/>
          <w:numId w:val="2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poleconych priorytetowych  - przesyłek rejestrowanych będących przesyłkami najszybszej kategorii, doręczanych w sposób zabezpieczający je przed utratą, ubytkiem zawartości lub uszkodzeniem, </w:t>
      </w:r>
    </w:p>
    <w:p>
      <w:pPr>
        <w:pStyle w:val="Normal"/>
        <w:numPr>
          <w:ilvl w:val="0"/>
          <w:numId w:val="2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poleconych ekonomicznych ze zwrotnym potwierdzeniem odbioru - przesyłek rejestrowanych nie będących przesyłkami najszybszej kategorii, doręczanych w sposób zabezpieczający je przed utratą, ubytkiem zawartości lub uszkodzeniem, doręczanych za zwrotnym potwierdzeniem odbioru,</w:t>
      </w:r>
    </w:p>
    <w:p>
      <w:pPr>
        <w:pStyle w:val="Normal"/>
        <w:numPr>
          <w:ilvl w:val="0"/>
          <w:numId w:val="2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poleconych priorytetowych ze zwrotnym potwierdzeniem odbioru - przesyłek rejestrowanych będących przesyłkami najszybszej kategorii, doręczanych w sposób zabezpieczający je przed utratą, ubytkiem zawartości lub uszkodzeniem, doręczanych za zwrotnym potwierdzeniem odbioru,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Przy czym za przesyłki w rozmiarze S należy uznać przesyłki o wymiarach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Minimum: wymiary strony adresowej nie mogą być mniejsze niż 90x140 mm,</w:t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Maksymalnie: Żaden z wymiarów nie może przekraczać: wysokość 20 mm, długość 230 mm, szerokość 160 </w:t>
        <w:tab/>
        <w:t>mm.</w:t>
        <w:tab/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Przesyłki w rozmiarze M: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Minimum:  wymiary strony adresowej nie mogą być mniejsze niż 90x140 mm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Maksimum: żaden z wymiarów nie może przekroczyć: wysokość20 mm, długość 325 mm, szerokość 230 mm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Przesyłki w rozmiarze L: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Minimum:wymiary strony adresowej nie mogą być mniejsze niż 90x140 mm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Maksimum: suma długości, szerokości i wysokości 900 mm, przy czym najwększy z tych wymiarów nie może </w:t>
        <w:tab/>
        <w:t>przekroczyć 600 mm.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Przesyłki w formie rulonu (rozmiar L):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Minimum: suma długość plus podwojona średnica – 170 mm, przy czym największy wymiar nie może być </w:t>
        <w:tab/>
        <w:t>mniejszy niż 100 mm.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Maksimum: suma długości plus podwójna średnica – 1040 mm, przy czym największy z tych </w:t>
        <w:tab/>
        <w:t xml:space="preserve">wymiarów </w:t>
        <w:tab/>
        <w:t>(długość) nie może przekroczyć 900mm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Wszystkie wymiary przyjmuje się z tolerancją 2 mm.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b) paczek pocztowych w wadze do 10000g i gabarytach A i B:</w:t>
      </w:r>
    </w:p>
    <w:p>
      <w:pPr>
        <w:pStyle w:val="Normal"/>
        <w:numPr>
          <w:ilvl w:val="0"/>
          <w:numId w:val="3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ekonomicznych  - paczek rejestrowanych nie będących przesyłkami najszybszej kategorii, doręczanych w sposób zabezpieczający je przed utratą, ubytkiem zawartości lub uszkodzeniem, </w:t>
      </w:r>
    </w:p>
    <w:p>
      <w:pPr>
        <w:pStyle w:val="Normal"/>
        <w:numPr>
          <w:ilvl w:val="0"/>
          <w:numId w:val="3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priorytetowych - paczek rejestrowanych będących przesyłkami najszybszej kategorii, doręczanych w sposób zabezpieczający je przed utratą, ubytkiem zawartości lub uszkodzeniem, </w:t>
      </w:r>
    </w:p>
    <w:p>
      <w:pPr>
        <w:pStyle w:val="Normal"/>
        <w:numPr>
          <w:ilvl w:val="0"/>
          <w:numId w:val="3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ekonomicznych ze zwrotnym potwierdzeniem odbioru - paczek rejestrowanych nie będących przesyłkami najszybszej kategorii, doręczanych w sposób zabezpieczający je przed utratą, ubytkiem zawartości lub uszkodzeniem, doręczanych za zwrotnym potwierdzeniem odbioru,</w:t>
      </w:r>
    </w:p>
    <w:p>
      <w:pPr>
        <w:pStyle w:val="Normal"/>
        <w:numPr>
          <w:ilvl w:val="0"/>
          <w:numId w:val="3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priorytetowych ze zwrotnym potwierdzeniem odbioru - paczek rejestrowanych będących przesyłkami najszybszej kategorii, doręczanych w sposób zabezpieczający je przed utratą, ubytkiem zawartości lub uszkodzeniem, doręczanych za zwrotnym potwierdzeniem odbioru,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Przy czym za przesyłki w gabarycie A należy uznać przesyłki o wymiarach: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Minimum:  wymiary strony adresowej nie mogą być mniejsze niż 90x140 mm,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Maksimum: żaden z wymiarów nie może przekroczyć: długość 600 mm, szerokość 500 mm, wysokość 300 </w:t>
        <w:tab/>
        <w:t>mm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Gabaryt B: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Minimum:  wymiary strony adresowej nie mogą być mniejsze niż 90x140 mm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Maksimum: suma długości i największego obwodu mierzonego w innym kierunku niż </w:t>
        <w:tab/>
        <w:t xml:space="preserve">długość – 3000 mm </w:t>
        <w:tab/>
        <w:t xml:space="preserve">przy czym największy wymiar nie może przekroczyć 1500 mm. 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Wszystkie wymiary przyjmuje się z tolerancją 2 mm.</w:t>
      </w:r>
    </w:p>
    <w:p>
      <w:pPr>
        <w:pStyle w:val="Normal"/>
        <w:numPr>
          <w:ilvl w:val="0"/>
          <w:numId w:val="4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zobowiązany jest do:</w:t>
      </w:r>
    </w:p>
    <w:p>
      <w:pPr>
        <w:pStyle w:val="Normal"/>
        <w:numPr>
          <w:ilvl w:val="0"/>
          <w:numId w:val="5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dostarczania przesyłek pocztowych adresowanych do Zamawiającego oraz ich ewentualnych zwrotów w godzinach uzgodnionych z Zamawiającym na etapie realizacji umowy</w:t>
      </w:r>
    </w:p>
    <w:p>
      <w:pPr>
        <w:pStyle w:val="Normal"/>
        <w:numPr>
          <w:ilvl w:val="0"/>
          <w:numId w:val="5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odbioru od Zamawiającego przesyłek pocztowych  przygotowanych do dostarczenia adresatom, a następnie nadania ich w placówce nadawczej w dni robocze ( 5 dni w tygodniu od poniedziałku do piątku z wyłączeniem dni wolnych od pracy) w godzinach uzgodnionych z Zamawiającym na etapie realizacji umowy.</w:t>
      </w:r>
    </w:p>
    <w:p>
      <w:pPr>
        <w:pStyle w:val="Normal"/>
        <w:numPr>
          <w:ilvl w:val="0"/>
          <w:numId w:val="6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zobowiązuje się do umieszczenia na przesyłkach listowych i paczkach nazwy odbiorcy wraz z jego adresem (podany jednocześnie w pocztowej książce nadawczej dla przesyłek rejestrowanych), określając rodzaj przesyłki (zwykła, polecona, priorytetowa, ze zwrotnym potwierdzeniem odbioru – ZPO), umieszczenia nadruku (pieczątki) określającej pełną nazwę  adres Zamawiającego na stronie adresowej każdej nadawanej przesyłki oraz oznaczenie potwierdzające wniesienie opłaty za usługę zgodnie z wymogami Wykonawcy.</w:t>
      </w:r>
    </w:p>
    <w:p>
      <w:pPr>
        <w:pStyle w:val="Normal"/>
        <w:numPr>
          <w:ilvl w:val="0"/>
          <w:numId w:val="6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zobowiązany jest do nadawania przesyłek w stanie uporządkowanym, tj, przekazaniu przesyłek rejestrowanych, ułożonych stroną adresową w tym samym kierunku według kolejności wpisów w pocztowej książce nadawczej; nierejestrowanych w podziale wynikającym z zestawienia ilościowo-wartościowego</w:t>
      </w:r>
    </w:p>
    <w:p>
      <w:pPr>
        <w:pStyle w:val="Normal"/>
        <w:numPr>
          <w:ilvl w:val="0"/>
          <w:numId w:val="6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zobowiązuje się do:</w:t>
      </w:r>
    </w:p>
    <w:p>
      <w:pPr>
        <w:pStyle w:val="Normal"/>
        <w:numPr>
          <w:ilvl w:val="0"/>
          <w:numId w:val="7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dla przesyłek rejestrowanych: wpisania każdej przesyłki do pocztowej książki nadawczej w dwóch egzemplarzach, z których oryginał będzie przeznaczony dla Wykonawcy w celach rozliczeniowych, a kopia będzie dla Zamawiającego potwierdzeniem nadania danej partii przesyłek.</w:t>
      </w:r>
    </w:p>
    <w:p>
      <w:pPr>
        <w:pStyle w:val="Normal"/>
        <w:numPr>
          <w:ilvl w:val="0"/>
          <w:numId w:val="7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dla przesyłek zwykłych – nierejestrowanych – zestawienie ilościowe przesyłek,  sporządzone na wzorze uzgodnionym z Wykonawcą wg, poszczególnych kategorii wagowych, sporządzone dla celów rozliczeniowych w dwóch egzemplarzach, z których oryginał będzie przeznaczony dla Wykonawcy, a kopia stanowić będzie dla Zamawiającego potwierdzenie nadania danej partii przesyłek.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Zamawiające jest odpowiedzialny za nadawanie przesyłek listowych i paczek w stanie umożliwiającym Wykonawcy doręczenie bez ubytku i uszkodzenia do miejsca zgodnie z adresem przeznaczenia.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Opakowanie przesyłek listowych stanowi koperta Zamawiającego, odpowiednio zabezpieczona.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Opakowanie paczki powinno stanowić zabezpieczenie przed dostępem do jej zawartości. Ponadto powinno uniemożliwiać uszkodzenie  przesyłki w czasie przemieszczania.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Jeśli przesyłki listowe oraz paczki pocztowe wymagać będą specjalnego, odrębnego oznakowania lub opakowania właściwego dla dla danego Wykonawcy – Wykonawca dostarczy we własnym zakresie  wszelkie materiały niezbędne do tego celu.</w:t>
      </w:r>
    </w:p>
    <w:p>
      <w:pPr>
        <w:pStyle w:val="Normal"/>
        <w:numPr>
          <w:ilvl w:val="0"/>
          <w:numId w:val="0"/>
        </w:numPr>
        <w:bidi w:val="0"/>
        <w:spacing w:lineRule="auto" w:line="276"/>
        <w:ind w:left="72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(dotyczy to przesyłek, do których Wykonawca może stosować inne niż powszechnie przyjęte opakowania np. koperty przeznaczone dla specjalistycznych przesyłek)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będzie dostarczał do siedziby Zamawiającego pokwitowane przez adresata zwrotne potwierdzenie odbioru niezwłocznie po dokonaniu doręczenia przesyłki.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wyraża zgodę na zastosowanie przez Zamawiającego własnego wzoru druku „potwierdzenie odbioru” do przesyłek rejestrowanych.</w:t>
      </w:r>
    </w:p>
    <w:p>
      <w:pPr>
        <w:pStyle w:val="Normal"/>
        <w:numPr>
          <w:ilvl w:val="0"/>
          <w:numId w:val="8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Ze względu na specyfikę przesyłek nadawanych przez Zamawiającego , Zamawiający wymaga przestrzegania przez Wykonawcę nw. Wymogów ustawowych w odniesieniu do dokumentów urzędowych w zakresie:</w:t>
      </w:r>
    </w:p>
    <w:p>
      <w:pPr>
        <w:pStyle w:val="Normal"/>
        <w:numPr>
          <w:ilvl w:val="0"/>
          <w:numId w:val="9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skutków nadania pisma (moc doręczenia – m.in. zob. art. 57 §5 pkt 2 ustawy Kodeks postępowania administracyjnego: </w:t>
      </w:r>
      <w:r>
        <w:rPr>
          <w:rFonts w:ascii="Times New Roman" w:hAnsi="Times New Roman"/>
          <w:i/>
          <w:iCs/>
          <w:sz w:val="20"/>
          <w:szCs w:val="20"/>
        </w:rPr>
        <w:t>termin uznaje się za zachowany, jeżeli przed jego upływem pismo zostało nadane w polskiej placówce pocztowej operatora wyznaczonego</w:t>
      </w:r>
      <w:r>
        <w:rPr>
          <w:rFonts w:ascii="Times New Roman" w:hAnsi="Times New Roman"/>
          <w:sz w:val="20"/>
          <w:szCs w:val="20"/>
        </w:rPr>
        <w:t xml:space="preserve">, </w:t>
      </w:r>
    </w:p>
    <w:p>
      <w:pPr>
        <w:pStyle w:val="Normal"/>
        <w:numPr>
          <w:ilvl w:val="0"/>
          <w:numId w:val="9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skutków potwierdzenia przyjęcia przesyłki (moc dokumentu urzędowego) – art. 17 Prawo pocztowe: </w:t>
      </w:r>
      <w:r>
        <w:rPr>
          <w:rFonts w:ascii="Times New Roman" w:hAnsi="Times New Roman"/>
          <w:i/>
          <w:iCs/>
          <w:sz w:val="20"/>
          <w:szCs w:val="20"/>
        </w:rPr>
        <w:t>potwierdzenie nadania przesyłki rejestrowanej lub przekazu pocztowego wydane przez placówkę operatora wyznaczonego</w:t>
      </w:r>
      <w:r>
        <w:rPr>
          <w:rFonts w:ascii="Times New Roman" w:hAnsi="Times New Roman"/>
          <w:i w:val="false"/>
          <w:iCs w:val="false"/>
          <w:sz w:val="20"/>
          <w:szCs w:val="20"/>
        </w:rPr>
        <w:t>.</w:t>
      </w:r>
    </w:p>
    <w:p>
      <w:pPr>
        <w:pStyle w:val="Normal"/>
        <w:numPr>
          <w:ilvl w:val="0"/>
          <w:numId w:val="10"/>
        </w:numPr>
        <w:bidi w:val="0"/>
        <w:spacing w:lineRule="auto" w:line="276"/>
        <w:jc w:val="both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Przedstawiciel Wykonawcy doręcza pisma osobom fizycznym w ich mieszkaniu lub miejscu pracy. Pisma mogą być doręczone również w lokalu organu administracji publicznej, jeżeli przepisy szczegółowe nie stanowią inaczej. W razie niemożności doręczenia pisma w sposób określony w zadaniu 1 i 2, a także w razie koniecznej potrzeby, przedstawiciel Wykonawcy doręcza, za pokwitowaniem dorosłemu domownikowi, sąsiadowi lub dozorcy domu, jeżeli osoby te podjęły się oddania adresatowi. O doręczeniu pisma sąsiadowi lub dozorcy zawiadamia adresata, umieszczając zawiadomienie w oddawczej skrzynce pocztowej lub, gdy to nie jest możliwe, w drzwiach mieszkania. W przypadku nieobecności adresata, przedstawiciel Wykonawcy pozostawia zawiadomienie (pierwsze awizo) o próbie doręczenia przesyłki ze wskazaniem gdzie i kiedy adresat może odebrać list lub przesyłkę. Termin do odbioru przesyłki przez adresata wynosi 14 dni liczonych od dnia następnego po dniu pozostawienia pierwszego awizo, w tym terminie przesyłka jest „awizowana” dwukrotnie. Po upływie terminu odbioru, przesyłka zwracana jest Zamawiającemu wraz z podaniem przyczyny nie dostarczenia przesyłki.</w:t>
      </w:r>
    </w:p>
    <w:p>
      <w:pPr>
        <w:pStyle w:val="Normal"/>
        <w:numPr>
          <w:ilvl w:val="0"/>
          <w:numId w:val="10"/>
        </w:numPr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W przypadku utraty, ubytku, uszkodzenia przesyłki bądź niewykonania lub nienależytego wykonania przedmiotu umowy Wykonawca zapłaci Zamawiającemu należne odszkodowanie lub karę umowną, zgodnie z przepisami rozdziału 8 ustawy z dnia 23 listopada 2012 roku „Prawo Pocztowe” ( t.j. Dz. U. z 2023 r. poz. 1640, z 2024 r. poz. 467, 1222.) i postanowieniami umowy.</w:t>
      </w:r>
    </w:p>
    <w:p>
      <w:pPr>
        <w:pStyle w:val="Normal"/>
        <w:numPr>
          <w:ilvl w:val="0"/>
          <w:numId w:val="10"/>
        </w:numPr>
        <w:bidi w:val="0"/>
        <w:spacing w:lineRule="auto" w:line="276"/>
        <w:jc w:val="both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Usługi pocztowe będą opłacone przez Zamawiającego w formie opłaty z dołu.</w:t>
      </w:r>
    </w:p>
    <w:p>
      <w:pPr>
        <w:pStyle w:val="Normal"/>
        <w:numPr>
          <w:ilvl w:val="0"/>
          <w:numId w:val="10"/>
        </w:numPr>
        <w:bidi w:val="0"/>
        <w:spacing w:lineRule="auto" w:line="276"/>
        <w:jc w:val="both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Za okres rozliczeniowy przyjmuje się jeden miesiąc kalendarzowy. Po miesiącu rozliczeniowym , do 10-go następnego miesiąca wykonawca wystawi fakturę VAT wraz ze specyfikacją ilościowo-wartościową poszczególnych rodzajów przesyłek.</w:t>
      </w:r>
    </w:p>
    <w:p>
      <w:pPr>
        <w:pStyle w:val="Normal"/>
        <w:numPr>
          <w:ilvl w:val="0"/>
          <w:numId w:val="10"/>
        </w:numPr>
        <w:bidi w:val="0"/>
        <w:spacing w:lineRule="auto" w:line="276"/>
        <w:jc w:val="both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Faktury za należności z tytułu opłat za świadczenie usług objętych przedmiotem zamówienia wystawiane będą przez Wykonawcę na: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Gmina Redzikowo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ul. Sportowa 34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76-200 Słupsk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NIP: 839-10-06-582</w:t>
      </w:r>
    </w:p>
    <w:p>
      <w:pPr>
        <w:pStyle w:val="Normal"/>
        <w:numPr>
          <w:ilvl w:val="0"/>
          <w:numId w:val="11"/>
        </w:numPr>
        <w:bidi w:val="0"/>
        <w:spacing w:lineRule="auto" w:line="276"/>
        <w:jc w:val="both"/>
        <w:rPr>
          <w:rFonts w:ascii="Times New Roman" w:hAnsi="Times New Roman"/>
          <w:i w:val="false"/>
          <w:i w:val="false"/>
          <w:iCs w:val="false"/>
          <w:sz w:val="20"/>
          <w:szCs w:val="20"/>
          <w:u w:val="none"/>
        </w:rPr>
      </w:pPr>
      <w:r>
        <w:rPr>
          <w:rFonts w:ascii="Times New Roman" w:hAnsi="Times New Roman"/>
          <w:i w:val="false"/>
          <w:iCs w:val="false"/>
          <w:sz w:val="20"/>
          <w:szCs w:val="20"/>
          <w:u w:val="none"/>
        </w:rPr>
        <w:t>W tabeli stanowiącej załącznik nr 3 do SWZ</w:t>
      </w:r>
      <w:r>
        <w:rPr>
          <w:rFonts w:ascii="Times New Roman" w:hAnsi="Times New Roman"/>
          <w:b w:val="false"/>
          <w:bCs w:val="false"/>
          <w:i w:val="false"/>
          <w:iCs w:val="false"/>
          <w:sz w:val="20"/>
          <w:szCs w:val="20"/>
          <w:u w:val="none"/>
        </w:rPr>
        <w:t xml:space="preserve"> zostały wyszczególnione rodzaje przesyłek jakie będą zlecane Wykonawcy oraz orientacyjne ilości danej korespondencji w skali 24 miesięcy. Zamawiający przyjął podane ilości przesyłek każdego rodzaju w oparciu o analizę potrzeb. Zestawienie to daje podstawę do wyliczenia ceny. Zamawiający nie jest zobowiązany do zrealizowania w 100% podanych ilości przesyłek. Rodzaje i ilość przesyłek w ramach świadczonych usług są szacunkowe i będą ulegały zmianie w zależności od potrzeb Zamawiającego, na co Wykonawca wyraża zgodę. Wykonawca nie będzie dochodził roszczeń z tytułu zmian ilościowych  w trakcie realizacji przedmiotu zamówienia. Faktyczne ilości realizowanych przesyłek mogą odbiegać od podanych ilości, zaś każda z usług wskazanych w tabeli musi być dostępna dla Zamawiającego. Płatność za te usługi będzie realizowana na podstawie formularzy cenowych przedstawionych przez Wykonawcę wraz ze złożoną ofertą.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164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</w:rPr>
    </w:lvl>
  </w:abstractNum>
  <w:abstractNum w:abstractNumId="4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8"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LibreOffice/7.2.6.2$Windows_X86_64 LibreOffice_project/b0ec3a565991f7569a5a7f5d24fed7f52653d754</Application>
  <AppVersion>15.0000</AppVersion>
  <Pages>3</Pages>
  <Words>1455</Words>
  <Characters>9668</Characters>
  <CharactersWithSpaces>11084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2020-11-27T10:36:59Z</dcterms:created>
  <dc:creator/>
  <dc:description/>
  <dc:language>pl-PL</dc:language>
  <cp:lastModifiedBy/>
  <dcterms:modified xsi:type="dcterms:W3CDTF">2024-11-04T10:00:01Z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