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D9" w:rsidRDefault="006F1FD9" w:rsidP="006F1FD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pl-PL"/>
        </w:rPr>
      </w:pPr>
    </w:p>
    <w:p w:rsidR="006F1FD9" w:rsidRPr="00667F8D" w:rsidRDefault="006F1FD9" w:rsidP="006F1FD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667F8D">
        <w:rPr>
          <w:rFonts w:ascii="Garamond" w:eastAsia="Times New Roman" w:hAnsi="Garamond" w:cs="Times New Roman"/>
          <w:b/>
          <w:bCs/>
          <w:color w:val="000000"/>
          <w:lang w:eastAsia="pl-PL"/>
        </w:rPr>
        <w:t>PARAMETRY W KRYTERIUM OCENY „JAKOŚĆ”</w:t>
      </w:r>
    </w:p>
    <w:p w:rsidR="006F1FD9" w:rsidRDefault="006F1FD9" w:rsidP="006F1FD9">
      <w:pPr>
        <w:keepNext/>
        <w:jc w:val="center"/>
        <w:rPr>
          <w:rFonts w:ascii="Garamond" w:hAnsi="Garamond"/>
        </w:rPr>
      </w:pPr>
    </w:p>
    <w:p w:rsidR="006F1FD9" w:rsidRDefault="006F1FD9" w:rsidP="006F1FD9">
      <w:pPr>
        <w:keepNext/>
        <w:rPr>
          <w:rFonts w:ascii="Garamond" w:hAnsi="Garamond"/>
        </w:rPr>
      </w:pPr>
    </w:p>
    <w:p w:rsidR="006F1FD9" w:rsidRPr="00B317D8" w:rsidRDefault="006F1FD9" w:rsidP="006F1FD9">
      <w:pPr>
        <w:keepNext/>
        <w:rPr>
          <w:rFonts w:ascii="Garamond" w:hAnsi="Garamond"/>
          <w:b/>
        </w:rPr>
      </w:pPr>
      <w:r>
        <w:rPr>
          <w:rFonts w:ascii="Garamond" w:hAnsi="Garamond"/>
        </w:rPr>
        <w:t xml:space="preserve">                                                                                              </w:t>
      </w:r>
      <w:r w:rsidR="00131C79">
        <w:rPr>
          <w:rFonts w:ascii="Garamond" w:hAnsi="Garamond"/>
          <w:b/>
        </w:rPr>
        <w:t>Część 3</w:t>
      </w:r>
      <w:r w:rsidRPr="00B317D8">
        <w:rPr>
          <w:rFonts w:ascii="Garamond" w:hAnsi="Garamond"/>
          <w:b/>
        </w:rPr>
        <w:t xml:space="preserve"> przedmiot zamówienia</w:t>
      </w:r>
    </w:p>
    <w:p w:rsidR="006F1FD9" w:rsidRPr="00A77C41" w:rsidRDefault="006F1FD9" w:rsidP="006F1FD9">
      <w:pPr>
        <w:keepNext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A77C41">
        <w:rPr>
          <w:rFonts w:ascii="Garamond" w:eastAsia="Times New Roman" w:hAnsi="Garamond" w:cs="Times New Roman"/>
          <w:b/>
          <w:lang w:eastAsia="pl-PL"/>
        </w:rPr>
        <w:t>Dzierżawa dwóch (2sztuki) automatycznych analizatorów ELISA/CLIA do ilościowego oznaczania przeciwciał anty-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Borrelia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burgdorferi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(sensu lato) w surowicy i płynie mózgowo-rdzeniowym (łącznie z algorytmem oceny wewnątrzoponowej syntezy przeciwciał), wraz z dedykowanymi zestawami odczynnikowymi przeznaczonymi do tych oznaczeń ( ELISA-metoda immunoenzymatyczna- diagnostyka boreliozy) oraz do   jakościowego i / lub ilościowego oznaczania przeciwciał:  Adenowirus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Bartonella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Henselae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Bordetella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Pertussis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Toxin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Brucella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Chlamydophila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Pneumoniae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Coxiella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Burneti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Dengue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Diphteria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Epstein-Barr EBNA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 Epstein-Barr VCA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 Epstein-Barr VCA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Herpes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Simplex1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Herpes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Simplex2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Measles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Mycoplasma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Pneumoniae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Parvovirus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Rickettsia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Conorii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Tetanus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Tick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-Borne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Encephalitis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Varicella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-Zoster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,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Zika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IgG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i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IgM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 xml:space="preserve"> w surowicy wraz z dedykowanymi zestawami odczynnikowymi przeznaczonymi do tych oznaczeń (CLIA- metoda chemiluminescencji-  </w:t>
      </w:r>
      <w:proofErr w:type="spellStart"/>
      <w:r w:rsidRPr="00A77C41">
        <w:rPr>
          <w:rFonts w:ascii="Garamond" w:eastAsia="Times New Roman" w:hAnsi="Garamond" w:cs="Times New Roman"/>
          <w:b/>
          <w:lang w:eastAsia="pl-PL"/>
        </w:rPr>
        <w:t>monotesty</w:t>
      </w:r>
      <w:proofErr w:type="spellEnd"/>
      <w:r w:rsidRPr="00A77C41">
        <w:rPr>
          <w:rFonts w:ascii="Garamond" w:eastAsia="Times New Roman" w:hAnsi="Garamond" w:cs="Times New Roman"/>
          <w:b/>
          <w:lang w:eastAsia="pl-PL"/>
        </w:rPr>
        <w:t>)</w:t>
      </w:r>
    </w:p>
    <w:p w:rsidR="006F1FD9" w:rsidRPr="00A77C41" w:rsidRDefault="006F1FD9" w:rsidP="006F1FD9">
      <w:pPr>
        <w:keepNext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1FD9" w:rsidRPr="00D45317" w:rsidRDefault="006F1FD9" w:rsidP="006F1FD9">
      <w:pPr>
        <w:keepNext/>
        <w:jc w:val="center"/>
        <w:rPr>
          <w:rFonts w:ascii="Garamond" w:hAnsi="Garamond"/>
        </w:rPr>
      </w:pPr>
      <w:r w:rsidRPr="00D45317">
        <w:rPr>
          <w:rFonts w:ascii="Garamond" w:hAnsi="Garamond"/>
        </w:rPr>
        <w:t xml:space="preserve">Kryterium jakościowe oceny dla </w:t>
      </w:r>
      <w:r>
        <w:rPr>
          <w:rFonts w:ascii="Garamond" w:hAnsi="Garamond"/>
        </w:rPr>
        <w:t>analizatora</w:t>
      </w:r>
    </w:p>
    <w:tbl>
      <w:tblPr>
        <w:tblpPr w:leftFromText="141" w:rightFromText="141" w:vertAnchor="text" w:horzAnchor="margin" w:tblpXSpec="center" w:tblpY="114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5879"/>
        <w:gridCol w:w="2453"/>
        <w:gridCol w:w="2512"/>
        <w:gridCol w:w="2527"/>
      </w:tblGrid>
      <w:tr w:rsidR="0096743C" w:rsidRPr="00D45317" w:rsidTr="0096743C">
        <w:tc>
          <w:tcPr>
            <w:tcW w:w="623" w:type="dxa"/>
            <w:vAlign w:val="center"/>
          </w:tcPr>
          <w:p w:rsidR="0096743C" w:rsidRPr="00D45317" w:rsidRDefault="0096743C" w:rsidP="00535C5E">
            <w:pPr>
              <w:jc w:val="center"/>
              <w:rPr>
                <w:rFonts w:ascii="Garamond" w:hAnsi="Garamond"/>
              </w:rPr>
            </w:pPr>
            <w:r w:rsidRPr="00D45317">
              <w:rPr>
                <w:rFonts w:ascii="Garamond" w:hAnsi="Garamond"/>
              </w:rPr>
              <w:t>Lp.</w:t>
            </w:r>
          </w:p>
        </w:tc>
        <w:tc>
          <w:tcPr>
            <w:tcW w:w="5879" w:type="dxa"/>
            <w:vAlign w:val="center"/>
          </w:tcPr>
          <w:p w:rsidR="0096743C" w:rsidRPr="00D45317" w:rsidRDefault="0096743C" w:rsidP="00535C5E">
            <w:pPr>
              <w:pStyle w:val="Nagwek3"/>
              <w:spacing w:before="120" w:after="120"/>
              <w:rPr>
                <w:rFonts w:ascii="Garamond" w:hAnsi="Garamond"/>
                <w:b w:val="0"/>
                <w:sz w:val="22"/>
                <w:szCs w:val="22"/>
              </w:rPr>
            </w:pPr>
            <w:r w:rsidRPr="00D45317">
              <w:rPr>
                <w:rFonts w:ascii="Garamond" w:hAnsi="Garamond"/>
                <w:b w:val="0"/>
                <w:sz w:val="22"/>
                <w:szCs w:val="22"/>
              </w:rPr>
              <w:t>Opis parametru</w:t>
            </w:r>
          </w:p>
        </w:tc>
        <w:tc>
          <w:tcPr>
            <w:tcW w:w="2453" w:type="dxa"/>
          </w:tcPr>
          <w:p w:rsidR="0096743C" w:rsidRDefault="0096743C" w:rsidP="00535C5E">
            <w:pPr>
              <w:rPr>
                <w:rFonts w:ascii="Garamond" w:hAnsi="Garamond"/>
              </w:rPr>
            </w:pPr>
            <w:r w:rsidRPr="0096743C">
              <w:rPr>
                <w:rFonts w:ascii="Garamond" w:hAnsi="Garamond"/>
              </w:rPr>
              <w:t>„Potwierdzenie spełnienia (należy wpisać Tak lub Nie)”</w:t>
            </w:r>
          </w:p>
        </w:tc>
        <w:tc>
          <w:tcPr>
            <w:tcW w:w="2512" w:type="dxa"/>
            <w:vAlign w:val="center"/>
          </w:tcPr>
          <w:p w:rsidR="0096743C" w:rsidRPr="00D45317" w:rsidRDefault="0096743C" w:rsidP="00535C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Punktacja </w:t>
            </w:r>
            <w:r w:rsidRPr="00D45317">
              <w:rPr>
                <w:rFonts w:ascii="Garamond" w:hAnsi="Garamond"/>
              </w:rPr>
              <w:t xml:space="preserve"> w ocenie</w:t>
            </w:r>
          </w:p>
        </w:tc>
        <w:tc>
          <w:tcPr>
            <w:tcW w:w="2527" w:type="dxa"/>
            <w:tcBorders>
              <w:bottom w:val="single" w:sz="4" w:space="0" w:color="auto"/>
              <w:right w:val="single" w:sz="4" w:space="0" w:color="auto"/>
            </w:tcBorders>
          </w:tcPr>
          <w:p w:rsidR="0096743C" w:rsidRDefault="0096743C" w:rsidP="00535C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Opis sposobu oceny</w:t>
            </w:r>
          </w:p>
        </w:tc>
      </w:tr>
      <w:tr w:rsidR="0096743C" w:rsidRPr="00D45317" w:rsidTr="0096743C">
        <w:trPr>
          <w:trHeight w:val="307"/>
        </w:trPr>
        <w:tc>
          <w:tcPr>
            <w:tcW w:w="623" w:type="dxa"/>
            <w:vAlign w:val="center"/>
          </w:tcPr>
          <w:p w:rsidR="0096743C" w:rsidRPr="003E7FFB" w:rsidRDefault="0096743C" w:rsidP="00535C5E">
            <w:pPr>
              <w:jc w:val="center"/>
              <w:rPr>
                <w:rFonts w:ascii="Garamond" w:hAnsi="Garamond"/>
              </w:rPr>
            </w:pPr>
            <w:r w:rsidRPr="003E7FFB">
              <w:rPr>
                <w:rFonts w:ascii="Garamond" w:hAnsi="Garamond"/>
              </w:rPr>
              <w:t>1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43C" w:rsidRPr="003E7FFB" w:rsidRDefault="0096743C" w:rsidP="00535C5E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t xml:space="preserve">Aparat umożliwia wykonie minimum 24 </w:t>
            </w:r>
            <w:proofErr w:type="spellStart"/>
            <w:r>
              <w:rPr>
                <w:rFonts w:ascii="Garamond" w:eastAsia="Calibri" w:hAnsi="Garamond"/>
              </w:rPr>
              <w:t>monotestów</w:t>
            </w:r>
            <w:proofErr w:type="spellEnd"/>
            <w:r>
              <w:rPr>
                <w:rFonts w:ascii="Garamond" w:eastAsia="Calibri" w:hAnsi="Garamond"/>
              </w:rPr>
              <w:t xml:space="preserve"> jednocześnie w zakresie różnych parametrów.</w:t>
            </w:r>
          </w:p>
        </w:tc>
        <w:tc>
          <w:tcPr>
            <w:tcW w:w="2453" w:type="dxa"/>
          </w:tcPr>
          <w:p w:rsidR="0096743C" w:rsidRPr="003E7FFB" w:rsidRDefault="0096743C" w:rsidP="00535C5E">
            <w:pPr>
              <w:jc w:val="center"/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2512" w:type="dxa"/>
            <w:vAlign w:val="center"/>
          </w:tcPr>
          <w:p w:rsidR="0096743C" w:rsidRPr="003E7FFB" w:rsidRDefault="0096743C" w:rsidP="00535C5E">
            <w:pPr>
              <w:jc w:val="center"/>
              <w:rPr>
                <w:rFonts w:ascii="Garamond" w:hAnsi="Garamond"/>
              </w:rPr>
            </w:pPr>
            <w:r w:rsidRPr="003E7FFB">
              <w:rPr>
                <w:rFonts w:ascii="Garamond" w:hAnsi="Garamond"/>
              </w:rPr>
              <w:t>TAK  20</w:t>
            </w:r>
            <w:r>
              <w:rPr>
                <w:rFonts w:ascii="Garamond" w:hAnsi="Garamond"/>
              </w:rPr>
              <w:t xml:space="preserve"> </w:t>
            </w:r>
            <w:r w:rsidRPr="003E7FFB">
              <w:rPr>
                <w:rFonts w:ascii="Garamond" w:hAnsi="Garamond"/>
              </w:rPr>
              <w:t>pkt</w:t>
            </w:r>
          </w:p>
          <w:p w:rsidR="0096743C" w:rsidRPr="003E7FFB" w:rsidRDefault="0096743C" w:rsidP="00535C5E">
            <w:pPr>
              <w:jc w:val="center"/>
              <w:rPr>
                <w:rFonts w:ascii="Garamond" w:hAnsi="Garamond"/>
              </w:rPr>
            </w:pPr>
            <w:r w:rsidRPr="003E7FFB">
              <w:rPr>
                <w:rFonts w:ascii="Garamond" w:hAnsi="Garamond"/>
              </w:rPr>
              <w:t xml:space="preserve">NIE  </w:t>
            </w:r>
            <w:r>
              <w:rPr>
                <w:rFonts w:ascii="Garamond" w:hAnsi="Garamond"/>
              </w:rPr>
              <w:t xml:space="preserve">   </w:t>
            </w:r>
            <w:r w:rsidRPr="003E7FFB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 xml:space="preserve"> </w:t>
            </w:r>
            <w:r w:rsidRPr="003E7FFB">
              <w:rPr>
                <w:rFonts w:ascii="Garamond" w:hAnsi="Garamond"/>
              </w:rPr>
              <w:t>pkt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96743C" w:rsidRPr="00C35E7E" w:rsidRDefault="0096743C" w:rsidP="00535C5E">
            <w:pPr>
              <w:rPr>
                <w:rFonts w:ascii="Garamond" w:hAnsi="Garamond"/>
              </w:rPr>
            </w:pPr>
            <w:r w:rsidRPr="00C35E7E">
              <w:rPr>
                <w:rFonts w:ascii="Garamond" w:hAnsi="Garamond"/>
              </w:rPr>
              <w:t>Wykonawca otrzyma liczbę punktów zgodnie z przyjętym sposobem punktacji</w:t>
            </w:r>
          </w:p>
        </w:tc>
      </w:tr>
    </w:tbl>
    <w:p w:rsidR="006F1FD9" w:rsidRPr="00D45317" w:rsidRDefault="006F1FD9" w:rsidP="006F1FD9">
      <w:pPr>
        <w:keepNext/>
        <w:rPr>
          <w:rFonts w:ascii="Garamond" w:hAnsi="Garamond"/>
        </w:rPr>
      </w:pPr>
    </w:p>
    <w:p w:rsidR="006F1FD9" w:rsidRDefault="006F1FD9" w:rsidP="006F1FD9">
      <w:pPr>
        <w:keepNext/>
        <w:jc w:val="center"/>
        <w:rPr>
          <w:rFonts w:ascii="Garamond" w:hAnsi="Garamond"/>
        </w:rPr>
      </w:pPr>
    </w:p>
    <w:p w:rsidR="006F1FD9" w:rsidRPr="00D45317" w:rsidRDefault="006F1FD9" w:rsidP="006F1FD9">
      <w:pPr>
        <w:keepNext/>
        <w:jc w:val="center"/>
        <w:rPr>
          <w:rFonts w:ascii="Garamond" w:hAnsi="Garamond"/>
        </w:rPr>
      </w:pPr>
    </w:p>
    <w:p w:rsidR="008729E2" w:rsidRDefault="008729E2"/>
    <w:sectPr w:rsidR="008729E2" w:rsidSect="006F1FD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D9" w:rsidRDefault="005A40D9" w:rsidP="0015477D">
      <w:pPr>
        <w:spacing w:after="0" w:line="240" w:lineRule="auto"/>
      </w:pPr>
      <w:r>
        <w:separator/>
      </w:r>
    </w:p>
  </w:endnote>
  <w:endnote w:type="continuationSeparator" w:id="0">
    <w:p w:rsidR="005A40D9" w:rsidRDefault="005A40D9" w:rsidP="0015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D9" w:rsidRDefault="005A40D9" w:rsidP="0015477D">
      <w:pPr>
        <w:spacing w:after="0" w:line="240" w:lineRule="auto"/>
      </w:pPr>
      <w:r>
        <w:separator/>
      </w:r>
    </w:p>
  </w:footnote>
  <w:footnote w:type="continuationSeparator" w:id="0">
    <w:p w:rsidR="005A40D9" w:rsidRDefault="005A40D9" w:rsidP="0015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7D" w:rsidRPr="0041360E" w:rsidRDefault="0015477D" w:rsidP="0015477D">
    <w:pPr>
      <w:tabs>
        <w:tab w:val="right" w:pos="9356"/>
      </w:tabs>
      <w:jc w:val="right"/>
      <w:rPr>
        <w:rFonts w:ascii="Garamond" w:hAnsi="Garamond"/>
        <w:bCs/>
      </w:rPr>
    </w:pPr>
    <w:r>
      <w:rPr>
        <w:rFonts w:ascii="Garamond" w:hAnsi="Garamond"/>
        <w:bCs/>
      </w:rPr>
      <w:t xml:space="preserve">Załącznik nr 1b </w:t>
    </w:r>
    <w:r w:rsidRPr="0041360E">
      <w:rPr>
        <w:rFonts w:ascii="Garamond" w:hAnsi="Garamond"/>
        <w:bCs/>
      </w:rPr>
      <w:t xml:space="preserve">do </w:t>
    </w:r>
    <w:r>
      <w:rPr>
        <w:rFonts w:ascii="Garamond" w:hAnsi="Garamond"/>
        <w:bCs/>
      </w:rPr>
      <w:t>SWZ</w:t>
    </w:r>
  </w:p>
  <w:p w:rsidR="0015477D" w:rsidRPr="001978BC" w:rsidRDefault="0015477D" w:rsidP="0015477D">
    <w:pPr>
      <w:jc w:val="both"/>
      <w:rPr>
        <w:rFonts w:ascii="Garamond" w:hAnsi="Garamond"/>
        <w:color w:val="000000"/>
      </w:rPr>
    </w:pPr>
    <w:r>
      <w:rPr>
        <w:rFonts w:ascii="Garamond" w:hAnsi="Garamond"/>
        <w:color w:val="000000"/>
      </w:rPr>
      <w:t>DFP.271.175.2022.AMW</w:t>
    </w:r>
  </w:p>
  <w:p w:rsidR="0015477D" w:rsidRDefault="0015477D" w:rsidP="0015477D">
    <w:pPr>
      <w:pStyle w:val="Nagwek"/>
    </w:pPr>
  </w:p>
  <w:p w:rsidR="0015477D" w:rsidRDefault="001547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D9"/>
    <w:rsid w:val="00131C79"/>
    <w:rsid w:val="0015477D"/>
    <w:rsid w:val="005A40D9"/>
    <w:rsid w:val="006F1FD9"/>
    <w:rsid w:val="007E17E0"/>
    <w:rsid w:val="008729E2"/>
    <w:rsid w:val="0096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7D05-77CC-4C25-BC09-5F77A7E8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F1FD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1FD9"/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15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477D"/>
  </w:style>
  <w:style w:type="paragraph" w:styleId="Stopka">
    <w:name w:val="footer"/>
    <w:basedOn w:val="Normalny"/>
    <w:link w:val="StopkaZnak"/>
    <w:uiPriority w:val="99"/>
    <w:unhideWhenUsed/>
    <w:rsid w:val="0015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Strojna</dc:creator>
  <cp:keywords/>
  <dc:description/>
  <cp:lastModifiedBy>Anna Matys</cp:lastModifiedBy>
  <cp:revision>5</cp:revision>
  <dcterms:created xsi:type="dcterms:W3CDTF">2022-10-24T07:23:00Z</dcterms:created>
  <dcterms:modified xsi:type="dcterms:W3CDTF">2022-11-24T08:19:00Z</dcterms:modified>
</cp:coreProperties>
</file>