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05E02175" w:rsidR="00D708CF" w:rsidRPr="00D13C31" w:rsidRDefault="00944FDF">
      <w:pPr>
        <w:pStyle w:val="right"/>
      </w:pPr>
      <w:r>
        <w:t>Stare Miasto</w:t>
      </w:r>
      <w:r w:rsidR="005E4F19" w:rsidRPr="00D13C31">
        <w:t xml:space="preserve">, dnia </w:t>
      </w:r>
      <w:r w:rsidR="007F087E">
        <w:t>0</w:t>
      </w:r>
      <w:r w:rsidR="00AB6837">
        <w:t>9</w:t>
      </w:r>
      <w:r w:rsidR="000D4ED8">
        <w:t>.0</w:t>
      </w:r>
      <w:r w:rsidR="007F087E">
        <w:t>3</w:t>
      </w:r>
      <w:r w:rsidR="00476E71">
        <w:t>.202</w:t>
      </w:r>
      <w:r w:rsidR="007C73E7">
        <w:t>3</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143C2425" w:rsidR="00944FDF" w:rsidRPr="00B03B07" w:rsidRDefault="000D4ED8" w:rsidP="00B03B07">
      <w:pPr>
        <w:pStyle w:val="Nagwek3"/>
        <w:shd w:val="clear" w:color="auto" w:fill="FFFFFF"/>
        <w:spacing w:before="0"/>
        <w:rPr>
          <w:rFonts w:ascii="Lato" w:hAnsi="Lato"/>
        </w:rPr>
      </w:pPr>
      <w:r w:rsidRPr="0067018F">
        <w:rPr>
          <w:rStyle w:val="bold"/>
          <w:rFonts w:ascii="Arial" w:hAnsi="Arial" w:cs="Arial"/>
          <w:color w:val="auto"/>
        </w:rPr>
        <w:t>Nr sprawy: IZP.271.1.</w:t>
      </w:r>
      <w:r w:rsidR="007F087E" w:rsidRPr="0067018F">
        <w:rPr>
          <w:rStyle w:val="bold"/>
          <w:rFonts w:ascii="Arial" w:hAnsi="Arial" w:cs="Arial"/>
          <w:color w:val="auto"/>
        </w:rPr>
        <w:t>4</w:t>
      </w:r>
      <w:r w:rsidR="00476E71" w:rsidRPr="0067018F">
        <w:rPr>
          <w:rStyle w:val="bold"/>
          <w:rFonts w:ascii="Arial" w:hAnsi="Arial" w:cs="Arial"/>
          <w:color w:val="auto"/>
        </w:rPr>
        <w:t>.202</w:t>
      </w:r>
      <w:r w:rsidR="007C73E7" w:rsidRPr="0067018F">
        <w:rPr>
          <w:rStyle w:val="bold"/>
          <w:rFonts w:ascii="Arial" w:hAnsi="Arial" w:cs="Arial"/>
          <w:color w:val="auto"/>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81067E" w:rsidRPr="0081067E">
        <w:rPr>
          <w:rFonts w:ascii="Arial" w:hAnsi="Arial" w:cs="Arial"/>
          <w:b/>
          <w:bCs/>
          <w:color w:val="auto"/>
        </w:rPr>
        <w:t>2023/BZP 00128169</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3A4EF828" w14:textId="77777777" w:rsidR="007F087E" w:rsidRDefault="007F087E" w:rsidP="007F087E">
      <w:pPr>
        <w:pStyle w:val="justify"/>
        <w:spacing w:line="240" w:lineRule="auto"/>
        <w:jc w:val="center"/>
        <w:rPr>
          <w:rStyle w:val="bold"/>
          <w:rFonts w:ascii="Arial" w:hAnsi="Arial" w:cs="Arial"/>
          <w:sz w:val="28"/>
          <w:szCs w:val="28"/>
        </w:rPr>
      </w:pPr>
      <w:r w:rsidRPr="007F087E">
        <w:rPr>
          <w:rStyle w:val="bold"/>
          <w:rFonts w:ascii="Arial" w:hAnsi="Arial" w:cs="Arial"/>
          <w:sz w:val="28"/>
          <w:szCs w:val="28"/>
        </w:rPr>
        <w:t xml:space="preserve">PRZEBUDOWA ULIC SZKOLNEJ I MORWOWEJ </w:t>
      </w:r>
    </w:p>
    <w:p w14:paraId="0A18261F" w14:textId="08A197F3" w:rsidR="007F087E" w:rsidRPr="007F087E" w:rsidRDefault="007F087E" w:rsidP="007F087E">
      <w:pPr>
        <w:pStyle w:val="justify"/>
        <w:spacing w:line="240" w:lineRule="auto"/>
        <w:jc w:val="center"/>
        <w:rPr>
          <w:rStyle w:val="bold"/>
          <w:rFonts w:ascii="Arial" w:hAnsi="Arial" w:cs="Arial"/>
          <w:sz w:val="28"/>
          <w:szCs w:val="28"/>
        </w:rPr>
      </w:pPr>
      <w:r w:rsidRPr="007F087E">
        <w:rPr>
          <w:rStyle w:val="bold"/>
          <w:rFonts w:ascii="Arial" w:hAnsi="Arial" w:cs="Arial"/>
          <w:sz w:val="28"/>
          <w:szCs w:val="28"/>
        </w:rPr>
        <w:t>W MIEJSCOWOŚCI STARE MIASTO</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2360B1E6" w14:textId="77777777" w:rsidR="00E6515E" w:rsidRPr="00547CDD" w:rsidRDefault="00E6515E" w:rsidP="00547CDD">
      <w:pPr>
        <w:pStyle w:val="p"/>
        <w:jc w:val="center"/>
        <w:rPr>
          <w:rStyle w:val="bold"/>
          <w:rFonts w:ascii="Arial" w:hAnsi="Arial" w:cs="Arial"/>
        </w:rPr>
      </w:pPr>
    </w:p>
    <w:p w14:paraId="4F959C4C" w14:textId="77777777" w:rsidR="00547CDD" w:rsidRPr="00722A6E" w:rsidRDefault="00547CDD" w:rsidP="00547CDD">
      <w:pPr>
        <w:pStyle w:val="p"/>
        <w:jc w:val="center"/>
        <w:rPr>
          <w:rFonts w:ascii="Arial" w:hAnsi="Arial" w:cs="Arial"/>
          <w:b/>
        </w:rPr>
      </w:pPr>
      <w:r w:rsidRPr="00722A6E">
        <w:rPr>
          <w:rFonts w:ascii="Arial" w:hAnsi="Arial" w:cs="Arial"/>
          <w:b/>
        </w:rPr>
        <w:t xml:space="preserve">Zadanie realizowane w ramach dofinansowania inwestycji </w:t>
      </w:r>
    </w:p>
    <w:p w14:paraId="3999DDFC" w14:textId="77777777" w:rsidR="00E6515E" w:rsidRPr="00722A6E" w:rsidRDefault="00547CDD" w:rsidP="00547CDD">
      <w:pPr>
        <w:pStyle w:val="p"/>
        <w:jc w:val="center"/>
        <w:rPr>
          <w:rStyle w:val="bold"/>
          <w:rFonts w:ascii="Arial" w:hAnsi="Arial" w:cs="Arial"/>
          <w:b w:val="0"/>
        </w:rPr>
      </w:pPr>
      <w:r w:rsidRPr="00722A6E">
        <w:rPr>
          <w:rFonts w:ascii="Arial" w:hAnsi="Arial" w:cs="Arial"/>
          <w:b/>
        </w:rPr>
        <w:t xml:space="preserve"> programu Rządowy Fundusz Polski Ład: Program Inwestycji Strategicznych</w:t>
      </w:r>
    </w:p>
    <w:p w14:paraId="5EE5E63C" w14:textId="77777777" w:rsidR="00E6515E" w:rsidRDefault="00E6515E">
      <w:pPr>
        <w:pStyle w:val="p"/>
        <w:rPr>
          <w:rStyle w:val="bold"/>
        </w:rPr>
      </w:pPr>
    </w:p>
    <w:p w14:paraId="34BE75E5" w14:textId="77777777" w:rsidR="00E6515E" w:rsidRDefault="00E6515E">
      <w:pPr>
        <w:pStyle w:val="p"/>
        <w:rPr>
          <w:rStyle w:val="bold"/>
        </w:rPr>
      </w:pPr>
    </w:p>
    <w:p w14:paraId="09BDB3D4" w14:textId="77777777" w:rsidR="00E6515E" w:rsidRDefault="00E6515E">
      <w:pPr>
        <w:pStyle w:val="p"/>
        <w:rPr>
          <w:rStyle w:val="bold"/>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6353C1E6" w14:textId="77777777" w:rsidR="000D4ED8" w:rsidRDefault="000D4ED8">
      <w:pPr>
        <w:pStyle w:val="p"/>
      </w:pPr>
    </w:p>
    <w:p w14:paraId="1F428DCA" w14:textId="77777777" w:rsidR="00890791" w:rsidRDefault="00890791">
      <w:pPr>
        <w:pStyle w:val="p"/>
      </w:pPr>
    </w:p>
    <w:p w14:paraId="5746542D" w14:textId="77777777" w:rsidR="00547CDD" w:rsidRDefault="00547CDD">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55C51CEF"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4601AD">
        <w:t>2</w:t>
      </w:r>
      <w:r w:rsidR="005F288F" w:rsidRPr="000C1F74">
        <w:t>r. poz. 1</w:t>
      </w:r>
      <w:r w:rsidR="004601AD">
        <w:t>360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118892F5" w14:textId="77777777" w:rsidR="00AB6837" w:rsidRDefault="00B469B4" w:rsidP="00AB6837">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p>
    <w:p w14:paraId="445E899C" w14:textId="20F27BEA" w:rsidR="00AB6837" w:rsidRPr="00AB6837" w:rsidRDefault="00AB6837" w:rsidP="00AB6837">
      <w:pPr>
        <w:pStyle w:val="p"/>
        <w:spacing w:line="240" w:lineRule="auto"/>
        <w:jc w:val="center"/>
        <w:rPr>
          <w:rStyle w:val="bold"/>
          <w:rFonts w:cs="Arial"/>
          <w:b w:val="0"/>
          <w:color w:val="FF0000"/>
        </w:rPr>
      </w:pPr>
      <w:r w:rsidRPr="00AB6837">
        <w:rPr>
          <w:rStyle w:val="bold"/>
          <w:rFonts w:cs="Times New Roman"/>
          <w:sz w:val="24"/>
          <w:szCs w:val="24"/>
        </w:rPr>
        <w:t>PRZEBUDOWA ULIC SZKOLNEJ I MORWOWEJ W MIEJSCOWOŚCI STARE MIASTO</w:t>
      </w:r>
    </w:p>
    <w:p w14:paraId="58437F50" w14:textId="77777777" w:rsidR="00AB6837" w:rsidRPr="00AB6837" w:rsidRDefault="00AB6837" w:rsidP="007F087E">
      <w:pPr>
        <w:pStyle w:val="justify"/>
        <w:spacing w:line="240" w:lineRule="auto"/>
        <w:rPr>
          <w:rFonts w:cs="Times New Roman"/>
          <w:b/>
          <w:i/>
          <w:sz w:val="10"/>
          <w:szCs w:val="10"/>
        </w:rPr>
      </w:pPr>
    </w:p>
    <w:p w14:paraId="03F8AC4B" w14:textId="3F7A7767" w:rsidR="00A14C23" w:rsidRDefault="00A14C23" w:rsidP="007F087E">
      <w:pPr>
        <w:pStyle w:val="justify"/>
        <w:spacing w:line="240" w:lineRule="auto"/>
        <w:rPr>
          <w:rFonts w:cs="Times New Roman"/>
          <w:b/>
          <w:i/>
        </w:rPr>
      </w:pPr>
      <w:r w:rsidRPr="00407CD5">
        <w:rPr>
          <w:rFonts w:cs="Times New Roman"/>
          <w:b/>
          <w:i/>
        </w:rPr>
        <w:t xml:space="preserve">Zamówienie jest realizowane w ramach Programu Rządowy Fundusz Polski Ład: Programu Inwestycji Strategicznych, </w:t>
      </w:r>
      <w:r>
        <w:rPr>
          <w:rFonts w:cs="Times New Roman"/>
          <w:b/>
          <w:i/>
        </w:rPr>
        <w:t xml:space="preserve">            </w:t>
      </w:r>
      <w:r w:rsidRPr="00407CD5">
        <w:rPr>
          <w:rFonts w:cs="Times New Roman"/>
          <w:b/>
          <w:i/>
        </w:rPr>
        <w:t>w oparciu o Uchwałę Rady Ministrów nr 84/2021 z dnia 1 lipca 2021r. (zmienionej uchwałą nr 176/2021 z dnia 28 grudnia 2021r.</w:t>
      </w:r>
      <w:r>
        <w:rPr>
          <w:rFonts w:cs="Times New Roman"/>
          <w:b/>
          <w:i/>
        </w:rPr>
        <w:t xml:space="preserve">, </w:t>
      </w:r>
      <w:r w:rsidRPr="00407CD5">
        <w:rPr>
          <w:rFonts w:cs="Times New Roman"/>
          <w:b/>
          <w:i/>
        </w:rPr>
        <w:t>uchwałą Rady Ministrów nr 87/2022 z dnia 26 kwietnia 2022r.</w:t>
      </w:r>
      <w:r>
        <w:rPr>
          <w:rFonts w:cs="Times New Roman"/>
          <w:b/>
          <w:i/>
        </w:rPr>
        <w:t xml:space="preserve"> </w:t>
      </w:r>
      <w:r w:rsidRPr="00407CD5">
        <w:rPr>
          <w:rFonts w:cs="Times New Roman"/>
          <w:b/>
          <w:i/>
        </w:rPr>
        <w:t xml:space="preserve">oraz uchwałą Rady Ministrów nr </w:t>
      </w:r>
      <w:r>
        <w:rPr>
          <w:rFonts w:cs="Times New Roman"/>
          <w:b/>
          <w:i/>
        </w:rPr>
        <w:t>205</w:t>
      </w:r>
      <w:r w:rsidRPr="00407CD5">
        <w:rPr>
          <w:rFonts w:cs="Times New Roman"/>
          <w:b/>
          <w:i/>
        </w:rPr>
        <w:t xml:space="preserve">/2022 </w:t>
      </w:r>
      <w:r w:rsidR="007F087E">
        <w:rPr>
          <w:rFonts w:cs="Times New Roman"/>
          <w:b/>
          <w:i/>
        </w:rPr>
        <w:t xml:space="preserve">                                </w:t>
      </w:r>
      <w:r w:rsidRPr="00407CD5">
        <w:rPr>
          <w:rFonts w:cs="Times New Roman"/>
          <w:b/>
          <w:i/>
        </w:rPr>
        <w:t>z dnia</w:t>
      </w:r>
      <w:r>
        <w:rPr>
          <w:rFonts w:cs="Times New Roman"/>
          <w:b/>
          <w:i/>
        </w:rPr>
        <w:t xml:space="preserve"> 13 października </w:t>
      </w:r>
      <w:r w:rsidRPr="00407CD5">
        <w:rPr>
          <w:rFonts w:cs="Times New Roman"/>
          <w:b/>
          <w:i/>
        </w:rPr>
        <w:t>2022r.)</w:t>
      </w:r>
      <w:r>
        <w:rPr>
          <w:rFonts w:cs="Times New Roman"/>
          <w:b/>
          <w:i/>
        </w:rPr>
        <w:t xml:space="preserve"> </w:t>
      </w:r>
      <w:r w:rsidRPr="00407CD5">
        <w:rPr>
          <w:rFonts w:cs="Times New Roman"/>
          <w:b/>
          <w:i/>
        </w:rPr>
        <w:t xml:space="preserve">i objęte wstępną Promesą Banku Gospodarstwa Krajowego w Warszawie </w:t>
      </w:r>
      <w:r w:rsidR="007F087E">
        <w:rPr>
          <w:rFonts w:cs="Times New Roman"/>
          <w:b/>
          <w:i/>
        </w:rPr>
        <w:t xml:space="preserve">                                       </w:t>
      </w:r>
      <w:r w:rsidRPr="00407CD5">
        <w:rPr>
          <w:rFonts w:cs="Times New Roman"/>
          <w:b/>
          <w:i/>
        </w:rPr>
        <w:t>nr</w:t>
      </w:r>
      <w:r>
        <w:rPr>
          <w:rFonts w:cs="Times New Roman"/>
          <w:b/>
          <w:i/>
        </w:rPr>
        <w:t xml:space="preserve"> </w:t>
      </w:r>
      <w:r w:rsidRPr="00407CD5">
        <w:rPr>
          <w:rFonts w:cs="Times New Roman"/>
          <w:b/>
          <w:i/>
        </w:rPr>
        <w:t>Edycja2/2021/</w:t>
      </w:r>
      <w:r w:rsidR="007F087E">
        <w:rPr>
          <w:rFonts w:cs="Times New Roman"/>
          <w:b/>
          <w:i/>
        </w:rPr>
        <w:t>813</w:t>
      </w:r>
      <w:r w:rsidRPr="00407CD5">
        <w:rPr>
          <w:rFonts w:cs="Times New Roman"/>
          <w:b/>
          <w:i/>
        </w:rPr>
        <w:t>/</w:t>
      </w:r>
      <w:proofErr w:type="spellStart"/>
      <w:r w:rsidRPr="00407CD5">
        <w:rPr>
          <w:rFonts w:cs="Times New Roman"/>
          <w:b/>
          <w:i/>
        </w:rPr>
        <w:t>PolskiLad</w:t>
      </w:r>
      <w:proofErr w:type="spellEnd"/>
      <w:r>
        <w:rPr>
          <w:rFonts w:cs="Times New Roman"/>
          <w:b/>
          <w:i/>
        </w:rPr>
        <w:t xml:space="preserve"> </w:t>
      </w:r>
      <w:r w:rsidRPr="00407CD5">
        <w:rPr>
          <w:rFonts w:cs="Times New Roman"/>
          <w:b/>
          <w:i/>
        </w:rPr>
        <w:t>dotyczącą dofinansowania inwestycji</w:t>
      </w:r>
      <w:r>
        <w:rPr>
          <w:rFonts w:cs="Times New Roman"/>
          <w:b/>
          <w:i/>
        </w:rPr>
        <w:t>.</w:t>
      </w:r>
    </w:p>
    <w:p w14:paraId="6EA41506" w14:textId="77777777" w:rsidR="007F087E" w:rsidRPr="007F087E" w:rsidRDefault="007F087E" w:rsidP="0063730D">
      <w:pPr>
        <w:pStyle w:val="p"/>
        <w:spacing w:line="240" w:lineRule="auto"/>
        <w:rPr>
          <w:rStyle w:val="bold"/>
          <w:rFonts w:cs="Arial"/>
          <w:b w:val="0"/>
          <w:sz w:val="10"/>
          <w:szCs w:val="10"/>
        </w:rPr>
      </w:pPr>
    </w:p>
    <w:p w14:paraId="77315F98" w14:textId="7FC2C8F3" w:rsidR="00705755" w:rsidRPr="00C00630" w:rsidRDefault="00B469B4" w:rsidP="0063730D">
      <w:pPr>
        <w:pStyle w:val="p"/>
        <w:spacing w:line="240" w:lineRule="auto"/>
        <w:rPr>
          <w:rStyle w:val="bold"/>
          <w:rFonts w:cs="Arial"/>
          <w:b w:val="0"/>
        </w:rPr>
      </w:pPr>
      <w:r w:rsidRPr="00C00630">
        <w:rPr>
          <w:rStyle w:val="bold"/>
          <w:rFonts w:cs="Arial"/>
          <w:b w:val="0"/>
        </w:rPr>
        <w:t>3.2. Szczegółowy opis przedmiotu zamówienia:</w:t>
      </w:r>
      <w:r w:rsidR="00E73BC9" w:rsidRPr="00C00630">
        <w:rPr>
          <w:rStyle w:val="bold"/>
          <w:rFonts w:cs="Arial"/>
          <w:b w:val="0"/>
        </w:rPr>
        <w:t xml:space="preserve"> </w:t>
      </w:r>
    </w:p>
    <w:p w14:paraId="3A50365B" w14:textId="1476EC80" w:rsidR="00AE06E4" w:rsidRPr="00C00630" w:rsidRDefault="00C00630" w:rsidP="00C00630">
      <w:pPr>
        <w:pStyle w:val="p"/>
        <w:spacing w:line="240" w:lineRule="auto"/>
        <w:rPr>
          <w:rFonts w:cs="Arial"/>
          <w:b/>
          <w:bCs/>
        </w:rPr>
      </w:pPr>
      <w:r w:rsidRPr="00C00630">
        <w:rPr>
          <w:rFonts w:cs="Arial"/>
          <w:b/>
          <w:bCs/>
        </w:rPr>
        <w:t>ULICA SZKOLNA</w:t>
      </w:r>
    </w:p>
    <w:p w14:paraId="27F49FC1" w14:textId="07F7842E" w:rsidR="00C00630" w:rsidRDefault="00AE06E4" w:rsidP="00C00630">
      <w:pPr>
        <w:shd w:val="clear" w:color="auto" w:fill="FFFFFF"/>
        <w:spacing w:after="0" w:line="240" w:lineRule="auto"/>
        <w:jc w:val="both"/>
        <w:rPr>
          <w:rFonts w:cs="Arial"/>
        </w:rPr>
      </w:pPr>
      <w:r w:rsidRPr="00AE06E4">
        <w:rPr>
          <w:rFonts w:cs="Arial"/>
        </w:rPr>
        <w:t>Przedmiotem opracowania jest</w:t>
      </w:r>
      <w:r w:rsidR="00C00630">
        <w:rPr>
          <w:rFonts w:cs="Arial"/>
        </w:rPr>
        <w:t>:</w:t>
      </w:r>
    </w:p>
    <w:p w14:paraId="4CF88082" w14:textId="39E62FD3" w:rsidR="00C00630" w:rsidRDefault="00AE06E4" w:rsidP="00C00630">
      <w:pPr>
        <w:pStyle w:val="Akapitzlist"/>
        <w:numPr>
          <w:ilvl w:val="0"/>
          <w:numId w:val="25"/>
        </w:numPr>
        <w:shd w:val="clear" w:color="auto" w:fill="FFFFFF"/>
        <w:ind w:left="426"/>
        <w:jc w:val="both"/>
        <w:rPr>
          <w:rFonts w:ascii="Arial Narrow" w:hAnsi="Arial Narrow" w:cs="Arial"/>
        </w:rPr>
      </w:pPr>
      <w:r w:rsidRPr="00C00630">
        <w:rPr>
          <w:rFonts w:ascii="Arial Narrow" w:hAnsi="Arial Narrow" w:cs="Arial"/>
        </w:rPr>
        <w:t xml:space="preserve">budowa chodnika szerokości 1,5÷2,0m i długości 562,00m w ciągu ul. Szkolnej w miejscowości Stare Miasto. W związku </w:t>
      </w:r>
      <w:r w:rsidR="00C00630">
        <w:rPr>
          <w:rFonts w:ascii="Arial Narrow" w:hAnsi="Arial Narrow" w:cs="Arial"/>
        </w:rPr>
        <w:t xml:space="preserve">                 </w:t>
      </w:r>
      <w:r w:rsidRPr="00C00630">
        <w:rPr>
          <w:rFonts w:ascii="Arial Narrow" w:hAnsi="Arial Narrow" w:cs="Arial"/>
        </w:rPr>
        <w:t>z budową chodnika zachodzi konieczność przebudowy istniejących zjazdów na posesje zlokalizowanych wzdłuż planowanej inwestycji. Projekt zakłada wykonanie nowej konstrukcji nawierzchni chodnika oraz zjazdów z betonowej kostki brukowej.</w:t>
      </w:r>
      <w:r w:rsidR="00C00630" w:rsidRPr="00C00630">
        <w:rPr>
          <w:rFonts w:ascii="Arial Narrow" w:hAnsi="Arial Narrow" w:cs="Arial"/>
        </w:rPr>
        <w:t xml:space="preserve"> </w:t>
      </w:r>
    </w:p>
    <w:p w14:paraId="1496AD45"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i/>
          <w:iCs/>
          <w:color w:val="000000"/>
        </w:rPr>
        <w:t>KONSTRUKCJA CHODNIKA:</w:t>
      </w:r>
    </w:p>
    <w:p w14:paraId="04B948B0"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Betonowa kostka brukowa z fazą koloru szarego 6x10x20 cm</w:t>
      </w:r>
    </w:p>
    <w:p w14:paraId="667E671A"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Podsypka cementowo-piaskowa (1:4) – gr. 5 cm</w:t>
      </w:r>
    </w:p>
    <w:p w14:paraId="31927BC8"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Warstwa z betonu C3/4  - gr. 10 C</w:t>
      </w:r>
      <w:r>
        <w:rPr>
          <w:rFonts w:cs="Arial"/>
          <w:color w:val="000000"/>
        </w:rPr>
        <w:t xml:space="preserve">m </w:t>
      </w:r>
    </w:p>
    <w:p w14:paraId="352C5959" w14:textId="2D44558B" w:rsidR="00C00630" w:rsidRP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Warstwa odcinająca z piasku średnioziarnistego  - gr. 10 cm</w:t>
      </w:r>
    </w:p>
    <w:p w14:paraId="67696B05" w14:textId="77777777" w:rsidR="00C00630" w:rsidRDefault="00C00630" w:rsidP="00C00630">
      <w:pPr>
        <w:autoSpaceDE w:val="0"/>
        <w:autoSpaceDN w:val="0"/>
        <w:adjustRightInd w:val="0"/>
        <w:spacing w:after="0" w:line="240" w:lineRule="auto"/>
        <w:ind w:firstLine="360"/>
        <w:rPr>
          <w:rFonts w:cs="Arial"/>
          <w:i/>
          <w:iCs/>
          <w:color w:val="000000"/>
        </w:rPr>
      </w:pPr>
      <w:r w:rsidRPr="00C00630">
        <w:rPr>
          <w:rFonts w:cs="Arial"/>
          <w:i/>
          <w:iCs/>
          <w:color w:val="000000"/>
        </w:rPr>
        <w:t>KONSTRUKCJA ZJAZDU</w:t>
      </w:r>
    </w:p>
    <w:p w14:paraId="6694F2EF"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Betonowa kostka brukowa z fazą koloru czerwonego 8x10x20 cm</w:t>
      </w:r>
    </w:p>
    <w:p w14:paraId="57F0B9D7"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Podsypka cementowo-piaskowa (1:4) – gr. 5 cm</w:t>
      </w:r>
    </w:p>
    <w:p w14:paraId="7B89F612"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t>Warstwa z betonu C12/15  - gr. 15 cm</w:t>
      </w:r>
    </w:p>
    <w:p w14:paraId="1E40758F" w14:textId="77777777" w:rsidR="00C00630" w:rsidRDefault="00C00630" w:rsidP="00C00630">
      <w:pPr>
        <w:autoSpaceDE w:val="0"/>
        <w:autoSpaceDN w:val="0"/>
        <w:adjustRightInd w:val="0"/>
        <w:spacing w:after="0" w:line="240" w:lineRule="auto"/>
        <w:ind w:firstLine="360"/>
        <w:rPr>
          <w:rFonts w:cs="Arial"/>
          <w:color w:val="000000"/>
        </w:rPr>
      </w:pPr>
      <w:r w:rsidRPr="00C00630">
        <w:rPr>
          <w:rFonts w:cs="Arial"/>
          <w:color w:val="000000"/>
        </w:rPr>
        <w:lastRenderedPageBreak/>
        <w:t>Warstwa odcinająca z piasku średnioziarnistego  - gr. 10 cm</w:t>
      </w:r>
    </w:p>
    <w:p w14:paraId="591C0FC2" w14:textId="75385B8B" w:rsidR="00C00630" w:rsidRPr="00BE73F5" w:rsidRDefault="00C00630" w:rsidP="00BE73F5">
      <w:pPr>
        <w:autoSpaceDE w:val="0"/>
        <w:autoSpaceDN w:val="0"/>
        <w:adjustRightInd w:val="0"/>
        <w:spacing w:after="0" w:line="240" w:lineRule="auto"/>
        <w:ind w:firstLine="360"/>
        <w:rPr>
          <w:rFonts w:cs="Arial"/>
        </w:rPr>
      </w:pPr>
      <w:r w:rsidRPr="00C00630">
        <w:rPr>
          <w:rFonts w:cs="Arial"/>
        </w:rPr>
        <w:t>Uwaga:</w:t>
      </w:r>
      <w:r w:rsidR="00BE73F5">
        <w:rPr>
          <w:rFonts w:cs="Arial"/>
        </w:rPr>
        <w:t xml:space="preserve"> </w:t>
      </w:r>
      <w:r w:rsidRPr="00C00630">
        <w:rPr>
          <w:rFonts w:cs="Arial"/>
        </w:rPr>
        <w:t>min</w:t>
      </w:r>
      <w:r w:rsidR="00BE73F5">
        <w:rPr>
          <w:rFonts w:cs="Arial"/>
        </w:rPr>
        <w:t>.</w:t>
      </w:r>
      <w:r w:rsidRPr="00C00630">
        <w:rPr>
          <w:rFonts w:cs="Arial"/>
        </w:rPr>
        <w:t xml:space="preserve"> wartość wskaźnika zagęszczenia podłoża (</w:t>
      </w:r>
      <w:proofErr w:type="spellStart"/>
      <w:r w:rsidRPr="00C00630">
        <w:rPr>
          <w:rFonts w:cs="Arial"/>
        </w:rPr>
        <w:t>I</w:t>
      </w:r>
      <w:r w:rsidRPr="00C00630">
        <w:rPr>
          <w:rFonts w:cs="Arial"/>
          <w:vertAlign w:val="subscript"/>
        </w:rPr>
        <w:t>s</w:t>
      </w:r>
      <w:proofErr w:type="spellEnd"/>
      <w:r w:rsidRPr="00C00630">
        <w:rPr>
          <w:rFonts w:cs="Arial"/>
        </w:rPr>
        <w:t>)</w:t>
      </w:r>
      <w:r w:rsidR="00BE73F5">
        <w:rPr>
          <w:rFonts w:cs="Arial"/>
        </w:rPr>
        <w:t xml:space="preserve"> </w:t>
      </w:r>
      <w:r w:rsidRPr="00C00630">
        <w:rPr>
          <w:rFonts w:cs="Arial"/>
          <w:color w:val="000000"/>
        </w:rPr>
        <w:t>dla warstwy odcinającej z piasku średnioziarnistego wynosi 1,0</w:t>
      </w:r>
    </w:p>
    <w:p w14:paraId="54F72ED9" w14:textId="0A2B253C" w:rsidR="00C00630" w:rsidRPr="00C00630" w:rsidRDefault="00C00630" w:rsidP="00C00630">
      <w:pPr>
        <w:pStyle w:val="Akapitzlist"/>
        <w:numPr>
          <w:ilvl w:val="0"/>
          <w:numId w:val="25"/>
        </w:numPr>
        <w:shd w:val="clear" w:color="auto" w:fill="FFFFFF"/>
        <w:ind w:left="426"/>
        <w:jc w:val="both"/>
        <w:rPr>
          <w:rFonts w:ascii="Arial Narrow" w:hAnsi="Arial Narrow" w:cs="Arial"/>
        </w:rPr>
      </w:pPr>
      <w:r w:rsidRPr="00C00630">
        <w:rPr>
          <w:rFonts w:ascii="Arial Narrow" w:hAnsi="Arial Narrow" w:cs="Arial"/>
        </w:rPr>
        <w:t>wykonanie nowej nawierzchni jezdni na ulicy Szkolnej w m. Stare Miasto z betonu asfaltowego. Zakres prac obejmuje frezowanie i profilowanie istniejącej nawierzchni z betonu asfaltowego, wykonanie poszerzenia jezdni o 50cm na odcinku około 300m, profilowanie i uzupełnienia podbudowy kruszywem łamanym oraz wykonanie nowej nawierzchni jezdni z betonu asfaltowego.</w:t>
      </w:r>
    </w:p>
    <w:p w14:paraId="28A593B0" w14:textId="7234FD03" w:rsidR="00C00630" w:rsidRPr="00C00630" w:rsidRDefault="00C00630" w:rsidP="00C00630">
      <w:pPr>
        <w:pStyle w:val="p"/>
        <w:spacing w:line="240" w:lineRule="auto"/>
        <w:rPr>
          <w:rFonts w:cs="Arial"/>
          <w:b/>
          <w:bCs/>
        </w:rPr>
      </w:pPr>
      <w:r w:rsidRPr="00C00630">
        <w:rPr>
          <w:rFonts w:cs="Arial"/>
          <w:b/>
          <w:bCs/>
        </w:rPr>
        <w:t xml:space="preserve">ULICA </w:t>
      </w:r>
      <w:r>
        <w:rPr>
          <w:rFonts w:cs="Arial"/>
          <w:b/>
          <w:bCs/>
        </w:rPr>
        <w:t>MORWOWA</w:t>
      </w:r>
    </w:p>
    <w:p w14:paraId="65BF4823" w14:textId="77777777" w:rsidR="00C00630" w:rsidRPr="00C00630" w:rsidRDefault="00C00630" w:rsidP="00C00630">
      <w:pPr>
        <w:shd w:val="clear" w:color="auto" w:fill="FFFFFF"/>
        <w:spacing w:after="0" w:line="240" w:lineRule="auto"/>
        <w:jc w:val="both"/>
        <w:rPr>
          <w:rFonts w:cs="Arial"/>
        </w:rPr>
      </w:pPr>
      <w:r w:rsidRPr="00C00630">
        <w:rPr>
          <w:rFonts w:cs="Arial"/>
        </w:rPr>
        <w:t>Przedmiotem opracowania jest:</w:t>
      </w:r>
    </w:p>
    <w:p w14:paraId="1F3E3457" w14:textId="1FB8CD09" w:rsidR="00C00630" w:rsidRPr="00C00630" w:rsidRDefault="00C00630" w:rsidP="00C00630">
      <w:pPr>
        <w:pStyle w:val="Akapitzlist"/>
        <w:numPr>
          <w:ilvl w:val="0"/>
          <w:numId w:val="25"/>
        </w:numPr>
        <w:shd w:val="clear" w:color="auto" w:fill="FFFFFF"/>
        <w:jc w:val="both"/>
        <w:rPr>
          <w:rFonts w:ascii="Arial Narrow" w:hAnsi="Arial Narrow" w:cs="Arial"/>
          <w:color w:val="000000"/>
        </w:rPr>
      </w:pPr>
      <w:r w:rsidRPr="00C00630">
        <w:rPr>
          <w:rFonts w:ascii="Arial Narrow" w:hAnsi="Arial Narrow" w:cs="Arial"/>
        </w:rPr>
        <w:t xml:space="preserve">budowa jednostronnych oraz obustronnych chodników szerokości 2,0m wzdłuż ulicy Morwowej w miejscowości Stare Miasto. W związku z budową chodnika zachodzi konieczność przebudowy części istniejących zjazdów na posesje zlokalizowanych wzdłuż planowanej inwestycji. Projekt zakłada wykonanie nowej konstrukcji nawierzchni chodnika </w:t>
      </w:r>
      <w:r>
        <w:rPr>
          <w:rFonts w:ascii="Arial Narrow" w:hAnsi="Arial Narrow" w:cs="Arial"/>
        </w:rPr>
        <w:t xml:space="preserve">                    </w:t>
      </w:r>
      <w:r w:rsidRPr="00C00630">
        <w:rPr>
          <w:rFonts w:ascii="Arial Narrow" w:hAnsi="Arial Narrow" w:cs="Arial"/>
        </w:rPr>
        <w:t>z betonowej kostki brukowej.</w:t>
      </w:r>
    </w:p>
    <w:p w14:paraId="36E284A4"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i/>
          <w:iCs/>
          <w:color w:val="000000"/>
        </w:rPr>
        <w:t>KONSTRUKCJA CHODNIKA:</w:t>
      </w:r>
    </w:p>
    <w:p w14:paraId="2B07579A"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Betonowa kostka brukowa "cegła" z fazą koloru czerwonego 6x10x20 cm</w:t>
      </w:r>
    </w:p>
    <w:p w14:paraId="53B8887C"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Podsypka cementowo-piaskowa (1:4) – gr. 5 cm</w:t>
      </w:r>
    </w:p>
    <w:p w14:paraId="6958D935"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Warstwa z betonu C3/4  - gr. 10 cm</w:t>
      </w:r>
    </w:p>
    <w:p w14:paraId="1091B021"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Warstwa odcinająca z piasku średnioziarnistego  - gr. 10 cm</w:t>
      </w:r>
    </w:p>
    <w:p w14:paraId="74217C51"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i/>
          <w:iCs/>
          <w:color w:val="000000"/>
        </w:rPr>
        <w:t>KONSTRUKCJA ZJAZDU:</w:t>
      </w:r>
    </w:p>
    <w:p w14:paraId="43AB2776"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Betonowa kostka brukowa "cegła" z fazą koloru czerwonego 8x10x20 cm</w:t>
      </w:r>
    </w:p>
    <w:p w14:paraId="1815B369"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Podsypka cementowo-piaskowa (1:4) – gr. 5 cm</w:t>
      </w:r>
    </w:p>
    <w:p w14:paraId="139078F2"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Warstwa z betonu C12/15  - gr. 20 cm</w:t>
      </w:r>
    </w:p>
    <w:p w14:paraId="287C9F6D" w14:textId="77777777" w:rsidR="00C00630" w:rsidRPr="00C00630" w:rsidRDefault="00C00630" w:rsidP="00C00630">
      <w:pPr>
        <w:autoSpaceDE w:val="0"/>
        <w:autoSpaceDN w:val="0"/>
        <w:adjustRightInd w:val="0"/>
        <w:spacing w:after="0" w:line="240" w:lineRule="auto"/>
        <w:ind w:left="708"/>
        <w:rPr>
          <w:rFonts w:cs="Arial"/>
          <w:color w:val="000000"/>
        </w:rPr>
      </w:pPr>
      <w:r w:rsidRPr="00C00630">
        <w:rPr>
          <w:rFonts w:cs="Arial"/>
          <w:color w:val="000000"/>
        </w:rPr>
        <w:t>• Warstwa odcinająca z piasku średnioziarnistego  - gr. 10 cm</w:t>
      </w:r>
    </w:p>
    <w:p w14:paraId="215826A3" w14:textId="4DCF011F" w:rsidR="00AE06E4" w:rsidRPr="00C00630" w:rsidRDefault="00AE06E4" w:rsidP="0063730D">
      <w:pPr>
        <w:pStyle w:val="p"/>
        <w:spacing w:line="240" w:lineRule="auto"/>
        <w:rPr>
          <w:rStyle w:val="bold"/>
          <w:rFonts w:cs="Arial"/>
          <w:b w:val="0"/>
          <w:color w:val="FF0000"/>
          <w:sz w:val="12"/>
          <w:szCs w:val="12"/>
        </w:rPr>
      </w:pPr>
    </w:p>
    <w:p w14:paraId="19D5104D" w14:textId="0F8BB383" w:rsidR="00B33C63" w:rsidRPr="00C00630" w:rsidRDefault="00B33C63" w:rsidP="0063730D">
      <w:pPr>
        <w:pStyle w:val="p"/>
        <w:spacing w:line="240" w:lineRule="auto"/>
        <w:rPr>
          <w:rStyle w:val="bold"/>
          <w:rFonts w:cs="Arial"/>
          <w:bCs/>
        </w:rPr>
      </w:pPr>
      <w:r w:rsidRPr="00C00630">
        <w:rPr>
          <w:rStyle w:val="bold"/>
          <w:rFonts w:cs="Arial"/>
          <w:bCs/>
        </w:rPr>
        <w:t>Szczegółowy opis przedmiotu zamówienia został zawarty w załączonej dokumentacji oraz w załączonym pomocniczo przedmiarze robót.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Pr="007F087E" w:rsidRDefault="005C218D" w:rsidP="007F087E">
      <w:pPr>
        <w:spacing w:after="0" w:line="240" w:lineRule="auto"/>
        <w:rPr>
          <w:rStyle w:val="bold"/>
        </w:rPr>
      </w:pPr>
      <w:r w:rsidRPr="005C218D">
        <w:rPr>
          <w:b/>
        </w:rPr>
        <w:t>Przedmioty pozostałe:</w:t>
      </w:r>
    </w:p>
    <w:p w14:paraId="371174AB" w14:textId="77777777" w:rsidR="007F087E" w:rsidRPr="007F087E" w:rsidRDefault="007F087E" w:rsidP="007F087E">
      <w:pPr>
        <w:spacing w:after="0" w:line="240" w:lineRule="auto"/>
        <w:rPr>
          <w:bCs/>
        </w:rPr>
      </w:pPr>
      <w:r w:rsidRPr="007F087E">
        <w:rPr>
          <w:bCs/>
        </w:rPr>
        <w:t>45 23 31 20 – 6 Roboty w zakresie budowy dróg</w:t>
      </w:r>
    </w:p>
    <w:p w14:paraId="33B596D8" w14:textId="77777777" w:rsidR="007F087E" w:rsidRPr="007F087E" w:rsidRDefault="007F087E" w:rsidP="007F087E">
      <w:pPr>
        <w:spacing w:after="0" w:line="240" w:lineRule="auto"/>
        <w:rPr>
          <w:bCs/>
        </w:rPr>
      </w:pPr>
      <w:r w:rsidRPr="007F087E">
        <w:rPr>
          <w:bCs/>
        </w:rPr>
        <w:t>45 23 31 40 – 2 Roboty drogowe</w:t>
      </w:r>
    </w:p>
    <w:p w14:paraId="5868A453" w14:textId="77777777" w:rsidR="007F087E" w:rsidRPr="007F087E" w:rsidRDefault="007F087E" w:rsidP="007F087E">
      <w:pPr>
        <w:spacing w:after="0" w:line="240" w:lineRule="auto"/>
        <w:rPr>
          <w:bCs/>
        </w:rPr>
      </w:pPr>
      <w:r w:rsidRPr="007F087E">
        <w:rPr>
          <w:bCs/>
        </w:rPr>
        <w:t>45 10 00 00 – 8 Przygotowanie terenu pod budowę</w:t>
      </w:r>
    </w:p>
    <w:p w14:paraId="4174E569" w14:textId="77777777" w:rsidR="007F087E" w:rsidRPr="007F087E" w:rsidRDefault="007F087E" w:rsidP="007F087E">
      <w:pPr>
        <w:spacing w:after="0" w:line="240" w:lineRule="auto"/>
        <w:rPr>
          <w:bCs/>
        </w:rPr>
      </w:pPr>
      <w:r w:rsidRPr="007F087E">
        <w:rPr>
          <w:bCs/>
        </w:rPr>
        <w:t>45 11 00 00 – 1 Roboty w zakresie burzenia i rozbiórki obiektów budowlanych; roboty ziemne</w:t>
      </w:r>
    </w:p>
    <w:p w14:paraId="3C91BE24" w14:textId="77777777" w:rsidR="007F087E" w:rsidRPr="007F087E" w:rsidRDefault="007F087E" w:rsidP="007F087E">
      <w:pPr>
        <w:spacing w:after="0" w:line="240" w:lineRule="auto"/>
        <w:rPr>
          <w:bCs/>
        </w:rPr>
      </w:pPr>
      <w:r w:rsidRPr="007F087E">
        <w:rPr>
          <w:bCs/>
        </w:rPr>
        <w:t>45 11 10 00 – 8 Roboty w zakresie burzenia, roboty ziemne</w:t>
      </w:r>
    </w:p>
    <w:p w14:paraId="3E38527B" w14:textId="77777777" w:rsidR="007F087E" w:rsidRPr="007F087E" w:rsidRDefault="007F087E" w:rsidP="007F087E">
      <w:pPr>
        <w:spacing w:after="0" w:line="240" w:lineRule="auto"/>
        <w:rPr>
          <w:bCs/>
        </w:rPr>
      </w:pPr>
      <w:r w:rsidRPr="007F087E">
        <w:rPr>
          <w:bCs/>
        </w:rPr>
        <w:t>45 11 27 10 – 5 Roboty w zakresie kształtowania terenów zielonych</w:t>
      </w:r>
    </w:p>
    <w:p w14:paraId="11C105A3" w14:textId="77777777" w:rsidR="007F087E" w:rsidRPr="007F087E" w:rsidRDefault="007F087E" w:rsidP="007F087E">
      <w:pPr>
        <w:spacing w:after="0" w:line="240" w:lineRule="auto"/>
        <w:ind w:left="2124" w:hanging="2124"/>
        <w:rPr>
          <w:bCs/>
        </w:rPr>
      </w:pPr>
      <w:r w:rsidRPr="007F087E">
        <w:rPr>
          <w:bCs/>
        </w:rPr>
        <w:t>45 20 00 00 – 9 Roboty budowlane w zakresie wznoszenia kompletnych obiektów budowlanych lub ich części oraz roboty</w:t>
      </w:r>
    </w:p>
    <w:p w14:paraId="35020699" w14:textId="77777777" w:rsidR="007F087E" w:rsidRPr="007F087E" w:rsidRDefault="007F087E" w:rsidP="007F087E">
      <w:pPr>
        <w:spacing w:after="0" w:line="240" w:lineRule="auto"/>
        <w:ind w:left="2124" w:hanging="1416"/>
        <w:rPr>
          <w:bCs/>
        </w:rPr>
      </w:pPr>
      <w:r w:rsidRPr="007F087E">
        <w:rPr>
          <w:bCs/>
        </w:rPr>
        <w:t xml:space="preserve">            w zakresie inżynierii lądowej i wodnej</w:t>
      </w:r>
    </w:p>
    <w:p w14:paraId="29C3E0E4" w14:textId="77777777" w:rsidR="007F087E" w:rsidRPr="007F087E" w:rsidRDefault="007F087E" w:rsidP="007F087E">
      <w:pPr>
        <w:spacing w:after="0" w:line="240" w:lineRule="auto"/>
        <w:ind w:left="2124" w:hanging="2124"/>
        <w:rPr>
          <w:bCs/>
        </w:rPr>
      </w:pPr>
      <w:r w:rsidRPr="007F087E">
        <w:rPr>
          <w:bCs/>
        </w:rPr>
        <w:t>45 23 30 00 – 9 Roboty w zakresie konstruowania, fundamentowania oraz wykonania nawierzchni autostrad, dróg</w:t>
      </w:r>
    </w:p>
    <w:p w14:paraId="716E74C5" w14:textId="47FCBC22" w:rsidR="00BE73F5" w:rsidRPr="007F087E" w:rsidRDefault="00BE73F5" w:rsidP="00BE73F5">
      <w:pPr>
        <w:spacing w:after="0" w:line="240" w:lineRule="auto"/>
        <w:ind w:left="2124" w:hanging="2124"/>
        <w:rPr>
          <w:bCs/>
        </w:rPr>
      </w:pPr>
      <w:r>
        <w:rPr>
          <w:bCs/>
        </w:rPr>
        <w:t>34</w:t>
      </w:r>
      <w:r w:rsidRPr="007F087E">
        <w:rPr>
          <w:bCs/>
        </w:rPr>
        <w:t xml:space="preserve"> </w:t>
      </w:r>
      <w:r>
        <w:rPr>
          <w:bCs/>
        </w:rPr>
        <w:t>92</w:t>
      </w:r>
      <w:r w:rsidRPr="007F087E">
        <w:rPr>
          <w:bCs/>
        </w:rPr>
        <w:t xml:space="preserve"> </w:t>
      </w:r>
      <w:r>
        <w:rPr>
          <w:bCs/>
        </w:rPr>
        <w:t>21</w:t>
      </w:r>
      <w:r w:rsidRPr="007F087E">
        <w:rPr>
          <w:bCs/>
        </w:rPr>
        <w:t xml:space="preserve"> 00 – </w:t>
      </w:r>
      <w:r>
        <w:rPr>
          <w:bCs/>
        </w:rPr>
        <w:t>7</w:t>
      </w:r>
      <w:r w:rsidRPr="007F087E">
        <w:rPr>
          <w:bCs/>
        </w:rPr>
        <w:t xml:space="preserve"> </w:t>
      </w:r>
      <w:r>
        <w:rPr>
          <w:bCs/>
        </w:rPr>
        <w:t>Oznakowanie dróg</w:t>
      </w:r>
    </w:p>
    <w:p w14:paraId="2574753F" w14:textId="77777777" w:rsidR="007F087E" w:rsidRPr="007F087E" w:rsidRDefault="007F087E" w:rsidP="00E92216">
      <w:pPr>
        <w:spacing w:after="0" w:line="240" w:lineRule="auto"/>
        <w:jc w:val="both"/>
        <w:rPr>
          <w:rStyle w:val="bold"/>
          <w:rFonts w:cs="Arial"/>
          <w:b w:val="0"/>
          <w:sz w:val="10"/>
          <w:szCs w:val="10"/>
        </w:rPr>
      </w:pPr>
    </w:p>
    <w:p w14:paraId="6F850495" w14:textId="6A0D1559" w:rsidR="007F087E" w:rsidRPr="007F087E" w:rsidRDefault="007F087E" w:rsidP="00E92216">
      <w:pPr>
        <w:spacing w:after="0" w:line="240" w:lineRule="auto"/>
        <w:jc w:val="both"/>
        <w:rPr>
          <w:rFonts w:cs="Arial"/>
        </w:rPr>
      </w:pPr>
      <w:r w:rsidRPr="00B9283F">
        <w:rPr>
          <w:rStyle w:val="bold"/>
          <w:rFonts w:cs="Arial"/>
          <w:b w:val="0"/>
        </w:rPr>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6C9C0EA8" w14:textId="0ED732DC"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4B4992">
        <w:t>).</w:t>
      </w:r>
    </w:p>
    <w:p w14:paraId="7DA89EBB" w14:textId="135EAE9F" w:rsidR="00B209C1" w:rsidRPr="00722A6E" w:rsidRDefault="00B209C1" w:rsidP="00B209C1">
      <w:pPr>
        <w:spacing w:after="0" w:line="240" w:lineRule="auto"/>
        <w:jc w:val="both"/>
      </w:pPr>
      <w:r w:rsidRPr="00722A6E">
        <w:rPr>
          <w:rFonts w:cs="Arial"/>
        </w:rPr>
        <w:t xml:space="preserve">Niedokonanie podziału zamówienia podyktowane </w:t>
      </w:r>
      <w:r w:rsidR="004B4992">
        <w:rPr>
          <w:rFonts w:cs="Arial"/>
        </w:rPr>
        <w:t>jest</w:t>
      </w:r>
      <w:r w:rsidRPr="00722A6E">
        <w:rPr>
          <w:rFonts w:cs="Arial"/>
        </w:rPr>
        <w:t xml:space="preserve"> względami technicznymi, organizacyjnym oraz charakterem przedmiotu zamówienia. Zastosowany ewentualnie podział zamówienia na części nie zwiększyłby konkurencyjności w sektorze małych </w:t>
      </w:r>
      <w:r w:rsidR="004B4992">
        <w:rPr>
          <w:rFonts w:cs="Arial"/>
        </w:rPr>
        <w:t xml:space="preserve">                        </w:t>
      </w:r>
      <w:r w:rsidRPr="00722A6E">
        <w:rPr>
          <w:rFonts w:cs="Arial"/>
        </w:rPr>
        <w:t>i średnich przedsiębiorstw – zakres zamówienia jest zakresem typowym, umożliwiającym złożenie oferty wykonawcom 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1FE99FA8" w14:textId="77777777" w:rsidR="00D858EF" w:rsidRPr="00722A6E" w:rsidRDefault="00D858EF" w:rsidP="00E92216">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rsidR="00611090">
        <w:t xml:space="preserve">                           </w:t>
      </w:r>
      <w:r w:rsidRPr="00722A6E">
        <w:t xml:space="preserve">że odniesieniu takiemu towarzyszą wyrazy „lub równoważne”. </w:t>
      </w:r>
    </w:p>
    <w:p w14:paraId="609EA574" w14:textId="77777777" w:rsidR="00D858EF" w:rsidRPr="00722A6E" w:rsidRDefault="00D858EF" w:rsidP="00E92216">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413E4089" w14:textId="77777777" w:rsidR="00D858EF" w:rsidRPr="00722A6E" w:rsidRDefault="00D858EF" w:rsidP="00E92216">
      <w:pPr>
        <w:spacing w:after="0" w:line="240" w:lineRule="auto"/>
        <w:contextualSpacing/>
        <w:jc w:val="both"/>
      </w:pPr>
      <w:r w:rsidRPr="00722A6E">
        <w:t xml:space="preserve">W przypadku, gdy w dokumentacji projektowej lub specyfikacji technicznej wykonania i odbioru robót zostały użyte znaki towarowe, oznacza to, że są podane przykładowo i określają jedynie minimalne oczekiwane parametry jakościowe oraz wymagany standard. </w:t>
      </w:r>
      <w:r w:rsidRPr="00722A6E">
        <w:lastRenderedPageBreak/>
        <w:t xml:space="preserve">Wykonawca może zastosować materiały lub urządzenia równoważne, lecz o parametrach technicznych i jakościowych podobnych lub lepszych, których zastosowanie w żaden sposób nie wpłynie negatywnie na prawidłowe funkcjonowanie rozwiązań przyjętych </w:t>
      </w:r>
      <w:r w:rsidR="007B6240">
        <w:t xml:space="preserve"> </w:t>
      </w:r>
      <w:r w:rsidRPr="00722A6E">
        <w:t>w dokumentacji projektowej. Wykonawca, który zastosuje urządzenia lub materiały równoważne będzie o</w:t>
      </w:r>
      <w:r w:rsidR="00EF4E2B">
        <w:t>bowiązany wykazać</w:t>
      </w:r>
      <w:r w:rsidR="00CE2C76">
        <w:t xml:space="preserve"> </w:t>
      </w:r>
      <w:r w:rsidR="007B6240">
        <w:t xml:space="preserve">               </w:t>
      </w:r>
      <w:r w:rsidRPr="00722A6E">
        <w:t xml:space="preserve">w trakcie realizacji zamówienia, że zastosowane przez niego urządzenia i materiały spełniają wymagania określone przez Zamawiającego. </w:t>
      </w:r>
    </w:p>
    <w:p w14:paraId="0C3EA91B" w14:textId="77777777" w:rsidR="00D858EF" w:rsidRPr="00722A6E" w:rsidRDefault="00D858EF" w:rsidP="00E92216">
      <w:pPr>
        <w:spacing w:after="0" w:line="240" w:lineRule="auto"/>
        <w:contextualSpacing/>
        <w:jc w:val="both"/>
      </w:pPr>
      <w:r w:rsidRPr="00722A6E">
        <w:t xml:space="preserve">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5AEA2269" w14:textId="77777777" w:rsidR="00D858EF" w:rsidRPr="00722A6E" w:rsidRDefault="00D858EF" w:rsidP="00E92216">
      <w:pPr>
        <w:spacing w:after="0" w:line="240" w:lineRule="auto"/>
        <w:contextualSpacing/>
        <w:jc w:val="both"/>
      </w:pPr>
      <w:r w:rsidRPr="00722A6E">
        <w:t>Użycie w dokumentacji projektowej wymogu posiadania certyfikatu wydanego przez jednostkę oceniającą zgodność lub sprawozdania z badań przeprowadzonych przez tę jednostkę jako środka dowodowego potwierdzającego zgodność</w:t>
      </w:r>
      <w:r w:rsidR="00CE2C76">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336F96C" w14:textId="42AE89AB" w:rsidR="00D858EF" w:rsidRPr="00722A6E" w:rsidRDefault="00D858EF" w:rsidP="00E92216">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4F0B97EC" w14:textId="77777777" w:rsidR="00B209C1" w:rsidRPr="006A52E0" w:rsidRDefault="00B209C1" w:rsidP="00E92216">
      <w:pPr>
        <w:spacing w:after="0" w:line="240" w:lineRule="auto"/>
        <w:contextualSpacing/>
        <w:jc w:val="both"/>
        <w:rPr>
          <w:color w:val="FF0000"/>
          <w:sz w:val="12"/>
          <w:szCs w:val="12"/>
        </w:rPr>
      </w:pPr>
    </w:p>
    <w:p w14:paraId="0AD023F6" w14:textId="77777777" w:rsidR="00800999" w:rsidRPr="00B209C1" w:rsidRDefault="00800999" w:rsidP="00E92216">
      <w:pPr>
        <w:spacing w:after="0" w:line="240" w:lineRule="auto"/>
        <w:contextualSpacing/>
        <w:jc w:val="both"/>
        <w:rPr>
          <w:rStyle w:val="bold"/>
          <w:b w:val="0"/>
        </w:rPr>
      </w:pPr>
      <w:r w:rsidRPr="00B209C1">
        <w:t>3.6. Wymagania dotyczące dostępności:</w:t>
      </w:r>
    </w:p>
    <w:p w14:paraId="6E004511" w14:textId="77777777" w:rsidR="009A7A05" w:rsidRPr="00722A6E" w:rsidRDefault="00800999" w:rsidP="00800999">
      <w:pPr>
        <w:pStyle w:val="p"/>
        <w:jc w:val="both"/>
        <w:rPr>
          <w:rStyle w:val="bold"/>
          <w:rFonts w:cs="Arial"/>
          <w:sz w:val="12"/>
          <w:szCs w:val="12"/>
        </w:rPr>
      </w:pPr>
      <w:r w:rsidRPr="00722A6E">
        <w:t>Dokumentacje projektowe będące załącznikiem do niniejszej SWZ spełniają wymagania w zakresie dostępności dla osób niepełnosprawnych oraz projektowania z przeznaczeniem dla wszystkich użytkowników zgodnie z przepisami ustawy Prawo budowlane i przepisami wykonawczymi.</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38D1087F"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4D3669">
        <w:rPr>
          <w:b/>
        </w:rPr>
        <w:t>1</w:t>
      </w:r>
      <w:r w:rsidR="00AB6837">
        <w:rPr>
          <w:b/>
        </w:rPr>
        <w:t>8</w:t>
      </w:r>
      <w:r w:rsidR="0008304B">
        <w:rPr>
          <w:b/>
        </w:rPr>
        <w:t xml:space="preserve"> miesięcy od daty podpisania umowy</w:t>
      </w:r>
    </w:p>
    <w:p w14:paraId="2B7E2748" w14:textId="77777777" w:rsidR="00F74BDC" w:rsidRPr="00F74BDC" w:rsidRDefault="00A56462" w:rsidP="00F74BDC">
      <w:pPr>
        <w:pStyle w:val="p"/>
        <w:rPr>
          <w:b/>
        </w:rPr>
      </w:pPr>
      <w:r>
        <w:t xml:space="preserve">4.2. </w:t>
      </w:r>
      <w:r w:rsidR="00F74BDC" w:rsidRPr="00F74BDC">
        <w:t xml:space="preserve">Zamawiający przewiduje podział realizacji zadania na dwa etapy: </w:t>
      </w:r>
    </w:p>
    <w:p w14:paraId="21B5BCA4" w14:textId="77777777"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1) </w:t>
      </w:r>
      <w:r w:rsidR="00BD7C5F">
        <w:rPr>
          <w:rFonts w:ascii="Arial Narrow" w:hAnsi="Arial Narrow"/>
          <w:b/>
          <w:sz w:val="22"/>
          <w:szCs w:val="22"/>
        </w:rPr>
        <w:t>2023</w:t>
      </w:r>
      <w:r w:rsidR="003D2194" w:rsidRPr="00FE613A">
        <w:rPr>
          <w:rFonts w:ascii="Arial Narrow" w:hAnsi="Arial Narrow"/>
          <w:b/>
          <w:sz w:val="22"/>
          <w:szCs w:val="22"/>
        </w:rPr>
        <w:t xml:space="preserve">r. - </w:t>
      </w:r>
      <w:r w:rsidRPr="00FE613A">
        <w:rPr>
          <w:rFonts w:ascii="Arial Narrow" w:hAnsi="Arial Narrow"/>
          <w:b/>
          <w:sz w:val="22"/>
          <w:szCs w:val="22"/>
        </w:rPr>
        <w:t xml:space="preserve">I etap obejmujący nie więcej </w:t>
      </w:r>
      <w:r w:rsidR="0008304B">
        <w:rPr>
          <w:rFonts w:ascii="Arial Narrow" w:hAnsi="Arial Narrow"/>
          <w:b/>
          <w:sz w:val="22"/>
          <w:szCs w:val="22"/>
        </w:rPr>
        <w:t>niż 50% wartości zakresu robót.</w:t>
      </w:r>
    </w:p>
    <w:p w14:paraId="54129DFE" w14:textId="77777777"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2) </w:t>
      </w:r>
      <w:r w:rsidR="00BD7C5F">
        <w:rPr>
          <w:rFonts w:ascii="Arial Narrow" w:hAnsi="Arial Narrow"/>
          <w:b/>
          <w:sz w:val="22"/>
          <w:szCs w:val="22"/>
        </w:rPr>
        <w:t>2024</w:t>
      </w:r>
      <w:r w:rsidR="003D2194" w:rsidRPr="00FE613A">
        <w:rPr>
          <w:rFonts w:ascii="Arial Narrow" w:hAnsi="Arial Narrow"/>
          <w:b/>
          <w:sz w:val="22"/>
          <w:szCs w:val="22"/>
        </w:rPr>
        <w:t xml:space="preserve">r. - </w:t>
      </w:r>
      <w:r w:rsidRPr="00FE613A">
        <w:rPr>
          <w:rFonts w:ascii="Arial Narrow" w:hAnsi="Arial Narrow"/>
          <w:b/>
          <w:sz w:val="22"/>
          <w:szCs w:val="22"/>
        </w:rPr>
        <w:t xml:space="preserve">II etap obejmujący pozostały zakres robót. </w:t>
      </w:r>
    </w:p>
    <w:p w14:paraId="6943FEE0" w14:textId="5CD02696" w:rsidR="00FE613A" w:rsidRPr="00FE613A" w:rsidRDefault="00A56462" w:rsidP="00FE613A">
      <w:pPr>
        <w:pStyle w:val="p"/>
        <w:rPr>
          <w:rFonts w:cs="Times New Roman"/>
        </w:rPr>
      </w:pPr>
      <w:r w:rsidRPr="00FE613A">
        <w:rPr>
          <w:rFonts w:cs="Times New Roman"/>
        </w:rPr>
        <w:t xml:space="preserve">4.3. </w:t>
      </w:r>
      <w:r w:rsidR="00533D4E" w:rsidRPr="00FE613A">
        <w:rPr>
          <w:rFonts w:cs="Times New Roman"/>
        </w:rPr>
        <w:t>Wykonawca zobowiązany jest przedło</w:t>
      </w:r>
      <w:r w:rsidR="00FE613A" w:rsidRPr="00FE613A">
        <w:rPr>
          <w:rFonts w:cs="Times New Roman"/>
        </w:rPr>
        <w:t xml:space="preserve">żyć Zamawiającemu, w terminie </w:t>
      </w:r>
      <w:r w:rsidR="00077702">
        <w:rPr>
          <w:rFonts w:cs="Times New Roman"/>
        </w:rPr>
        <w:t>7</w:t>
      </w:r>
      <w:r w:rsidR="00533D4E" w:rsidRPr="00FE613A">
        <w:rPr>
          <w:rFonts w:cs="Times New Roman"/>
        </w:rPr>
        <w:t xml:space="preserve"> dni od dnia podpisania umowy harmonogram rzeczowo – finansowy przedstawiający terminy realiza</w:t>
      </w:r>
      <w:r w:rsidR="00FE613A">
        <w:rPr>
          <w:rFonts w:cs="Times New Roman"/>
        </w:rPr>
        <w:t xml:space="preserve">cji poszczególnych etapów robót </w:t>
      </w:r>
      <w:r w:rsidR="00FE613A" w:rsidRPr="00FE613A">
        <w:t>uwzgledniający poniższe uwagi:</w:t>
      </w:r>
    </w:p>
    <w:p w14:paraId="7095BCE6" w14:textId="77777777" w:rsidR="00FE613A" w:rsidRPr="00FE613A" w:rsidRDefault="00FE613A" w:rsidP="00FE613A">
      <w:pPr>
        <w:pStyle w:val="Ustp"/>
        <w:tabs>
          <w:tab w:val="clear" w:pos="1080"/>
        </w:tabs>
        <w:spacing w:after="0" w:line="288" w:lineRule="auto"/>
        <w:ind w:left="0" w:firstLine="0"/>
        <w:rPr>
          <w:rFonts w:ascii="Arial Narrow" w:hAnsi="Arial Narrow"/>
          <w:b/>
          <w:sz w:val="22"/>
          <w:szCs w:val="22"/>
          <w:u w:val="single"/>
        </w:rPr>
      </w:pPr>
      <w:r w:rsidRPr="00FE613A">
        <w:rPr>
          <w:rFonts w:ascii="Arial Narrow" w:hAnsi="Arial Narrow"/>
          <w:b/>
          <w:sz w:val="22"/>
          <w:szCs w:val="22"/>
          <w:u w:val="single"/>
        </w:rPr>
        <w:t xml:space="preserve">- zakończenie I </w:t>
      </w:r>
      <w:r w:rsidR="00BD7C5F">
        <w:rPr>
          <w:rFonts w:ascii="Arial Narrow" w:hAnsi="Arial Narrow"/>
          <w:b/>
          <w:sz w:val="22"/>
          <w:szCs w:val="22"/>
          <w:u w:val="single"/>
        </w:rPr>
        <w:t>etapu nie później niż do dnia 30.11.2023</w:t>
      </w:r>
      <w:r w:rsidRPr="00FE613A">
        <w:rPr>
          <w:rFonts w:ascii="Arial Narrow" w:hAnsi="Arial Narrow"/>
          <w:b/>
          <w:sz w:val="22"/>
          <w:szCs w:val="22"/>
          <w:u w:val="single"/>
        </w:rPr>
        <w:t>r.</w:t>
      </w:r>
    </w:p>
    <w:p w14:paraId="3B7CC87A" w14:textId="77777777" w:rsidR="00FE613A" w:rsidRPr="00FE613A" w:rsidRDefault="00FE613A" w:rsidP="00FE613A">
      <w:pPr>
        <w:pStyle w:val="Ustp"/>
        <w:tabs>
          <w:tab w:val="clear" w:pos="1080"/>
        </w:tabs>
        <w:spacing w:after="0" w:line="288" w:lineRule="auto"/>
        <w:ind w:left="0" w:firstLine="0"/>
        <w:rPr>
          <w:rFonts w:ascii="Arial Narrow" w:hAnsi="Arial Narrow"/>
          <w:b/>
          <w:sz w:val="22"/>
          <w:szCs w:val="22"/>
          <w:u w:val="single"/>
        </w:rPr>
      </w:pPr>
      <w:r w:rsidRPr="00FE613A">
        <w:rPr>
          <w:rFonts w:ascii="Arial Narrow" w:hAnsi="Arial Narrow"/>
          <w:b/>
          <w:sz w:val="22"/>
          <w:szCs w:val="22"/>
          <w:u w:val="single"/>
        </w:rPr>
        <w:t xml:space="preserve">- zakończenie II etapu nie </w:t>
      </w:r>
      <w:r w:rsidR="00BD7C5F">
        <w:rPr>
          <w:rFonts w:ascii="Arial Narrow" w:hAnsi="Arial Narrow"/>
          <w:b/>
          <w:sz w:val="22"/>
          <w:szCs w:val="22"/>
          <w:u w:val="single"/>
        </w:rPr>
        <w:t>wcześniej niż 31.01.2024</w:t>
      </w:r>
      <w:r w:rsidRPr="00FE613A">
        <w:rPr>
          <w:rFonts w:ascii="Arial Narrow" w:hAnsi="Arial Narrow"/>
          <w:b/>
          <w:sz w:val="22"/>
          <w:szCs w:val="22"/>
          <w:u w:val="single"/>
        </w:rPr>
        <w:t>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E4E0226" w14:textId="27DAC6D3" w:rsidR="00BC27DD" w:rsidRDefault="00901E46" w:rsidP="00AB6837">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sidR="00EF4E2B">
        <w:t>:</w:t>
      </w:r>
      <w:r>
        <w:t xml:space="preserve"> </w:t>
      </w:r>
      <w:r w:rsidR="00AB6837" w:rsidRPr="0097181C">
        <w:rPr>
          <w:b/>
        </w:rPr>
        <w:t>co najmniej jedną robotę budowlaną polegającą na budowie, rozbudowie lub przebudowie drogi/dróg w nawierzchni brukowej o wartości min. 500 000,00zł brutto</w:t>
      </w:r>
      <w:r w:rsidR="0097181C" w:rsidRPr="0097181C">
        <w:rPr>
          <w:b/>
        </w:rPr>
        <w:t xml:space="preserve"> oraz co najmniej jedną robotę budowlaną polegającą na budowie, rozbudowie lub przebudowie drogi/dróg w nawierzchni asfaltowej o wartości min. 300 000,00zł brutto.</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lastRenderedPageBreak/>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lastRenderedPageBreak/>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77777777"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 xml:space="preserve">o przeciwdziałaniu praniu pieniędzy oraz finansowaniu terroryzmu (Dz. U. z 2022 r. poz. 593 ze zm.) jest osoba wymieniona </w:t>
      </w:r>
      <w:r w:rsidR="00EF4E2B">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0F047968"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AB6837">
        <w:rPr>
          <w:rFonts w:cs="Arial"/>
          <w:shd w:val="clear" w:color="auto" w:fill="FFFFFF"/>
        </w:rPr>
        <w:t>września 1994 r. o rachunkowości (Dz. U. z 202</w:t>
      </w:r>
      <w:r w:rsidR="00514A42" w:rsidRPr="00AB6837">
        <w:rPr>
          <w:rFonts w:cs="Arial"/>
          <w:shd w:val="clear" w:color="auto" w:fill="FFFFFF"/>
        </w:rPr>
        <w:t>3</w:t>
      </w:r>
      <w:r w:rsidRPr="00AB6837">
        <w:rPr>
          <w:rFonts w:cs="Arial"/>
          <w:shd w:val="clear" w:color="auto" w:fill="FFFFFF"/>
        </w:rPr>
        <w:t xml:space="preserve"> 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Pr="00EF4E2B">
        <w:rPr>
          <w:rFonts w:cs="Arial"/>
          <w:shd w:val="clear" w:color="auto" w:fill="FFFFFF"/>
        </w:rPr>
        <w:t xml:space="preserve">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w:t>
      </w:r>
      <w:r w:rsidRPr="008827D2">
        <w:rPr>
          <w:rFonts w:eastAsia="Times New Roman"/>
        </w:rPr>
        <w:lastRenderedPageBreak/>
        <w:t xml:space="preserve">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 xml:space="preserve">Jeżeli wykonawca nie złożył podmiotowych środków dowodowych lub są one niekompletne lub zawierają błędy, Zamawiający wezwie wykonawcę odpowiednio do ich złożenia, poprawienia lub uzupełnienia w wyznaczonym terminie, </w:t>
      </w:r>
      <w:r w:rsidRPr="0094471E">
        <w:rPr>
          <w:rFonts w:ascii="Arial Narrow" w:hAnsi="Arial Narrow"/>
          <w:color w:val="000000"/>
        </w:rPr>
        <w:lastRenderedPageBreak/>
        <w:t>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469162E5"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 xml:space="preserve"> 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lastRenderedPageBreak/>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lastRenderedPageBreak/>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70C6D5D8"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AB6837">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6F957636"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D72F17" w:rsidRPr="00A74810">
        <w:rPr>
          <w:rFonts w:cs="Arial"/>
          <w:b/>
        </w:rPr>
        <w:t>2</w:t>
      </w:r>
      <w:r w:rsidR="00A74810" w:rsidRPr="00A74810">
        <w:rPr>
          <w:rFonts w:cs="Arial"/>
          <w:b/>
        </w:rPr>
        <w:t>8</w:t>
      </w:r>
      <w:r w:rsidR="0038599E" w:rsidRPr="00A74810">
        <w:rPr>
          <w:rFonts w:cs="Arial"/>
          <w:b/>
        </w:rPr>
        <w:t>.0</w:t>
      </w:r>
      <w:r w:rsidR="00A74810" w:rsidRPr="00A74810">
        <w:rPr>
          <w:rFonts w:cs="Arial"/>
          <w:b/>
        </w:rPr>
        <w:t>4</w:t>
      </w:r>
      <w:r w:rsidR="00EA5A42" w:rsidRPr="00A74810">
        <w:rPr>
          <w:rFonts w:cs="Arial"/>
          <w:b/>
        </w:rPr>
        <w:t>.202</w:t>
      </w:r>
      <w:r w:rsidR="0035716A" w:rsidRPr="00A74810">
        <w:rPr>
          <w:rFonts w:cs="Arial"/>
          <w:b/>
        </w:rPr>
        <w:t>3</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Default="00C0251C" w:rsidP="00DA576C">
      <w:pPr>
        <w:pStyle w:val="justify"/>
        <w:spacing w:line="240" w:lineRule="auto"/>
        <w:rPr>
          <w:rFonts w:cs="Arial"/>
          <w:b/>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lastRenderedPageBreak/>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35D22A31" w:rsidR="003E3D73" w:rsidRPr="00A74810"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A74810" w:rsidRPr="00A74810">
        <w:rPr>
          <w:rFonts w:ascii="Arial Narrow" w:hAnsi="Arial Narrow" w:cs="Arial"/>
          <w:b/>
        </w:rPr>
        <w:t>30</w:t>
      </w:r>
      <w:r w:rsidR="003E3D73" w:rsidRPr="00A74810">
        <w:rPr>
          <w:rFonts w:ascii="Arial Narrow" w:hAnsi="Arial Narrow" w:cs="Arial"/>
          <w:b/>
        </w:rPr>
        <w:t>.0</w:t>
      </w:r>
      <w:r w:rsidR="00A74810" w:rsidRPr="00A74810">
        <w:rPr>
          <w:rFonts w:ascii="Arial Narrow" w:hAnsi="Arial Narrow" w:cs="Arial"/>
          <w:b/>
        </w:rPr>
        <w:t>3</w:t>
      </w:r>
      <w:r w:rsidR="003E3D73" w:rsidRPr="00A74810">
        <w:rPr>
          <w:rFonts w:ascii="Arial Narrow" w:hAnsi="Arial Narrow" w:cs="Arial"/>
          <w:b/>
        </w:rPr>
        <w:t>.2023r. do godziny</w:t>
      </w:r>
      <w:r w:rsidR="003E3D73" w:rsidRPr="00A74810">
        <w:rPr>
          <w:rFonts w:ascii="Arial Narrow" w:hAnsi="Arial Narrow" w:cs="Arial"/>
          <w:b/>
          <w:spacing w:val="-14"/>
        </w:rPr>
        <w:t xml:space="preserve"> </w:t>
      </w:r>
      <w:r w:rsidR="003E3D73" w:rsidRPr="00A74810">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216DAB1E"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A74810" w:rsidRPr="00A74810">
        <w:rPr>
          <w:rFonts w:cs="Arial"/>
          <w:b/>
        </w:rPr>
        <w:t>30</w:t>
      </w:r>
      <w:r w:rsidRPr="00A74810">
        <w:rPr>
          <w:rFonts w:cs="Arial"/>
          <w:b/>
        </w:rPr>
        <w:t>.0</w:t>
      </w:r>
      <w:r w:rsidR="00A74810" w:rsidRPr="00A74810">
        <w:rPr>
          <w:rFonts w:cs="Arial"/>
          <w:b/>
        </w:rPr>
        <w:t>3</w:t>
      </w:r>
      <w:r w:rsidRPr="00A74810">
        <w:rPr>
          <w:rFonts w:cs="Arial"/>
          <w:b/>
        </w:rPr>
        <w:t xml:space="preserve">.2023r.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7984A178"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E36C5A">
        <w:rPr>
          <w:color w:val="000000"/>
        </w:rPr>
        <w:t>2</w:t>
      </w:r>
      <w:r w:rsidR="007B7387" w:rsidRPr="00027376">
        <w:rPr>
          <w:color w:val="000000"/>
        </w:rPr>
        <w:t>r. poz. 1</w:t>
      </w:r>
      <w:r w:rsidR="00E36C5A">
        <w:rPr>
          <w:color w:val="000000"/>
        </w:rPr>
        <w:t>360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Default="00E36EB6" w:rsidP="0018610C">
      <w:pPr>
        <w:pStyle w:val="p"/>
        <w:jc w:val="both"/>
        <w:rPr>
          <w:rFonts w:cs="Arial"/>
          <w:b/>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Default="0063730D" w:rsidP="000C03BB">
      <w:pPr>
        <w:spacing w:after="0" w:line="240" w:lineRule="auto"/>
        <w:rPr>
          <w:b/>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w:t>
      </w:r>
      <w:r w:rsidRPr="00B9283F">
        <w:rPr>
          <w:rFonts w:cs="Arial"/>
        </w:rPr>
        <w:lastRenderedPageBreak/>
        <w:t xml:space="preserve">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112966BD"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05ED5090"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134 ust. 2 pkt 14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lastRenderedPageBreak/>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DD0D6B">
        <w:rPr>
          <w:rFonts w:ascii="Arial Narrow" w:hAnsi="Arial Narrow"/>
          <w:sz w:val="22"/>
          <w:szCs w:val="22"/>
        </w:rPr>
        <w:t>2</w:t>
      </w:r>
      <w:r w:rsidRPr="004B5551">
        <w:rPr>
          <w:rFonts w:ascii="Arial Narrow" w:hAnsi="Arial Narrow"/>
          <w:sz w:val="22"/>
          <w:szCs w:val="22"/>
        </w:rPr>
        <w:t>r. poz. 1</w:t>
      </w:r>
      <w:r w:rsidR="00DD0D6B">
        <w:rPr>
          <w:rFonts w:ascii="Arial Narrow" w:hAnsi="Arial Narrow"/>
          <w:sz w:val="22"/>
          <w:szCs w:val="22"/>
        </w:rPr>
        <w:t>510</w:t>
      </w:r>
      <w:r w:rsidRPr="004B5551">
        <w:rPr>
          <w:rFonts w:ascii="Arial Narrow" w:hAnsi="Arial Narrow"/>
          <w:sz w:val="22"/>
          <w:szCs w:val="22"/>
        </w:rPr>
        <w:t xml:space="preserve"> ze zm</w:t>
      </w:r>
      <w:r w:rsidR="00DD0D6B">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5B6DA7EC" w:rsidR="001B1BD2" w:rsidRPr="00974949" w:rsidRDefault="001B1BD2" w:rsidP="001B1BD2">
      <w:pPr>
        <w:pStyle w:val="p"/>
        <w:spacing w:line="240" w:lineRule="auto"/>
        <w:jc w:val="both"/>
        <w:rPr>
          <w:b/>
        </w:rPr>
      </w:pPr>
      <w:r w:rsidRPr="00C83C12">
        <w:t>Wykonawca zobowiązany jest wnieść wadium w wysokości:</w:t>
      </w:r>
      <w:r>
        <w:t xml:space="preserve"> </w:t>
      </w:r>
      <w:r w:rsidR="00A74810">
        <w:rPr>
          <w:b/>
        </w:rPr>
        <w:t>10</w:t>
      </w:r>
      <w:r w:rsidRPr="00407CDD">
        <w:rPr>
          <w:b/>
        </w:rPr>
        <w:t xml:space="preserve"> 000,00 zł </w:t>
      </w:r>
      <w:r w:rsidRPr="008E476A">
        <w:t>(</w:t>
      </w:r>
      <w:r w:rsidR="00324D21">
        <w:t xml:space="preserve">słownie: </w:t>
      </w:r>
      <w:r w:rsidR="00A74810">
        <w:t xml:space="preserve">dziesięć </w:t>
      </w:r>
      <w:r>
        <w:t xml:space="preserve">tysięcy </w:t>
      </w:r>
      <w:r w:rsidRPr="008E476A">
        <w:t>złotych)</w:t>
      </w:r>
    </w:p>
    <w:p w14:paraId="0725BDEE" w14:textId="77777777" w:rsidR="001B1BD2" w:rsidRPr="00C83C12" w:rsidRDefault="001B1BD2" w:rsidP="001B1BD2">
      <w:pPr>
        <w:spacing w:after="0" w:line="240" w:lineRule="auto"/>
        <w:jc w:val="both"/>
      </w:pPr>
      <w:r>
        <w:lastRenderedPageBreak/>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77777777"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2FC61EFA" w14:textId="77777777" w:rsidR="001B1BD2" w:rsidRPr="00C83C12" w:rsidRDefault="001B1BD2" w:rsidP="001B1BD2">
      <w:pPr>
        <w:spacing w:after="0" w:line="240" w:lineRule="auto"/>
        <w:jc w:val="both"/>
      </w:pPr>
      <w:r w:rsidRPr="00C83C12">
        <w:t>b) gwarancjach bankowych</w:t>
      </w:r>
    </w:p>
    <w:p w14:paraId="5E9F2400" w14:textId="77777777" w:rsidR="001B1BD2" w:rsidRPr="00C83C12" w:rsidRDefault="001B1BD2" w:rsidP="001B1BD2">
      <w:pPr>
        <w:spacing w:after="0" w:line="240" w:lineRule="auto"/>
        <w:jc w:val="both"/>
      </w:pPr>
      <w:r w:rsidRPr="00C83C12">
        <w:t>c) gwarancjach ubezpieczeniowych</w:t>
      </w:r>
    </w:p>
    <w:p w14:paraId="1A350345" w14:textId="77777777"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 xml:space="preserve">cji Rozwoju Przedsiębiorczości </w:t>
      </w:r>
      <w:r w:rsidRPr="00C83C12">
        <w:t>- tu należy zwrócić uwagę na formatowanie domyślnej treści, dodatkowo w miejscu kropek w treści domyślnej powinien się znaleźć numer konta bankowego zamawiającego.</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C9B005B"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4B056DEF" w14:textId="77777777" w:rsidR="00B0770A" w:rsidRDefault="00B0770A" w:rsidP="00D65CE9">
      <w:pPr>
        <w:pStyle w:val="p"/>
        <w:rPr>
          <w:rFonts w:cs="Arial"/>
          <w:b/>
        </w:rPr>
      </w:pPr>
    </w:p>
    <w:p w14:paraId="39524C7E" w14:textId="39569E58" w:rsidR="00203667" w:rsidRPr="00B9283F" w:rsidRDefault="00137533" w:rsidP="00D65CE9">
      <w:pPr>
        <w:pStyle w:val="p"/>
        <w:rPr>
          <w:rFonts w:cs="Arial"/>
        </w:rPr>
      </w:pPr>
      <w:r>
        <w:rPr>
          <w:rFonts w:cs="Arial"/>
          <w:b/>
        </w:rPr>
        <w:lastRenderedPageBreak/>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77777777" w:rsidR="00652D2B"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lastRenderedPageBreak/>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5"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5148D45A" w:rsidR="00031E26" w:rsidRPr="00EA610B" w:rsidRDefault="00031E26" w:rsidP="0021137A">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AB6837" w:rsidRPr="00AB6837">
        <w:rPr>
          <w:rFonts w:cs="Arial"/>
          <w:b/>
        </w:rPr>
        <w:t xml:space="preserve">PRZEBUDOWA ULIC SZKOLNEJ I MORWOWEJ </w:t>
      </w:r>
      <w:r w:rsidR="00AB6837">
        <w:rPr>
          <w:rFonts w:cs="Arial"/>
          <w:b/>
        </w:rPr>
        <w:t xml:space="preserve">                        </w:t>
      </w:r>
      <w:r w:rsidR="00AB6837" w:rsidRPr="00AB6837">
        <w:rPr>
          <w:rFonts w:cs="Arial"/>
          <w:b/>
        </w:rPr>
        <w:t xml:space="preserve">W MIEJSCOWOŚCI STARE MIASTO </w:t>
      </w:r>
      <w:r w:rsidRPr="00EA610B">
        <w:rPr>
          <w:rFonts w:cs="Arial"/>
        </w:rPr>
        <w:t xml:space="preserve">prowadzonym w trybie </w:t>
      </w:r>
      <w:r w:rsidR="00D1330E" w:rsidRPr="00EA610B">
        <w:rPr>
          <w:rFonts w:cs="Arial"/>
        </w:rPr>
        <w:t xml:space="preserve">podstawowym. </w:t>
      </w:r>
    </w:p>
    <w:p w14:paraId="05C4DEB4" w14:textId="44256A97"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sidRPr="00437810">
        <w:rPr>
          <w:rFonts w:cs="Arial"/>
        </w:rPr>
        <w:t xml:space="preserve"> ze zm.)</w:t>
      </w:r>
    </w:p>
    <w:p w14:paraId="6CA05A22" w14:textId="380E6E3F"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83FF1FE" w14:textId="77777777" w:rsidR="003D6F46" w:rsidRDefault="003D6F46">
      <w:pPr>
        <w:pStyle w:val="right"/>
      </w:pPr>
    </w:p>
    <w:p w14:paraId="26DE02B2" w14:textId="77777777" w:rsidR="0063730D" w:rsidRDefault="0063730D">
      <w:pPr>
        <w:pStyle w:val="right"/>
      </w:pPr>
    </w:p>
    <w:p w14:paraId="2E1A2C93" w14:textId="77777777" w:rsidR="0063730D" w:rsidRDefault="0063730D">
      <w:pPr>
        <w:pStyle w:val="right"/>
      </w:pPr>
    </w:p>
    <w:p w14:paraId="3D2CC8F0" w14:textId="7777777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081CF030" w14:textId="77777777" w:rsidR="00CE2C76" w:rsidRDefault="00CE2C76" w:rsidP="001A081A">
      <w:pPr>
        <w:spacing w:after="0" w:line="240" w:lineRule="auto"/>
        <w:rPr>
          <w:rStyle w:val="bold"/>
          <w:sz w:val="20"/>
          <w:szCs w:val="20"/>
        </w:rPr>
      </w:pPr>
    </w:p>
    <w:p w14:paraId="317AA30F" w14:textId="2A574D1B" w:rsidR="00CE2C76" w:rsidRDefault="00CE2C76" w:rsidP="001A081A">
      <w:pPr>
        <w:spacing w:after="0" w:line="240" w:lineRule="auto"/>
        <w:rPr>
          <w:rStyle w:val="bold"/>
          <w:sz w:val="20"/>
          <w:szCs w:val="20"/>
        </w:rPr>
      </w:pPr>
    </w:p>
    <w:p w14:paraId="7235D222" w14:textId="77777777" w:rsidR="00B0770A" w:rsidRDefault="00B0770A" w:rsidP="001A081A">
      <w:pPr>
        <w:spacing w:after="0" w:line="240" w:lineRule="auto"/>
        <w:rPr>
          <w:rStyle w:val="bold"/>
          <w:sz w:val="20"/>
          <w:szCs w:val="20"/>
        </w:rPr>
      </w:pPr>
    </w:p>
    <w:p w14:paraId="5B8E1611" w14:textId="77777777"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63730D">
      <w:headerReference w:type="default" r:id="rId36"/>
      <w:footerReference w:type="default" r:id="rId37"/>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BF05" w14:textId="77777777" w:rsidR="007649EE" w:rsidRDefault="007649EE" w:rsidP="00696007">
      <w:pPr>
        <w:spacing w:after="0" w:line="240" w:lineRule="auto"/>
      </w:pPr>
      <w:r>
        <w:separator/>
      </w:r>
    </w:p>
  </w:endnote>
  <w:endnote w:type="continuationSeparator" w:id="0">
    <w:p w14:paraId="3805F87C" w14:textId="77777777" w:rsidR="007649EE" w:rsidRDefault="007649EE"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6A10" w14:textId="77777777" w:rsidR="007649EE" w:rsidRDefault="007649EE" w:rsidP="00696007">
      <w:pPr>
        <w:spacing w:after="0" w:line="240" w:lineRule="auto"/>
      </w:pPr>
      <w:r>
        <w:separator/>
      </w:r>
    </w:p>
  </w:footnote>
  <w:footnote w:type="continuationSeparator" w:id="0">
    <w:p w14:paraId="52F6D894" w14:textId="77777777" w:rsidR="007649EE" w:rsidRDefault="007649EE"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2"/>
  </w:num>
  <w:num w:numId="2" w16cid:durableId="1106997518">
    <w:abstractNumId w:val="20"/>
  </w:num>
  <w:num w:numId="3" w16cid:durableId="1655328504">
    <w:abstractNumId w:val="15"/>
  </w:num>
  <w:num w:numId="4" w16cid:durableId="1308969184">
    <w:abstractNumId w:val="2"/>
  </w:num>
  <w:num w:numId="5" w16cid:durableId="156724586">
    <w:abstractNumId w:val="17"/>
  </w:num>
  <w:num w:numId="6" w16cid:durableId="26489096">
    <w:abstractNumId w:val="4"/>
  </w:num>
  <w:num w:numId="7" w16cid:durableId="343750110">
    <w:abstractNumId w:val="1"/>
  </w:num>
  <w:num w:numId="8" w16cid:durableId="1323893815">
    <w:abstractNumId w:val="13"/>
  </w:num>
  <w:num w:numId="9" w16cid:durableId="235671302">
    <w:abstractNumId w:val="16"/>
  </w:num>
  <w:num w:numId="10" w16cid:durableId="2006668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23"/>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0"/>
  </w:num>
  <w:num w:numId="15" w16cid:durableId="204505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0"/>
  </w:num>
  <w:num w:numId="17" w16cid:durableId="1653756854">
    <w:abstractNumId w:val="8"/>
  </w:num>
  <w:num w:numId="18" w16cid:durableId="632828479">
    <w:abstractNumId w:val="9"/>
  </w:num>
  <w:num w:numId="19" w16cid:durableId="184056741">
    <w:abstractNumId w:val="19"/>
  </w:num>
  <w:num w:numId="20" w16cid:durableId="1330253645">
    <w:abstractNumId w:val="14"/>
  </w:num>
  <w:num w:numId="21" w16cid:durableId="947855384">
    <w:abstractNumId w:val="6"/>
  </w:num>
  <w:num w:numId="22" w16cid:durableId="1613973605">
    <w:abstractNumId w:val="3"/>
  </w:num>
  <w:num w:numId="23" w16cid:durableId="1773746931">
    <w:abstractNumId w:val="5"/>
  </w:num>
  <w:num w:numId="24" w16cid:durableId="1981501034">
    <w:abstractNumId w:val="22"/>
  </w:num>
  <w:num w:numId="25" w16cid:durableId="12736026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7A8D"/>
    <w:rsid w:val="00012474"/>
    <w:rsid w:val="00013B7F"/>
    <w:rsid w:val="00015F3F"/>
    <w:rsid w:val="0001682B"/>
    <w:rsid w:val="0003001D"/>
    <w:rsid w:val="00031E26"/>
    <w:rsid w:val="000320E0"/>
    <w:rsid w:val="000351BC"/>
    <w:rsid w:val="00041C12"/>
    <w:rsid w:val="00043CEF"/>
    <w:rsid w:val="000549DC"/>
    <w:rsid w:val="000558E4"/>
    <w:rsid w:val="00067129"/>
    <w:rsid w:val="00067A2A"/>
    <w:rsid w:val="00071C83"/>
    <w:rsid w:val="0007246C"/>
    <w:rsid w:val="000742AB"/>
    <w:rsid w:val="00074310"/>
    <w:rsid w:val="00077702"/>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5507"/>
    <w:rsid w:val="00137533"/>
    <w:rsid w:val="00137983"/>
    <w:rsid w:val="00142657"/>
    <w:rsid w:val="00145C6A"/>
    <w:rsid w:val="00146C33"/>
    <w:rsid w:val="00146F8F"/>
    <w:rsid w:val="00157D46"/>
    <w:rsid w:val="00166B5E"/>
    <w:rsid w:val="00173674"/>
    <w:rsid w:val="0018610C"/>
    <w:rsid w:val="00186A3D"/>
    <w:rsid w:val="001877E0"/>
    <w:rsid w:val="00191EB6"/>
    <w:rsid w:val="0019364E"/>
    <w:rsid w:val="001A05FA"/>
    <w:rsid w:val="001A081A"/>
    <w:rsid w:val="001A0CB3"/>
    <w:rsid w:val="001A2DB2"/>
    <w:rsid w:val="001A2E50"/>
    <w:rsid w:val="001A3476"/>
    <w:rsid w:val="001A7529"/>
    <w:rsid w:val="001B1BD2"/>
    <w:rsid w:val="001B1F3B"/>
    <w:rsid w:val="001B2FD6"/>
    <w:rsid w:val="001B6ECB"/>
    <w:rsid w:val="001D15EB"/>
    <w:rsid w:val="001D55C9"/>
    <w:rsid w:val="001D5FCE"/>
    <w:rsid w:val="001D7100"/>
    <w:rsid w:val="001E017B"/>
    <w:rsid w:val="001E2C5C"/>
    <w:rsid w:val="001E49E9"/>
    <w:rsid w:val="0020257C"/>
    <w:rsid w:val="00203667"/>
    <w:rsid w:val="00205BB4"/>
    <w:rsid w:val="00206747"/>
    <w:rsid w:val="00206BC4"/>
    <w:rsid w:val="0021137A"/>
    <w:rsid w:val="002125D4"/>
    <w:rsid w:val="002208AF"/>
    <w:rsid w:val="00222AAF"/>
    <w:rsid w:val="00224524"/>
    <w:rsid w:val="00230673"/>
    <w:rsid w:val="00241EE6"/>
    <w:rsid w:val="002458BF"/>
    <w:rsid w:val="00254B24"/>
    <w:rsid w:val="00254F7C"/>
    <w:rsid w:val="00256F2F"/>
    <w:rsid w:val="002622CE"/>
    <w:rsid w:val="0026619D"/>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6282"/>
    <w:rsid w:val="003075DD"/>
    <w:rsid w:val="00307B10"/>
    <w:rsid w:val="00310275"/>
    <w:rsid w:val="00310786"/>
    <w:rsid w:val="00312B30"/>
    <w:rsid w:val="00321652"/>
    <w:rsid w:val="00324A64"/>
    <w:rsid w:val="00324D21"/>
    <w:rsid w:val="00325995"/>
    <w:rsid w:val="003309FF"/>
    <w:rsid w:val="00330EA7"/>
    <w:rsid w:val="003319D9"/>
    <w:rsid w:val="00331A21"/>
    <w:rsid w:val="00332459"/>
    <w:rsid w:val="00333442"/>
    <w:rsid w:val="003416AD"/>
    <w:rsid w:val="003424B0"/>
    <w:rsid w:val="003503B4"/>
    <w:rsid w:val="00351F58"/>
    <w:rsid w:val="0035629F"/>
    <w:rsid w:val="0035716A"/>
    <w:rsid w:val="003622D4"/>
    <w:rsid w:val="00362FDA"/>
    <w:rsid w:val="003705CE"/>
    <w:rsid w:val="00371A19"/>
    <w:rsid w:val="00371D2F"/>
    <w:rsid w:val="003723C8"/>
    <w:rsid w:val="003763DC"/>
    <w:rsid w:val="00384A4F"/>
    <w:rsid w:val="0038599E"/>
    <w:rsid w:val="00392CD2"/>
    <w:rsid w:val="00393961"/>
    <w:rsid w:val="0039587B"/>
    <w:rsid w:val="0039677C"/>
    <w:rsid w:val="003A0602"/>
    <w:rsid w:val="003A3DC8"/>
    <w:rsid w:val="003A747E"/>
    <w:rsid w:val="003B6086"/>
    <w:rsid w:val="003B618D"/>
    <w:rsid w:val="003B6AD2"/>
    <w:rsid w:val="003B7217"/>
    <w:rsid w:val="003C2D61"/>
    <w:rsid w:val="003C3F48"/>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3F6"/>
    <w:rsid w:val="004D3669"/>
    <w:rsid w:val="004D534E"/>
    <w:rsid w:val="004D5433"/>
    <w:rsid w:val="004E795F"/>
    <w:rsid w:val="004E7B84"/>
    <w:rsid w:val="004F0DD0"/>
    <w:rsid w:val="004F33E7"/>
    <w:rsid w:val="00501C44"/>
    <w:rsid w:val="00501E49"/>
    <w:rsid w:val="00504FEF"/>
    <w:rsid w:val="00507D5F"/>
    <w:rsid w:val="0051213E"/>
    <w:rsid w:val="00513A65"/>
    <w:rsid w:val="00514A42"/>
    <w:rsid w:val="00517952"/>
    <w:rsid w:val="00522B62"/>
    <w:rsid w:val="00524667"/>
    <w:rsid w:val="0052483D"/>
    <w:rsid w:val="00525754"/>
    <w:rsid w:val="00530438"/>
    <w:rsid w:val="00533139"/>
    <w:rsid w:val="00533D4E"/>
    <w:rsid w:val="00542625"/>
    <w:rsid w:val="005428ED"/>
    <w:rsid w:val="00543B67"/>
    <w:rsid w:val="00547CDD"/>
    <w:rsid w:val="00551942"/>
    <w:rsid w:val="00561787"/>
    <w:rsid w:val="00564FC0"/>
    <w:rsid w:val="00565150"/>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F5C"/>
    <w:rsid w:val="005F288F"/>
    <w:rsid w:val="005F3DFA"/>
    <w:rsid w:val="005F4223"/>
    <w:rsid w:val="005F4889"/>
    <w:rsid w:val="005F630F"/>
    <w:rsid w:val="005F6D67"/>
    <w:rsid w:val="006007E4"/>
    <w:rsid w:val="0060443D"/>
    <w:rsid w:val="00605185"/>
    <w:rsid w:val="00605C49"/>
    <w:rsid w:val="00606EA1"/>
    <w:rsid w:val="00607854"/>
    <w:rsid w:val="00611090"/>
    <w:rsid w:val="006121C2"/>
    <w:rsid w:val="0061271C"/>
    <w:rsid w:val="006158CA"/>
    <w:rsid w:val="00616A1F"/>
    <w:rsid w:val="006230CD"/>
    <w:rsid w:val="00624B43"/>
    <w:rsid w:val="00632A3A"/>
    <w:rsid w:val="0063730D"/>
    <w:rsid w:val="0064522C"/>
    <w:rsid w:val="00645F18"/>
    <w:rsid w:val="00646886"/>
    <w:rsid w:val="00652D2B"/>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CE8"/>
    <w:rsid w:val="006D74A6"/>
    <w:rsid w:val="006D7E75"/>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C74"/>
    <w:rsid w:val="007723C2"/>
    <w:rsid w:val="00774031"/>
    <w:rsid w:val="00775802"/>
    <w:rsid w:val="00776B23"/>
    <w:rsid w:val="00785BCF"/>
    <w:rsid w:val="00785D91"/>
    <w:rsid w:val="007867B3"/>
    <w:rsid w:val="007A1366"/>
    <w:rsid w:val="007B29DD"/>
    <w:rsid w:val="007B3260"/>
    <w:rsid w:val="007B37AA"/>
    <w:rsid w:val="007B3996"/>
    <w:rsid w:val="007B4DDD"/>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F087E"/>
    <w:rsid w:val="007F0A21"/>
    <w:rsid w:val="007F329D"/>
    <w:rsid w:val="007F336B"/>
    <w:rsid w:val="007F4A8D"/>
    <w:rsid w:val="007F64B1"/>
    <w:rsid w:val="008004DF"/>
    <w:rsid w:val="00800999"/>
    <w:rsid w:val="00806067"/>
    <w:rsid w:val="00807911"/>
    <w:rsid w:val="0081067E"/>
    <w:rsid w:val="00813F3E"/>
    <w:rsid w:val="0081413F"/>
    <w:rsid w:val="00814902"/>
    <w:rsid w:val="008166F0"/>
    <w:rsid w:val="00820005"/>
    <w:rsid w:val="00822ADF"/>
    <w:rsid w:val="00822B4E"/>
    <w:rsid w:val="00823EE4"/>
    <w:rsid w:val="00831DA7"/>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806D8"/>
    <w:rsid w:val="00880C4C"/>
    <w:rsid w:val="008827D2"/>
    <w:rsid w:val="008858E3"/>
    <w:rsid w:val="00885998"/>
    <w:rsid w:val="008906F5"/>
    <w:rsid w:val="00890791"/>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6558"/>
    <w:rsid w:val="00917522"/>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181C"/>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C9D"/>
    <w:rsid w:val="009E1EAF"/>
    <w:rsid w:val="009E4AC7"/>
    <w:rsid w:val="009E50C9"/>
    <w:rsid w:val="009E62F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7006"/>
    <w:rsid w:val="00A56462"/>
    <w:rsid w:val="00A60919"/>
    <w:rsid w:val="00A60B5C"/>
    <w:rsid w:val="00A65A49"/>
    <w:rsid w:val="00A667FE"/>
    <w:rsid w:val="00A678C0"/>
    <w:rsid w:val="00A7401C"/>
    <w:rsid w:val="00A7418A"/>
    <w:rsid w:val="00A74810"/>
    <w:rsid w:val="00A76DD5"/>
    <w:rsid w:val="00A77FD1"/>
    <w:rsid w:val="00A87D7D"/>
    <w:rsid w:val="00A9359A"/>
    <w:rsid w:val="00A93AA2"/>
    <w:rsid w:val="00A946EC"/>
    <w:rsid w:val="00AB1B47"/>
    <w:rsid w:val="00AB4426"/>
    <w:rsid w:val="00AB6837"/>
    <w:rsid w:val="00AB6D83"/>
    <w:rsid w:val="00AB72F6"/>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75CA"/>
    <w:rsid w:val="00C07944"/>
    <w:rsid w:val="00C07BB2"/>
    <w:rsid w:val="00C104B0"/>
    <w:rsid w:val="00C119EB"/>
    <w:rsid w:val="00C11AB4"/>
    <w:rsid w:val="00C12371"/>
    <w:rsid w:val="00C17D83"/>
    <w:rsid w:val="00C219B0"/>
    <w:rsid w:val="00C21A99"/>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57E3"/>
    <w:rsid w:val="00C65FAD"/>
    <w:rsid w:val="00C734A9"/>
    <w:rsid w:val="00C7367B"/>
    <w:rsid w:val="00C73A67"/>
    <w:rsid w:val="00C84AAA"/>
    <w:rsid w:val="00C913AB"/>
    <w:rsid w:val="00C959A1"/>
    <w:rsid w:val="00C95C2D"/>
    <w:rsid w:val="00CA65A4"/>
    <w:rsid w:val="00CA7AF7"/>
    <w:rsid w:val="00CB052A"/>
    <w:rsid w:val="00CB08CA"/>
    <w:rsid w:val="00CB2896"/>
    <w:rsid w:val="00CB28F8"/>
    <w:rsid w:val="00CB29D1"/>
    <w:rsid w:val="00CB400F"/>
    <w:rsid w:val="00CB48F4"/>
    <w:rsid w:val="00CB4B78"/>
    <w:rsid w:val="00CC22F9"/>
    <w:rsid w:val="00CC2B6B"/>
    <w:rsid w:val="00CC481A"/>
    <w:rsid w:val="00CC6903"/>
    <w:rsid w:val="00CD046F"/>
    <w:rsid w:val="00CD732C"/>
    <w:rsid w:val="00CD7744"/>
    <w:rsid w:val="00CE05DD"/>
    <w:rsid w:val="00CE2C76"/>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50B3"/>
    <w:rsid w:val="00D4526A"/>
    <w:rsid w:val="00D52DBD"/>
    <w:rsid w:val="00D55FA6"/>
    <w:rsid w:val="00D574E8"/>
    <w:rsid w:val="00D60EF9"/>
    <w:rsid w:val="00D61244"/>
    <w:rsid w:val="00D64E87"/>
    <w:rsid w:val="00D65CE9"/>
    <w:rsid w:val="00D6754E"/>
    <w:rsid w:val="00D708CF"/>
    <w:rsid w:val="00D71BC1"/>
    <w:rsid w:val="00D72F17"/>
    <w:rsid w:val="00D72F9E"/>
    <w:rsid w:val="00D7535D"/>
    <w:rsid w:val="00D84285"/>
    <w:rsid w:val="00D858EF"/>
    <w:rsid w:val="00D94A68"/>
    <w:rsid w:val="00D96D20"/>
    <w:rsid w:val="00D9797C"/>
    <w:rsid w:val="00DA14FA"/>
    <w:rsid w:val="00DA576C"/>
    <w:rsid w:val="00DA6AA8"/>
    <w:rsid w:val="00DA7D8D"/>
    <w:rsid w:val="00DB22BC"/>
    <w:rsid w:val="00DB3D6D"/>
    <w:rsid w:val="00DB698E"/>
    <w:rsid w:val="00DC035D"/>
    <w:rsid w:val="00DC27F9"/>
    <w:rsid w:val="00DC2BBD"/>
    <w:rsid w:val="00DC4145"/>
    <w:rsid w:val="00DC55AD"/>
    <w:rsid w:val="00DD0C8F"/>
    <w:rsid w:val="00DD0D6B"/>
    <w:rsid w:val="00DD5625"/>
    <w:rsid w:val="00DD62AA"/>
    <w:rsid w:val="00DE0408"/>
    <w:rsid w:val="00DE5A74"/>
    <w:rsid w:val="00DE6B1E"/>
    <w:rsid w:val="00DE6CEF"/>
    <w:rsid w:val="00DE719A"/>
    <w:rsid w:val="00DE7C89"/>
    <w:rsid w:val="00DE7C9D"/>
    <w:rsid w:val="00DF04E0"/>
    <w:rsid w:val="00DF2079"/>
    <w:rsid w:val="00DF655E"/>
    <w:rsid w:val="00E02ADF"/>
    <w:rsid w:val="00E041FE"/>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6AD3"/>
    <w:rsid w:val="00EC6BA8"/>
    <w:rsid w:val="00ED7FC5"/>
    <w:rsid w:val="00EF3A26"/>
    <w:rsid w:val="00EF4C2D"/>
    <w:rsid w:val="00EF4E2B"/>
    <w:rsid w:val="00EF78FA"/>
    <w:rsid w:val="00F00385"/>
    <w:rsid w:val="00F00FB7"/>
    <w:rsid w:val="00F03DE6"/>
    <w:rsid w:val="00F1005E"/>
    <w:rsid w:val="00F10E44"/>
    <w:rsid w:val="00F14530"/>
    <w:rsid w:val="00F147C5"/>
    <w:rsid w:val="00F16FF7"/>
    <w:rsid w:val="00F20595"/>
    <w:rsid w:val="00F219F4"/>
    <w:rsid w:val="00F24135"/>
    <w:rsid w:val="00F26ED7"/>
    <w:rsid w:val="00F34694"/>
    <w:rsid w:val="00F405FC"/>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18</Pages>
  <Words>12386</Words>
  <Characters>74316</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78</cp:revision>
  <cp:lastPrinted>2022-12-13T09:51:00Z</cp:lastPrinted>
  <dcterms:created xsi:type="dcterms:W3CDTF">2022-04-13T07:20:00Z</dcterms:created>
  <dcterms:modified xsi:type="dcterms:W3CDTF">2023-03-09T12:05:00Z</dcterms:modified>
  <cp:category/>
</cp:coreProperties>
</file>