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075" w:rsidRDefault="00604075" w:rsidP="00604075">
      <w:pPr>
        <w:pStyle w:val="TekstNB2"/>
      </w:pPr>
      <w:r>
        <w:t>Próbka tekstu nr 2</w:t>
      </w:r>
    </w:p>
    <w:p w:rsidR="00604075" w:rsidRDefault="00604075" w:rsidP="00604075">
      <w:pPr>
        <w:pStyle w:val="TekstNB2"/>
      </w:pPr>
      <w:bookmarkStart w:id="0" w:name="_GoBack"/>
      <w:bookmarkEnd w:id="0"/>
    </w:p>
    <w:p w:rsidR="00C9458E" w:rsidRPr="00DF6999" w:rsidRDefault="00C9458E" w:rsidP="00604075">
      <w:pPr>
        <w:pStyle w:val="TekstNB2"/>
      </w:pPr>
      <w:r w:rsidRPr="00DF6999">
        <w:t xml:space="preserve">W tym kontekście należy wskazać, że porozumienia dotyczące </w:t>
      </w:r>
      <w:r w:rsidR="00604075">
        <w:t xml:space="preserve">ustalania cen i innych warunków </w:t>
      </w:r>
      <w:r w:rsidRPr="00DF6999">
        <w:t xml:space="preserve">sprzedaży należą do najcięższych naruszeń prawa konkurencji. </w:t>
      </w:r>
      <w:r w:rsidRPr="00DF6999">
        <w:rPr>
          <w:rFonts w:eastAsia="MinionPro-Regular"/>
        </w:rPr>
        <w:t>W doktrynie wskazuje się, że zawarcie porozumienia z reguły prowadzi do ustalenia</w:t>
      </w:r>
      <w:r w:rsidRPr="00DF6999">
        <w:t xml:space="preserve"> </w:t>
      </w:r>
      <w:r w:rsidRPr="00DF6999">
        <w:rPr>
          <w:rFonts w:eastAsia="MinionPro-Regular"/>
        </w:rPr>
        <w:t>cen na poziomie wyższym od rynkowego. Porozumienia te w sposób bezpośredni pozbawiają konsumentów możliwości zakupu towaru lub usługi po cenie niższej niż nielegalnie ustalona. Przedsiębiorcy będący stronami porozumienia zyskują komfort działania niemożliwy w warunkach konkurencji, co sprawia, że nie muszą zabiegać o kontrahentów np. wyższą jakością produktów czy poprzez obniżanie cen.</w:t>
      </w:r>
    </w:p>
    <w:p w:rsidR="00C9458E" w:rsidRPr="00DF6999" w:rsidRDefault="00C9458E" w:rsidP="00604075">
      <w:pPr>
        <w:pStyle w:val="TekstNB2"/>
      </w:pPr>
      <w:r>
        <w:t>U</w:t>
      </w:r>
      <w:r w:rsidRPr="00DF6999">
        <w:t>stalanie cen redukuje podaż i powoduje wzrost cen, prowadząc do złego podziału dóbr, gdyż towary i usługi, na które jest popyt konsumentów, nie są wytwarzane. Porozumienia takie prowadzą również do ograniczenia dobrobytu konsumentów, z uwagi na fakt, że konsumenci są zmuszeni do płacenia wyższych cen za towary i usługi, których dotyczy porozumienie.</w:t>
      </w:r>
    </w:p>
    <w:p w:rsidR="00C9458E" w:rsidRPr="00DF6999" w:rsidRDefault="00C9458E" w:rsidP="00604075">
      <w:pPr>
        <w:pStyle w:val="TekstNB2"/>
      </w:pPr>
      <w:r w:rsidRPr="00DF6999">
        <w:t xml:space="preserve">Porozumienia cenowe są zakazane w świetle art. 6 ust. 1 pkt 1 </w:t>
      </w:r>
      <w:r>
        <w:t>ustawy o ochronie konkurencji i konsumentów</w:t>
      </w:r>
      <w:r w:rsidRPr="00DF6999">
        <w:t xml:space="preserve"> zarówno wtedy gdy dotyczą bezpośredniego lub pośredniego ustalania cen, jak wówczas, gdy obejmują uzgodnienia odnoszące się do innych warunków zakupu lub sprzedaży towarów.</w:t>
      </w:r>
    </w:p>
    <w:p w:rsidR="0089291C" w:rsidRPr="00F00957" w:rsidRDefault="00C9458E" w:rsidP="00604075">
      <w:pPr>
        <w:pStyle w:val="TekstNB2"/>
      </w:pPr>
      <w:r w:rsidRPr="00DF6999">
        <w:t>Ustalenia w zakresie cen mogą przybrać bardzo różne formy m.in. ustalania jednolitych cen lub formuł cenowych, cen minimalnych, docelowych</w:t>
      </w:r>
      <w:r w:rsidRPr="008E0F42">
        <w:t xml:space="preserve"> </w:t>
      </w:r>
      <w:r>
        <w:t>tj. cen</w:t>
      </w:r>
      <w:r w:rsidRPr="00DF6999">
        <w:t xml:space="preserve">, do osiągnięcia których uczestnicy porozumienia będą dążyć w określonym czasie lub rekomendowanych, wysokości rabatów. W przedmiotowej sprawie uczestnicy porozumienia uzgadniali zarówno ceny minimalne jak i ceny docelowe. Uzgodnienia stron dotyczące cen minimalnych, prowadziły do ustalenia poziomu cen, poniżej którego żaden z uczestników porozumienia miał nie sprzedawać płyt drewnopochodnych. Natomiast poprzez uzgodnienia cen docelowych strony ustalały wspólną politykę w zakresie podwyższania i obniżania cen, w ramach której określali cenę lub przedział cenowy, do którego będą dążyć w określonym czasie. </w:t>
      </w:r>
    </w:p>
    <w:sectPr w:rsidR="0089291C" w:rsidRPr="00F00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BB71CB"/>
    <w:multiLevelType w:val="hybridMultilevel"/>
    <w:tmpl w:val="FA425692"/>
    <w:lvl w:ilvl="0" w:tplc="76784516">
      <w:start w:val="1"/>
      <w:numFmt w:val="decimal"/>
      <w:lvlText w:val="(%1)"/>
      <w:lvlJc w:val="left"/>
      <w:pPr>
        <w:ind w:left="851" w:hanging="851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941"/>
    <w:rsid w:val="00041189"/>
    <w:rsid w:val="00093346"/>
    <w:rsid w:val="00142B32"/>
    <w:rsid w:val="002E2C53"/>
    <w:rsid w:val="00390B90"/>
    <w:rsid w:val="00604075"/>
    <w:rsid w:val="007123FC"/>
    <w:rsid w:val="00793FE4"/>
    <w:rsid w:val="00834A0D"/>
    <w:rsid w:val="00871936"/>
    <w:rsid w:val="0089291C"/>
    <w:rsid w:val="00992941"/>
    <w:rsid w:val="009F4D80"/>
    <w:rsid w:val="00A04EC1"/>
    <w:rsid w:val="00C9458E"/>
    <w:rsid w:val="00D36B7A"/>
    <w:rsid w:val="00DE2C4D"/>
    <w:rsid w:val="00EE3A3A"/>
    <w:rsid w:val="00F0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F942CE-4914-4033-93AB-93BDCD20A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NB2">
    <w:name w:val="Tekst_NB_2"/>
    <w:basedOn w:val="Akapitzlist"/>
    <w:link w:val="TekstNB2Znak"/>
    <w:autoRedefine/>
    <w:qFormat/>
    <w:rsid w:val="00604075"/>
    <w:pPr>
      <w:spacing w:before="120" w:after="120" w:line="360" w:lineRule="auto"/>
      <w:ind w:left="0"/>
      <w:contextualSpacing w:val="0"/>
      <w:jc w:val="both"/>
    </w:pPr>
    <w:rPr>
      <w:rFonts w:ascii="Times New Roman" w:eastAsia="Calibri" w:hAnsi="Times New Roman" w:cs="Times New Roman"/>
      <w:lang w:eastAsia="pl-PL"/>
    </w:rPr>
  </w:style>
  <w:style w:type="character" w:customStyle="1" w:styleId="TekstNB2Znak">
    <w:name w:val="Tekst_NB_2 Znak"/>
    <w:link w:val="TekstNB2"/>
    <w:rsid w:val="00604075"/>
    <w:rPr>
      <w:rFonts w:ascii="Times New Roman" w:eastAsia="Calibri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C945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290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Fonfara</dc:creator>
  <cp:keywords/>
  <dc:description/>
  <cp:lastModifiedBy>Kinga Knop</cp:lastModifiedBy>
  <cp:revision>4</cp:revision>
  <dcterms:created xsi:type="dcterms:W3CDTF">2020-10-05T10:11:00Z</dcterms:created>
  <dcterms:modified xsi:type="dcterms:W3CDTF">2020-10-26T15:32:00Z</dcterms:modified>
</cp:coreProperties>
</file>