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Wykonawca:</w:t>
      </w:r>
    </w:p>
    <w:p>
      <w:pPr>
        <w:pStyle w:val="Normal"/>
        <w:tabs>
          <w:tab w:val="clear" w:pos="709"/>
          <w:tab w:val="right" w:pos="4536" w:leader="underscore"/>
        </w:tabs>
        <w:spacing w:lineRule="auto" w:line="360" w:before="0" w:after="0"/>
        <w:ind w:left="0"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9"/>
          <w:tab w:val="right" w:pos="4536" w:leader="underscore"/>
        </w:tabs>
        <w:spacing w:lineRule="auto" w:line="240" w:before="0" w:after="0"/>
        <w:ind w:left="0" w:right="487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0"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(pełna nazwa/firma, adres, w zależności od podmiotu: NIP/PESEL, KRS/CEiDG)</w:t>
      </w:r>
    </w:p>
    <w:p>
      <w:pPr>
        <w:pStyle w:val="Normal"/>
        <w:spacing w:lineRule="auto" w:line="360" w:before="160" w:after="0"/>
        <w:ind w:left="0" w:right="4871" w:hanging="0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  <w:szCs w:val="24"/>
          <w:u w:val="single"/>
        </w:rPr>
        <w:t>reprezentowany przez:</w:t>
      </w:r>
    </w:p>
    <w:p>
      <w:pPr>
        <w:pStyle w:val="Normal"/>
        <w:tabs>
          <w:tab w:val="clear" w:pos="709"/>
          <w:tab w:val="right" w:pos="4536" w:leader="underscore"/>
        </w:tabs>
        <w:spacing w:lineRule="auto" w:line="240" w:before="0" w:after="0"/>
        <w:ind w:left="0" w:right="4871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ab/>
      </w:r>
    </w:p>
    <w:p>
      <w:pPr>
        <w:pStyle w:val="Normal"/>
        <w:spacing w:lineRule="auto" w:line="240" w:before="0" w:after="0"/>
        <w:ind w:left="0" w:right="4871" w:hanging="0"/>
        <w:rPr>
          <w:rFonts w:ascii="Times New Roman" w:hAnsi="Times New Roman" w:eastAsia="Times New Roman" w:cs="Times New Roman"/>
          <w:i/>
          <w:i/>
          <w:sz w:val="18"/>
          <w:szCs w:val="24"/>
        </w:rPr>
      </w:pPr>
      <w:r>
        <w:rPr>
          <w:rFonts w:eastAsia="Times New Roman" w:cs="Times New Roman" w:ascii="Times New Roman" w:hAnsi="Times New Roman"/>
          <w:i/>
          <w:sz w:val="18"/>
          <w:szCs w:val="24"/>
        </w:rPr>
        <w:t>(imię, nazwisko, stanowisko/podstawa do reprezentacji)</w:t>
      </w:r>
    </w:p>
    <w:p>
      <w:pPr>
        <w:pStyle w:val="Normal"/>
        <w:spacing w:lineRule="auto" w:line="240" w:before="0" w:after="60"/>
        <w:ind w:left="0" w:right="0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FF0000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/>
          <w:sz w:val="24"/>
          <w:szCs w:val="24"/>
        </w:rPr>
        <w:t>Zamawiający:</w:t>
      </w:r>
    </w:p>
    <w:p>
      <w:pPr>
        <w:pStyle w:val="Normal"/>
        <w:spacing w:lineRule="auto" w:line="276" w:before="0" w:after="60"/>
        <w:ind w:left="0" w:right="0" w:hanging="0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Gmina Sędziejowice</w:t>
        <w:br/>
        <w:tab/>
        <w:tab/>
        <w:tab/>
        <w:tab/>
        <w:tab/>
        <w:tab/>
        <w:tab/>
        <w:tab/>
        <w:tab/>
        <w:tab/>
        <w:tab/>
        <w:tab/>
        <w:tab/>
        <w:tab/>
        <w:tab/>
        <w:t>ul. Wieluńska 6</w:t>
        <w:br/>
        <w:tab/>
        <w:tab/>
        <w:tab/>
        <w:tab/>
        <w:tab/>
        <w:tab/>
        <w:tab/>
        <w:tab/>
        <w:tab/>
        <w:tab/>
        <w:tab/>
        <w:tab/>
        <w:tab/>
        <w:tab/>
        <w:tab/>
        <w:t>98 – 160 Sędziejowice</w:t>
      </w:r>
    </w:p>
    <w:p>
      <w:pPr>
        <w:pStyle w:val="Normal"/>
        <w:spacing w:lineRule="auto" w:line="276" w:before="0" w:after="60"/>
        <w:ind w:left="0" w:right="0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>KOSZTORYS OFERTOWY</w:t>
        <w:br/>
      </w:r>
      <w:r>
        <w:rPr>
          <w:rFonts w:eastAsia="Times New Roman" w:cs="Times New Roman" w:ascii="Times New Roman" w:hAnsi="Times New Roman"/>
          <w:b/>
          <w:sz w:val="24"/>
          <w:szCs w:val="24"/>
        </w:rPr>
        <w:t>stworzony na podstawie Załącznika Nr 6 do SWZ – opis przedmiotu zamówienia załączonego do dokumentacji, na potrzeby postępowania o udzielenie zamówienia publicznego pn. „Cyberbezpieczny Samorząd dla Gminy Sędziejowice” realizowanego w ramach Programu Fundusze Europejskie na Rozwój Cyfrowy (FERC), Priorytet II Zaawansowane usługi cyfrowe, Działanie 2.2. Wzmocnienie krajowego systemu cyberbezpieczeństwa, Europejski Fundusz Rozwoju Regionalnego (EFRR), Numer naboru FERC.02.02-CS.01-001/23.</w:t>
      </w:r>
    </w:p>
    <w:p>
      <w:pPr>
        <w:pStyle w:val="Normal"/>
        <w:spacing w:lineRule="auto" w:line="276" w:before="0" w:after="60"/>
        <w:ind w:left="0" w:right="0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14562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68"/>
        <w:gridCol w:w="7189"/>
        <w:gridCol w:w="855"/>
        <w:gridCol w:w="1350"/>
        <w:gridCol w:w="1350"/>
        <w:gridCol w:w="1349"/>
      </w:tblGrid>
      <w:tr>
        <w:trPr>
          <w:trHeight w:val="256" w:hRule="atLeast"/>
        </w:trPr>
        <w:tc>
          <w:tcPr>
            <w:tcW w:w="14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Sprzęt serwerowy</w:t>
            </w:r>
          </w:p>
        </w:tc>
      </w:tr>
      <w:tr>
        <w:trPr>
          <w:trHeight w:val="388" w:hRule="atLeast"/>
        </w:trPr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Serwer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PowerEdge R750xs Procesor: Intel® Silver 4314 (2.4-3.4 GHz, 16 rdzeni / 32 wątki, 24 MB cache, 135 W), Pamięć RAM: 4x 64GB DDR4 RDIMM, Kontroler RAID: PERC H355, Dyski i Napędy: Obudowa 4x 3.5" HP, 2x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min.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480GB SSD </w:t>
            </w:r>
            <w:r>
              <w:rPr>
                <w:rFonts w:ascii="Times New Roman" w:hAnsi="Times New Roman"/>
                <w:sz w:val="16"/>
                <w:szCs w:val="16"/>
              </w:rPr>
              <w:t>M.2 NVME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RI, Karta sieciowa: LOM DP (Zintegrowana), Zdalne Zarządzanie: iDRAC9 Enterprise, Ramka zabezpieczająca: Ramka bez LCD, Szyny Montażowe: Szyny ruchome, Zasilanie: 2x 800W (Hot-Plug), Gwarancja: 5 lat, Zachowanie dysków twardych: 5 lat (KYHD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Komponenty serwera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Karta Dual Port (2x SFP+, 10Gb/s, SFP+, PCIe)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Macierz dyskowa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Dell EMC PowerVault ME5012 Dyski i Napędy: ME5012 12 x 3,5" Kontroler Macierzy: Kontroler iSCSI, 2x iSCSI SFP+/SFP28 25Gb/s, Okablowanie 2x 2x 5.0m DAC SFP28, Ramka zabezpieczająca: Ramka ME5, Szyny Montażowe: Szyny Rack Rails, Zasilanie: 2x 580W (Hot-Plug) Gwarancja: 5 lat ProSupport NBD, Zachowanie dysków twardych: 5 lat (KYHD)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twarde do macierzy dyskowej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3.5" HDD NLSAS 16TB HDD NLSAS (12Gb/s, 7.2k obr/min, Hot-Plug 3.5")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twarde do macierzy dyskowej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3.5" SSD SAS 1.92TB SSD SAS (12Gb/s, Read Intensive, Hot-Plug 2.5" w ramce 3.5")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Network Attached Storage (NAS)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Synology DS1821+ Procesor: AMD Ryzen V1500B, 4-core 2.2 GHz Pamięć systemowa: 4 GB DDR4 ECC SODIMM, maksymalnie: 32 GB (16 GB x 2) Wnęka dysków: 8, Maks. liczba kieszeni na dyski z jednostką rozszerzającą1 8 (DX517 x 2) + 2 kieszenie na dysk NVMe Kompatybilność dysków: 3.5" SATA HDD, 2.5" SATA HDD, 2.5" SATA SSD, M.2 2280 NVMe SSD Port LAN RJ-45 1GbE x4, Gwarancja: 3 lata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twarde do macierzy dyskowej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 Red SN700 SSD M.2 Pcie NVMe 2TB Interfejs: M.2, Wersja M.2: PCIe 3.0, Format M.2: 2280, Pojemność: 2000 GB Szybkość odczytu: 3400 MB/s, Szybkość zapisu: 2900 MB/s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Dyski twarde do macierzy dyskowej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 Red Pro 8TB Typ: HDD (magnetyczny), Format: 3.5 cala, Interfejs: Serial ATA III, Pojemność: 8000 GB Prędkość obrotowa: 7200 obr./min., Pamięć cache: 256 MB, Model: WD Red Pro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UPS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UPS Eaton 9PX3000IRT2U Zastosowanie: do szaf RACK, Moc wyjściowa pozorna: 3000 VA, Moc wyjściowa czynna: 3000 W Napięcie wejściowe: 230 V, Ilość gniazd wyjściowych: 10 szt., Waga: 27.6 kg, Gwarancja 2 lata Rodzaj gniazd: 8 x C13 | 2 x C19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9"/>
              <w:ind w:left="0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CBF Patchcord LC-LC OM3 MM duplex 100m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CBF Patchcord LC-LC OM3 MM duplex 50m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9"/>
              <w:ind w:left="0" w:hanging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CBF Patchcord LC-LC OM3 MM duplex 3m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81"/>
              <w:ind w:left="0" w:hanging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Moduł SFP+ RJ45 - Option SFP 1.25G RJ45 (10/100/1000) RJ01, 100m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84"/>
              <w:ind w:left="0" w:hanging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CBF Moduł SFP+ 10Gb MM 850nm 300m LC duplex DDM 10GBase-SR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9"/>
              <w:ind w:left="0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MikroTik Cloud Router Switch CRS328-4C-20S-4S+RM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MikroTik Cloud Router Switch CRS354-48G-4S+2Q+RM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461" w:hRule="atLeast"/>
        </w:trPr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149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Zarządzalne urządzenia sieciowe z obsługą standardu 802.1X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MikroTik Cloud Core Router CCR2116-12G-4S+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MikroTik Cloud Router Switch CRS326-24G-2S+RM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MikroTik Cloud Router Switch CRS320-8P-8B-4S+RM – POE (switch do rozbudowy monitoringu urzędu -16x portów PoE)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 (moduły nadawczo/odbiorcze do połączenia światłowodami jednostki podległe do UG, oraz do monitoringu )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Opton 1,25G WDM SFP TX1310/RX1550 SM SC 3km DDM (niebieski)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Style w:val="Czeinternetowe"/>
                <w:rFonts w:ascii="Times New Roman" w:hAnsi="Times New Roman"/>
                <w:b w:val="false"/>
                <w:bCs w:val="false"/>
                <w:kern w:val="2"/>
                <w:sz w:val="16"/>
                <w:szCs w:val="16"/>
                <w:lang w:val="pl-PL" w:bidi="ar-SA"/>
              </w:rPr>
            </w:pPr>
            <w:r>
              <w:rPr>
                <w:rFonts w:ascii="Times New Roman" w:hAnsi="Times New Roman"/>
                <w:b w:val="false"/>
                <w:bCs w:val="false"/>
                <w:kern w:val="2"/>
                <w:sz w:val="16"/>
                <w:szCs w:val="16"/>
                <w:lang w:val="pl-PL" w:bidi="ar-SA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46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Zarządzalne urządzenia sieciowe z obsługą VLAN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4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2"/>
                <w:sz w:val="16"/>
                <w:szCs w:val="16"/>
                <w:lang w:val="pl-PL" w:bidi="ar-SA"/>
              </w:rPr>
              <w:t>(moduły nadawczo/odbiorcze do połączenia światłowodami jednostki podległe do UG, oraz do monitoringu )</w:t>
            </w:r>
          </w:p>
        </w:tc>
        <w:tc>
          <w:tcPr>
            <w:tcW w:w="7189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color w:val="000000" w:themeColor="text1"/>
                <w:kern w:val="2"/>
                <w:lang w:val="pl-PL" w:bidi="ar-SA"/>
              </w:rPr>
            </w:pPr>
            <w:r>
              <w:rPr>
                <w:color w:val="000000" w:themeColor="text1"/>
                <w:kern w:val="2"/>
                <w:lang w:val="pl-PL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rFonts w:ascii="Times New Roman" w:hAnsi="Times New Roman"/>
                <w:b w:val="false"/>
                <w:bCs w:val="false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kern w:val="2"/>
                <w:sz w:val="16"/>
                <w:szCs w:val="16"/>
                <w:lang w:val="pl-PL" w:bidi="ar-SA"/>
              </w:rPr>
              <w:t>Opton 1,25G WDM SFP TX1550/RX1310 SM SC 3km DDM (źółta)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/>
              <w:jc w:val="left"/>
              <w:rPr>
                <w:rFonts w:ascii="Times New Roman" w:hAnsi="Times New Roman"/>
                <w:b w:val="false"/>
                <w:bCs w:val="false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 w:themeColor="text1"/>
                <w:sz w:val="16"/>
                <w:szCs w:val="16"/>
              </w:rPr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2468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7"/>
              <w:ind w:left="14" w:hanging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7189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" w:hanging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55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14565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42"/>
        <w:gridCol w:w="3137"/>
        <w:gridCol w:w="616"/>
        <w:gridCol w:w="941"/>
        <w:gridCol w:w="942"/>
        <w:gridCol w:w="941"/>
        <w:gridCol w:w="941"/>
        <w:gridCol w:w="941"/>
        <w:gridCol w:w="941"/>
        <w:gridCol w:w="941"/>
        <w:gridCol w:w="942"/>
        <w:gridCol w:w="939"/>
      </w:tblGrid>
      <w:tr>
        <w:trPr>
          <w:trHeight w:val="256" w:hRule="atLeast"/>
        </w:trPr>
        <w:tc>
          <w:tcPr>
            <w:tcW w:w="1456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Oprogramowanie </w:t>
            </w:r>
          </w:p>
        </w:tc>
      </w:tr>
      <w:tr>
        <w:trPr>
          <w:trHeight w:val="256" w:hRule="atLeast"/>
        </w:trPr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</w:t>
            </w:r>
          </w:p>
        </w:tc>
        <w:tc>
          <w:tcPr>
            <w:tcW w:w="2824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Licencje wieczyste z rocznym wsparciem</w:t>
            </w:r>
          </w:p>
        </w:tc>
        <w:tc>
          <w:tcPr>
            <w:tcW w:w="2823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Wsparcie roczne dla licencji wieczystych</w:t>
            </w:r>
          </w:p>
        </w:tc>
        <w:tc>
          <w:tcPr>
            <w:tcW w:w="282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Subskrypcja roczna</w:t>
            </w:r>
          </w:p>
        </w:tc>
      </w:tr>
      <w:tr>
        <w:trPr>
          <w:trHeight w:val="388" w:hRule="atLeast"/>
        </w:trPr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Oprogramowanie antywirusowe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Bitdefender GravityZone Business Security (1 rok kontynuacja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Oprogramowanie do wykonywania kopii zapasowych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Veeam Data Platform Essentials Universal - 5 VM (wieczysta)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Licencje Microsoft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Microsoft Windows Server DataCenter 2022 x64 16Core OEM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Oprogramowanie do zarządzania i aktualizacji systemów operacyjnych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Magik Info – wsparcie (1 rok)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2342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Oprogramowanie antywirusowe</w:t>
            </w:r>
          </w:p>
        </w:tc>
        <w:tc>
          <w:tcPr>
            <w:tcW w:w="313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Arista NG Firevall - wsparcie (1 rok)</w:t>
            </w:r>
          </w:p>
        </w:tc>
        <w:tc>
          <w:tcPr>
            <w:tcW w:w="61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2342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137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14562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311"/>
        <w:gridCol w:w="5223"/>
        <w:gridCol w:w="926"/>
        <w:gridCol w:w="1700"/>
        <w:gridCol w:w="1696"/>
        <w:gridCol w:w="1705"/>
      </w:tblGrid>
      <w:tr>
        <w:trPr>
          <w:trHeight w:val="256" w:hRule="atLeast"/>
        </w:trPr>
        <w:tc>
          <w:tcPr>
            <w:tcW w:w="14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Audyty</w:t>
            </w:r>
          </w:p>
        </w:tc>
      </w:tr>
      <w:tr>
        <w:trPr>
          <w:trHeight w:val="388" w:hRule="atLeast"/>
        </w:trPr>
        <w:tc>
          <w:tcPr>
            <w:tcW w:w="331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dni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>
          <w:trHeight w:val="283" w:hRule="atLeast"/>
        </w:trPr>
        <w:tc>
          <w:tcPr>
            <w:tcW w:w="331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Audyty bezpieczeństwa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Testy penetracyjne - 5 dni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331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Szkolenia powiązane z testami socjotechnicznymi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Testy socjotechniczne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83" w:hRule="atLeast"/>
        </w:trPr>
        <w:tc>
          <w:tcPr>
            <w:tcW w:w="3311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Audyt systemu bezpieczeństwa informacji</w:t>
            </w:r>
          </w:p>
        </w:tc>
        <w:tc>
          <w:tcPr>
            <w:tcW w:w="5223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Audyt bezpieczeństwa wymagany w ramach Projektu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3311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223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26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14562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07"/>
        <w:gridCol w:w="4427"/>
        <w:gridCol w:w="926"/>
        <w:gridCol w:w="1700"/>
        <w:gridCol w:w="1696"/>
        <w:gridCol w:w="1705"/>
      </w:tblGrid>
      <w:tr>
        <w:trPr>
          <w:trHeight w:val="256" w:hRule="atLeast"/>
        </w:trPr>
        <w:tc>
          <w:tcPr>
            <w:tcW w:w="14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Szkolenia</w:t>
            </w:r>
          </w:p>
        </w:tc>
      </w:tr>
      <w:tr>
        <w:trPr>
          <w:trHeight w:val="388" w:hRule="atLeast"/>
        </w:trPr>
        <w:tc>
          <w:tcPr>
            <w:tcW w:w="410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dni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410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kadry administracyjnej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pracowników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0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kadry informatycznej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pracowników IT/Sec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410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specjalistyczne dla kadry zarządzającej</w:t>
            </w:r>
          </w:p>
        </w:tc>
        <w:tc>
          <w:tcPr>
            <w:tcW w:w="4427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Szkolenie z cyberbezpieczeństwa dla menedżerów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4107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427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26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14562" w:type="dxa"/>
        <w:jc w:val="left"/>
        <w:tblInd w:w="-3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426"/>
        <w:gridCol w:w="5108"/>
        <w:gridCol w:w="926"/>
        <w:gridCol w:w="1700"/>
        <w:gridCol w:w="1696"/>
        <w:gridCol w:w="1705"/>
      </w:tblGrid>
      <w:tr>
        <w:trPr>
          <w:trHeight w:val="256" w:hRule="atLeast"/>
        </w:trPr>
        <w:tc>
          <w:tcPr>
            <w:tcW w:w="145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AAAAA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Wdrożenia</w:t>
            </w:r>
          </w:p>
        </w:tc>
      </w:tr>
      <w:tr>
        <w:trPr>
          <w:trHeight w:val="388" w:hRule="atLeast"/>
        </w:trPr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Typ rozwiązania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Nazwa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dni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netto</w:t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netto</w:t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E3E3E3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systemów teleinformatycznych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klastra serwerów - do 3 serwerów + szafa RACK (ukryta)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systemów teleinformatycznych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Veeam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systemów teleinformatycznych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Wdrożenie Magik Info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Opracowanie i wdrożenie dokumentacji SZBI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Opracowanie i wdrożenie dokumentacji SZBI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/>
        <w:tc>
          <w:tcPr>
            <w:tcW w:w="34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Przygotowanie projektu oraz usługi wspomagające realizację projektu</w:t>
            </w:r>
          </w:p>
        </w:tc>
        <w:tc>
          <w:tcPr>
            <w:tcW w:w="5108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Przygotowanie / prowadzenie projektu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9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3426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5108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926" w:type="dxa"/>
            <w:tcBorders/>
            <w:tcMar>
              <w:left w:w="30" w:type="dxa"/>
              <w:right w:w="30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E3E3E3" w:val="clear"/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</w:t>
            </w:r>
          </w:p>
        </w:tc>
        <w:tc>
          <w:tcPr>
            <w:tcW w:w="1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76" w:before="0" w:after="60"/>
        <w:ind w:left="0" w:right="0" w:hanging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Kosztorys zawiera wszystkie elementy wskazane w Załączniku Nr 6 do SWZ – opis przedmiotu zamówienia.</w:t>
      </w:r>
    </w:p>
    <w:p>
      <w:pPr>
        <w:pStyle w:val="Normal"/>
        <w:widowControl w:val="false"/>
        <w:spacing w:lineRule="auto" w:line="276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Miejscowość …………….…………….., dnia ………….…………………... r.</w:t>
      </w:r>
    </w:p>
    <w:p>
      <w:pPr>
        <w:pStyle w:val="Normal"/>
        <w:widowControl w:val="false"/>
        <w:spacing w:lineRule="auto" w:line="276" w:before="24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</w:r>
    </w:p>
    <w:p>
      <w:pPr>
        <w:pStyle w:val="Normal"/>
        <w:widowControl w:val="false"/>
        <w:spacing w:lineRule="auto" w:line="240" w:before="0" w:after="0"/>
        <w:ind w:left="4536" w:right="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</w:t>
      </w:r>
    </w:p>
    <w:p>
      <w:pPr>
        <w:pStyle w:val="Normal"/>
        <w:widowControl w:val="false"/>
        <w:spacing w:lineRule="auto" w:line="240" w:before="0" w:after="0"/>
        <w:ind w:left="4536" w:right="0" w:hanging="0"/>
        <w:jc w:val="center"/>
        <w:rPr>
          <w:rFonts w:ascii="Times New Roman" w:hAnsi="Times New Roman" w:eastAsia="Times New Roman" w:cs="Times New Roman"/>
          <w:i/>
          <w:i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(podpis)</w:t>
        <w:br/>
      </w:r>
    </w:p>
    <w:p>
      <w:pPr>
        <w:pStyle w:val="Normal"/>
        <w:tabs>
          <w:tab w:val="clear" w:pos="709"/>
          <w:tab w:val="center" w:pos="4536" w:leader="none"/>
          <w:tab w:val="right" w:pos="9072" w:leader="none"/>
        </w:tabs>
        <w:spacing w:lineRule="auto" w:line="240" w:before="0" w:after="0"/>
        <w:jc w:val="center"/>
        <w:rPr>
          <w:rFonts w:ascii="Times New Roman" w:hAnsi="Times New Roman" w:cs="Arial"/>
          <w:b/>
          <w:bCs/>
          <w:color w:val="FF0000"/>
          <w:sz w:val="20"/>
        </w:rPr>
      </w:pPr>
      <w:r>
        <w:rPr>
          <w:rFonts w:cs="Arial" w:ascii="Times New Roman" w:hAnsi="Times New Roman"/>
          <w:b/>
          <w:bCs/>
          <w:color w:val="FF0000"/>
          <w:sz w:val="20"/>
        </w:rPr>
        <w:br/>
        <w:t>Kosztorys składa się, pod rygorem nieważności, w formie elektronicznej lub w postaci elektronicznej opatrzonej podpisem zaufanym lub podpisem osobistym.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1134" w:gutter="0" w:header="1134" w:top="2521" w:footer="1134" w:bottom="1693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anchor behindDoc="1" distT="0" distB="0" distL="0" distR="0" simplePos="0" locked="0" layoutInCell="0" allowOverlap="1" relativeHeight="17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440170" cy="667385"/>
          <wp:effectExtent l="0" t="0" r="0" b="0"/>
          <wp:wrapSquare wrapText="largest"/>
          <wp:docPr id="4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017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drawing>
        <wp:anchor behindDoc="0" distT="0" distB="0" distL="114300" distR="114300" simplePos="0" locked="0" layoutInCell="0" allowOverlap="1" relativeHeight="5">
          <wp:simplePos x="0" y="0"/>
          <wp:positionH relativeFrom="margin">
            <wp:posOffset>1781810</wp:posOffset>
          </wp:positionH>
          <wp:positionV relativeFrom="page">
            <wp:posOffset>871855</wp:posOffset>
          </wp:positionV>
          <wp:extent cx="1676400" cy="45085"/>
          <wp:effectExtent l="0" t="0" r="0" b="0"/>
          <wp:wrapSquare wrapText="bothSides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9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13">
          <wp:simplePos x="0" y="0"/>
          <wp:positionH relativeFrom="margin">
            <wp:posOffset>5913120</wp:posOffset>
          </wp:positionH>
          <wp:positionV relativeFrom="page">
            <wp:posOffset>883285</wp:posOffset>
          </wp:positionV>
          <wp:extent cx="1676400" cy="45085"/>
          <wp:effectExtent l="0" t="0" r="0" b="0"/>
          <wp:wrapSquare wrapText="bothSides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Nr postępowania: RW.VI.271.17.2024</w:t>
      <w:tab/>
      <w:tab/>
      <w:t xml:space="preserve">Załącznik Nr 7 do SWZ </w:t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Czeinternetowe">
    <w:name w:val="Hyperlink"/>
    <w:basedOn w:val="DefaultParagraphFont"/>
    <w:rPr>
      <w:color w:val="0563C1" w:themeColor="hyperlink"/>
      <w:u w:val="single"/>
    </w:rPr>
  </w:style>
  <w:style w:type="character" w:styleId="Odwiedzoneczeinternetowe">
    <w:name w:val="FollowedHyperlink"/>
    <w:basedOn w:val="DefaultParagraphFont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163</TotalTime>
  <Application>LibreOffice/7.5.1.2$Windows_X86_64 LibreOffice_project/fcbaee479e84c6cd81291587d2ee68cba099e129</Application>
  <AppVersion>15.0000</AppVersion>
  <Pages>4</Pages>
  <Words>969</Words>
  <Characters>5912</Characters>
  <CharactersWithSpaces>6890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2024-08-19T14:02:46Z</dcterms:created>
  <dc:creator/>
  <dc:description/>
  <dc:language>pl-PL</dc:language>
  <cp:lastModifiedBy/>
  <cp:lastPrinted>2024-08-20T15:18:21Z</cp:lastPrinted>
  <dcterms:modified xsi:type="dcterms:W3CDTF">2024-09-11T16:21:00Z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