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20D265B6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A725A5">
        <w:rPr>
          <w:rFonts w:asciiTheme="minorHAnsi" w:hAnsiTheme="minorHAnsi"/>
        </w:rPr>
        <w:t>2</w:t>
      </w:r>
      <w:r w:rsidR="00A21BB9">
        <w:rPr>
          <w:rFonts w:asciiTheme="minorHAnsi" w:hAnsiTheme="minorHAnsi"/>
        </w:rPr>
        <w:t>9</w:t>
      </w:r>
      <w:r w:rsidR="00C1067A">
        <w:rPr>
          <w:rFonts w:asciiTheme="minorHAnsi" w:hAnsiTheme="minorHAnsi"/>
        </w:rPr>
        <w:t xml:space="preserve"> </w:t>
      </w:r>
      <w:r w:rsidR="00A725A5">
        <w:rPr>
          <w:rFonts w:asciiTheme="minorHAnsi" w:hAnsiTheme="minorHAnsi"/>
        </w:rPr>
        <w:t>czerwc</w:t>
      </w:r>
      <w:r w:rsidR="00E91A71">
        <w:rPr>
          <w:rFonts w:asciiTheme="minorHAnsi" w:hAnsiTheme="minorHAnsi"/>
        </w:rPr>
        <w:t>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F56D05">
        <w:rPr>
          <w:rFonts w:asciiTheme="minorHAnsi" w:hAnsiTheme="minorHAnsi"/>
        </w:rPr>
        <w:t>3</w:t>
      </w:r>
      <w:r w:rsidR="00987F76" w:rsidRPr="00B31CAB">
        <w:rPr>
          <w:rFonts w:asciiTheme="minorHAnsi" w:hAnsiTheme="minorHAnsi"/>
        </w:rPr>
        <w:t>r.</w:t>
      </w:r>
    </w:p>
    <w:p w14:paraId="67D567D6" w14:textId="0B9D1745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32.</w:t>
      </w:r>
      <w:r w:rsidR="00A21BB9">
        <w:rPr>
          <w:rFonts w:asciiTheme="minorHAnsi" w:eastAsia="Times New Roman" w:hAnsiTheme="minorHAnsi" w:cs="Times New Roman"/>
          <w:b/>
          <w:bCs/>
          <w:sz w:val="24"/>
          <w:szCs w:val="24"/>
        </w:rPr>
        <w:t>7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.202</w:t>
      </w:r>
      <w:r w:rsidR="00F56D05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3E7A3DF7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 xml:space="preserve">INFORMACJA O UNIEWAŻNIENIU </w:t>
      </w:r>
      <w:r w:rsidR="0053640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 xml:space="preserve">III ZADANIA W 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</w:t>
      </w:r>
      <w:r w:rsidR="0053640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U</w:t>
      </w:r>
    </w:p>
    <w:p w14:paraId="4F0032AA" w14:textId="65EB8485" w:rsidR="003F7A6A" w:rsidRPr="00C1067A" w:rsidRDefault="00EA35BF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r w:rsidRPr="004E6FCB">
        <w:rPr>
          <w:rFonts w:asciiTheme="minorHAnsi" w:hAnsiTheme="minorHAnsi" w:cstheme="minorHAnsi"/>
          <w:kern w:val="3"/>
        </w:rPr>
        <w:tab/>
      </w:r>
      <w:r w:rsidR="00C1067A" w:rsidRPr="00C1067A">
        <w:rPr>
          <w:rFonts w:asciiTheme="minorHAnsi" w:hAnsiTheme="minorHAnsi" w:cstheme="minorHAnsi"/>
          <w:kern w:val="3"/>
          <w:sz w:val="24"/>
          <w:szCs w:val="24"/>
        </w:rPr>
        <w:t xml:space="preserve">             </w:t>
      </w:r>
      <w:r w:rsidR="005D586C" w:rsidRPr="00C1067A">
        <w:rPr>
          <w:rFonts w:asciiTheme="minorHAnsi" w:hAnsiTheme="minorHAnsi" w:cstheme="minorHAnsi"/>
          <w:sz w:val="24"/>
          <w:szCs w:val="24"/>
        </w:rPr>
        <w:t>Działając na podstawie 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60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 z dnia 11 września 2019r. Prawo zamówień publicznych (</w:t>
      </w:r>
      <w:r w:rsidR="00A725A5" w:rsidRPr="00A725A5">
        <w:rPr>
          <w:rFonts w:asciiTheme="minorHAnsi" w:hAnsiTheme="minorHAnsi" w:cstheme="minorHAnsi"/>
          <w:sz w:val="24"/>
          <w:szCs w:val="24"/>
        </w:rPr>
        <w:t>Dz. U. z 2022 r. poz. 1710, 1812, 1933, 2185, z 2023 r. poz. 412</w:t>
      </w:r>
      <w:r w:rsidR="00A725A5">
        <w:rPr>
          <w:rFonts w:asciiTheme="minorHAnsi" w:hAnsiTheme="minorHAnsi" w:cstheme="minorHAnsi"/>
          <w:sz w:val="24"/>
          <w:szCs w:val="24"/>
        </w:rPr>
        <w:t xml:space="preserve">) </w:t>
      </w:r>
      <w:r w:rsidR="005D586C" w:rsidRPr="00C1067A">
        <w:rPr>
          <w:rFonts w:asciiTheme="minorHAnsi" w:hAnsiTheme="minorHAnsi" w:cstheme="minorHAnsi"/>
          <w:sz w:val="24"/>
          <w:szCs w:val="24"/>
        </w:rPr>
        <w:t>zwanej dalej ustawą informuję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o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wyniku postępowania o udzielenie zamówienia publicznego prowadzonego w trybie podstawowym, wariant 1</w:t>
      </w:r>
      <w:r w:rsidR="00D6537A">
        <w:rPr>
          <w:rFonts w:asciiTheme="minorHAnsi" w:hAnsiTheme="minorHAnsi" w:cstheme="minorHAnsi"/>
          <w:sz w:val="24"/>
          <w:szCs w:val="24"/>
        </w:rPr>
        <w:t xml:space="preserve"> bez negocjacji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4E6FCB" w:rsidRPr="00C1067A">
        <w:rPr>
          <w:rFonts w:asciiTheme="minorHAnsi" w:hAnsiTheme="minorHAnsi" w:cstheme="minorHAnsi"/>
          <w:sz w:val="24"/>
          <w:szCs w:val="24"/>
        </w:rPr>
        <w:t>(</w:t>
      </w:r>
      <w:r w:rsidR="005D586C" w:rsidRPr="00C1067A">
        <w:rPr>
          <w:rFonts w:asciiTheme="minorHAnsi" w:hAnsiTheme="minorHAnsi" w:cstheme="minorHAnsi"/>
          <w:sz w:val="24"/>
          <w:szCs w:val="24"/>
        </w:rPr>
        <w:t>art. 275. pkt 1 ustawy</w:t>
      </w:r>
      <w:r w:rsidR="004E6FCB" w:rsidRPr="00C1067A">
        <w:rPr>
          <w:rFonts w:asciiTheme="minorHAnsi" w:hAnsiTheme="minorHAnsi" w:cstheme="minorHAnsi"/>
          <w:sz w:val="24"/>
          <w:szCs w:val="24"/>
        </w:rPr>
        <w:t>)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,  </w:t>
      </w:r>
      <w:r w:rsidR="00C1067A"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na </w:t>
      </w:r>
      <w:bookmarkStart w:id="2" w:name="OLE_LINK5"/>
      <w:bookmarkStart w:id="3" w:name="OLE_LINK6"/>
      <w:r w:rsidR="00C63E4A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A21BB9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Dostawy artykułów </w:t>
      </w:r>
      <w:r w:rsidR="008D69BF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spożywczych</w:t>
      </w:r>
      <w:r w:rsidR="00A21BB9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do</w:t>
      </w:r>
      <w:r w:rsidR="00DD4AF7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Aresztu Śledczego w Hajnówce</w:t>
      </w:r>
      <w:r w:rsidR="00D6537A" w:rsidRPr="00D6537A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,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 xml:space="preserve"> </w:t>
      </w:r>
      <w:bookmarkEnd w:id="2"/>
      <w:bookmarkEnd w:id="3"/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nr. post</w:t>
      </w:r>
      <w:r w:rsidR="00AB0B48">
        <w:rPr>
          <w:rFonts w:ascii="Calibri" w:eastAsia="Times New Roman" w:hAnsi="Calibri" w:cs="Calibri"/>
          <w:sz w:val="24"/>
          <w:szCs w:val="24"/>
          <w:lang w:eastAsia="pl-PL" w:bidi="ar-SA"/>
        </w:rPr>
        <w:t>ę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powania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 xml:space="preserve"> D/Kw.2232.</w:t>
      </w:r>
      <w:r w:rsidR="00A21BB9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7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.202</w:t>
      </w:r>
      <w:r w:rsidR="00DD4AF7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3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</w:t>
      </w:r>
    </w:p>
    <w:p w14:paraId="55A49366" w14:textId="10C20DD9" w:rsidR="003F7A6A" w:rsidRP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bookmarkStart w:id="4" w:name="_Hlk104536997"/>
      <w:bookmarkStart w:id="5" w:name="OLE_LINK15"/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 na podstawie</w:t>
      </w:r>
      <w:r w:rsidR="00E91A71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5D586C" w:rsidRPr="00C1067A">
        <w:rPr>
          <w:rFonts w:asciiTheme="minorHAnsi" w:hAnsiTheme="minorHAnsi" w:cstheme="minorHAnsi"/>
          <w:sz w:val="24"/>
          <w:szCs w:val="24"/>
        </w:rPr>
        <w:t>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55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sz w:val="24"/>
          <w:szCs w:val="24"/>
        </w:rPr>
        <w:t>pkt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E91A71">
        <w:rPr>
          <w:rFonts w:asciiTheme="minorHAnsi" w:hAnsiTheme="minorHAnsi" w:cstheme="minorHAnsi"/>
          <w:sz w:val="24"/>
          <w:szCs w:val="24"/>
        </w:rPr>
        <w:t>3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7A6A" w:rsidRPr="00C1067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3F7A6A" w:rsidRPr="00C1067A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powanie </w:t>
      </w:r>
      <w:r w:rsidR="00AB0B4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536400" w:rsidRPr="00536400">
        <w:rPr>
          <w:rFonts w:ascii="Calibri" w:hAnsi="Calibri" w:cs="Calibri"/>
          <w:b/>
          <w:bCs/>
          <w:iCs/>
          <w:sz w:val="24"/>
          <w:szCs w:val="24"/>
        </w:rPr>
        <w:t>w zadaniu nr III – dostawy produktów rybnych</w:t>
      </w:r>
      <w:r w:rsidR="00536400"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536400">
        <w:rPr>
          <w:rFonts w:asciiTheme="minorHAnsi" w:hAnsiTheme="minorHAnsi" w:cstheme="minorHAnsi"/>
          <w:bCs/>
          <w:iCs/>
          <w:sz w:val="24"/>
          <w:szCs w:val="24"/>
        </w:rPr>
        <w:t>w postępowaniu n</w:t>
      </w:r>
      <w:r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a </w:t>
      </w:r>
      <w:r w:rsidR="00E72404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A21BB9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Dostawy artykułów spożywczych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8D69BF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do </w:t>
      </w:r>
      <w:bookmarkStart w:id="6" w:name="_GoBack"/>
      <w:bookmarkEnd w:id="6"/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Aresztu Śledczego w Hajnówce</w:t>
      </w:r>
      <w:r w:rsidR="00A21BB9">
        <w:rPr>
          <w:rFonts w:ascii="Calibri" w:hAnsi="Calibri" w:cs="Calibri"/>
          <w:bCs/>
          <w:iCs/>
          <w:sz w:val="24"/>
          <w:szCs w:val="24"/>
        </w:rPr>
        <w:t>.</w:t>
      </w:r>
    </w:p>
    <w:p w14:paraId="25B7A29F" w14:textId="4CF8C18D" w:rsid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</w:pPr>
      <w:bookmarkStart w:id="7" w:name="OLE_LINK16"/>
      <w:bookmarkStart w:id="8" w:name="OLE_LINK17"/>
      <w:bookmarkStart w:id="9" w:name="OLE_LINK1"/>
      <w:bookmarkStart w:id="10" w:name="OLE_LINK2"/>
      <w:r w:rsidRPr="00C1067A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F7A6A" w:rsidRPr="00C1067A">
        <w:rPr>
          <w:rFonts w:asciiTheme="minorHAnsi" w:hAnsiTheme="minorHAnsi" w:cstheme="minorHAnsi"/>
          <w:sz w:val="24"/>
          <w:szCs w:val="24"/>
        </w:rPr>
        <w:t>Unieważnienie post</w:t>
      </w:r>
      <w:r w:rsidR="00632F90">
        <w:rPr>
          <w:rFonts w:asciiTheme="minorHAnsi" w:hAnsiTheme="minorHAnsi" w:cstheme="minorHAnsi"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powania o </w:t>
      </w:r>
      <w:r w:rsidR="00536400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3F7A6A" w:rsidRPr="00C1067A">
        <w:rPr>
          <w:rFonts w:asciiTheme="minorHAnsi" w:hAnsiTheme="minorHAnsi" w:cstheme="minorHAnsi"/>
          <w:sz w:val="24"/>
          <w:szCs w:val="24"/>
        </w:rPr>
        <w:t>zamówieni</w:t>
      </w:r>
      <w:r w:rsidR="00536400">
        <w:rPr>
          <w:rFonts w:asciiTheme="minorHAnsi" w:hAnsiTheme="minorHAnsi" w:cstheme="minorHAnsi"/>
          <w:sz w:val="24"/>
          <w:szCs w:val="24"/>
        </w:rPr>
        <w:t>a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publiczne</w:t>
      </w:r>
      <w:r w:rsidR="00536400">
        <w:rPr>
          <w:rFonts w:asciiTheme="minorHAnsi" w:hAnsiTheme="minorHAnsi" w:cstheme="minorHAnsi"/>
          <w:sz w:val="24"/>
          <w:szCs w:val="24"/>
        </w:rPr>
        <w:t>go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A51BBC">
        <w:rPr>
          <w:rFonts w:asciiTheme="minorHAnsi" w:hAnsiTheme="minorHAnsi" w:cstheme="minorHAnsi"/>
          <w:sz w:val="24"/>
          <w:szCs w:val="24"/>
        </w:rPr>
        <w:t xml:space="preserve">w </w:t>
      </w:r>
      <w:r w:rsidR="00C34D96" w:rsidRPr="00C34D96">
        <w:rPr>
          <w:rFonts w:asciiTheme="minorHAnsi" w:hAnsiTheme="minorHAnsi" w:cstheme="minorHAnsi"/>
          <w:sz w:val="24"/>
          <w:szCs w:val="24"/>
        </w:rPr>
        <w:t>zadani</w:t>
      </w:r>
      <w:r w:rsidR="00A51BBC">
        <w:rPr>
          <w:rFonts w:asciiTheme="minorHAnsi" w:hAnsiTheme="minorHAnsi" w:cstheme="minorHAnsi"/>
          <w:sz w:val="24"/>
          <w:szCs w:val="24"/>
        </w:rPr>
        <w:t>u</w:t>
      </w:r>
      <w:r w:rsidR="00C34D96" w:rsidRPr="00C34D96">
        <w:rPr>
          <w:rFonts w:asciiTheme="minorHAnsi" w:hAnsiTheme="minorHAnsi" w:cstheme="minorHAnsi"/>
          <w:sz w:val="24"/>
          <w:szCs w:val="24"/>
        </w:rPr>
        <w:t xml:space="preserve"> nr III - dostawy produktów rybnych </w:t>
      </w:r>
      <w:r w:rsidR="003F7A6A" w:rsidRPr="00C1067A">
        <w:rPr>
          <w:rFonts w:asciiTheme="minorHAnsi" w:hAnsiTheme="minorHAnsi" w:cstheme="minorHAnsi"/>
          <w:sz w:val="24"/>
          <w:szCs w:val="24"/>
        </w:rPr>
        <w:t>następuje</w:t>
      </w:r>
      <w:r w:rsidR="00AB0B48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Pr="00C1067A">
        <w:rPr>
          <w:rFonts w:asciiTheme="minorHAnsi" w:eastAsia="Times New Roman" w:hAnsiTheme="minorHAnsi" w:cstheme="minorHAnsi"/>
          <w:bCs/>
          <w:iCs/>
          <w:color w:val="auto"/>
          <w:sz w:val="24"/>
          <w:szCs w:val="24"/>
        </w:rPr>
        <w:t xml:space="preserve">ponieważ </w:t>
      </w:r>
      <w:r w:rsidR="00E91A71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oferta z najniższą ceną przewyższa kwotę, którą zamawiający zamierza przeznaczyć na sfinalizowanie zamówienia</w:t>
      </w:r>
      <w:r w:rsidR="00D6537A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.</w:t>
      </w:r>
      <w:bookmarkEnd w:id="7"/>
      <w:bookmarkEnd w:id="8"/>
    </w:p>
    <w:bookmarkEnd w:id="0"/>
    <w:bookmarkEnd w:id="1"/>
    <w:bookmarkEnd w:id="4"/>
    <w:bookmarkEnd w:id="5"/>
    <w:bookmarkEnd w:id="9"/>
    <w:bookmarkEnd w:id="10"/>
    <w:p w14:paraId="755D6297" w14:textId="23BCBB29" w:rsidR="00C1067A" w:rsidRDefault="001B1AE8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761CA592" w14:textId="1A64E904" w:rsidR="00EA35BF" w:rsidRPr="0048541A" w:rsidRDefault="00EA35BF" w:rsidP="0048541A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EA35BF">
        <w:rPr>
          <w:rFonts w:ascii="Calibri" w:hAnsi="Calibri" w:cs="Calibri"/>
        </w:rPr>
        <w:t>Podpisał:</w:t>
      </w:r>
    </w:p>
    <w:p w14:paraId="4408C8E0" w14:textId="260C5CAB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1E6B1370" w14:textId="2C4BFF1E" w:rsidR="00DD4AF7" w:rsidRPr="00EA35BF" w:rsidRDefault="00A65774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DD4AF7">
        <w:rPr>
          <w:rFonts w:ascii="Calibri" w:eastAsia="Calibri" w:hAnsi="Calibri" w:cs="Calibri"/>
          <w:sz w:val="20"/>
          <w:szCs w:val="20"/>
          <w:lang w:bidi="ar-SA"/>
        </w:rPr>
        <w:t>ppłk mgr Roman Paszk</w:t>
      </w:r>
      <w:r w:rsidR="0048541A">
        <w:rPr>
          <w:rFonts w:ascii="Calibri" w:eastAsia="Calibri" w:hAnsi="Calibri" w:cs="Calibri"/>
          <w:sz w:val="20"/>
          <w:szCs w:val="20"/>
          <w:lang w:bidi="ar-SA"/>
        </w:rPr>
        <w:t>o</w:t>
      </w:r>
    </w:p>
    <w:p w14:paraId="42376452" w14:textId="77777777" w:rsidR="0048541A" w:rsidRDefault="0048541A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14:paraId="2ABC24D4" w14:textId="77777777" w:rsidR="0048541A" w:rsidRDefault="0048541A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14:paraId="681B04A3" w14:textId="77777777" w:rsidR="0048541A" w:rsidRDefault="0048541A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14:paraId="2DC91D2E" w14:textId="77777777" w:rsidR="0048541A" w:rsidRDefault="0048541A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</w:p>
    <w:p w14:paraId="03ABEC92" w14:textId="6F8DCB9C" w:rsidR="00B807E2" w:rsidRPr="0048541A" w:rsidRDefault="00B807E2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Wykonano w </w:t>
      </w:r>
      <w:r w:rsidR="00523911"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1</w:t>
      </w: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 egz. </w:t>
      </w:r>
    </w:p>
    <w:p w14:paraId="7A3ACF3F" w14:textId="2D582B7E" w:rsidR="002132C5" w:rsidRPr="0048541A" w:rsidRDefault="002132C5" w:rsidP="002132C5">
      <w:pPr>
        <w:pStyle w:val="Zal-text"/>
        <w:numPr>
          <w:ilvl w:val="0"/>
          <w:numId w:val="2"/>
        </w:numPr>
        <w:spacing w:before="0" w:after="0" w:line="360" w:lineRule="auto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Wysłano elektronicznie:</w:t>
      </w:r>
    </w:p>
    <w:p w14:paraId="66EECCE7" w14:textId="77777777" w:rsidR="00A21BB9" w:rsidRPr="0048541A" w:rsidRDefault="00A21BB9" w:rsidP="0055441B">
      <w:pPr>
        <w:pStyle w:val="Zal-text"/>
        <w:spacing w:line="360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8541A">
        <w:rPr>
          <w:rFonts w:asciiTheme="minorHAnsi" w:eastAsia="SimSun" w:hAnsiTheme="minorHAnsi" w:cstheme="minorHAnsi"/>
          <w:kern w:val="3"/>
          <w:sz w:val="16"/>
          <w:szCs w:val="16"/>
        </w:rPr>
        <w:t xml:space="preserve">- </w:t>
      </w:r>
      <w:r w:rsidRPr="0048541A">
        <w:rPr>
          <w:rFonts w:asciiTheme="minorHAnsi" w:hAnsiTheme="minorHAnsi" w:cstheme="minorHAnsi"/>
          <w:color w:val="auto"/>
          <w:sz w:val="16"/>
          <w:szCs w:val="16"/>
        </w:rPr>
        <w:t xml:space="preserve">Wytwórnia Koncentratów Spożywczych „DORO” Dorota </w:t>
      </w:r>
      <w:proofErr w:type="spellStart"/>
      <w:r w:rsidRPr="0048541A">
        <w:rPr>
          <w:rFonts w:asciiTheme="minorHAnsi" w:hAnsiTheme="minorHAnsi" w:cstheme="minorHAnsi"/>
          <w:color w:val="auto"/>
          <w:sz w:val="16"/>
          <w:szCs w:val="16"/>
        </w:rPr>
        <w:t>Doberstajn</w:t>
      </w:r>
      <w:proofErr w:type="spellEnd"/>
      <w:r w:rsidRPr="0048541A">
        <w:rPr>
          <w:rFonts w:asciiTheme="minorHAnsi" w:hAnsiTheme="minorHAnsi" w:cstheme="minorHAnsi"/>
          <w:color w:val="auto"/>
          <w:sz w:val="16"/>
          <w:szCs w:val="16"/>
        </w:rPr>
        <w:t xml:space="preserve">, ul. Młyńska 30, 88-100 Inowrocław </w:t>
      </w:r>
      <w:hyperlink r:id="rId7" w:history="1">
        <w:r w:rsidRPr="0048541A">
          <w:rPr>
            <w:rStyle w:val="Hipercze"/>
            <w:rFonts w:ascii="Calibri" w:eastAsia="Calibri" w:hAnsi="Calibri"/>
            <w:i/>
            <w:color w:val="auto"/>
            <w:kern w:val="3"/>
            <w:sz w:val="16"/>
            <w:szCs w:val="16"/>
            <w:lang w:bidi="ar-SA"/>
          </w:rPr>
          <w:t>doro@doro.net.pl</w:t>
        </w:r>
      </w:hyperlink>
    </w:p>
    <w:p w14:paraId="7237A284" w14:textId="77777777" w:rsidR="00A21BB9" w:rsidRPr="0048541A" w:rsidRDefault="00A21BB9" w:rsidP="0055441B">
      <w:pPr>
        <w:pStyle w:val="Zal-text"/>
        <w:spacing w:line="360" w:lineRule="auto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SimSun" w:hAnsiTheme="minorHAnsi" w:cstheme="minorHAnsi"/>
          <w:color w:val="auto"/>
          <w:kern w:val="3"/>
          <w:sz w:val="16"/>
          <w:szCs w:val="16"/>
        </w:rPr>
        <w:t xml:space="preserve">- </w:t>
      </w:r>
      <w:r w:rsidRPr="0048541A">
        <w:rPr>
          <w:rFonts w:ascii="Calibri" w:eastAsia="SimSun" w:hAnsi="Calibri" w:cs="Calibri"/>
          <w:color w:val="auto"/>
          <w:kern w:val="3"/>
          <w:sz w:val="16"/>
          <w:szCs w:val="16"/>
        </w:rPr>
        <w:t xml:space="preserve">„DAMEX” Mierzwiński Łukasz, Mierzwiński Wojciech, Sp. jawna, ul. Szosa Knyszyńska 17-129, 15-694 </w:t>
      </w:r>
      <w:proofErr w:type="spellStart"/>
      <w:r w:rsidRPr="0048541A">
        <w:rPr>
          <w:rFonts w:ascii="Calibri" w:eastAsia="SimSun" w:hAnsi="Calibri" w:cs="Calibri"/>
          <w:color w:val="auto"/>
          <w:kern w:val="3"/>
          <w:sz w:val="16"/>
          <w:szCs w:val="16"/>
        </w:rPr>
        <w:t>Fasty</w:t>
      </w:r>
      <w:proofErr w:type="spellEnd"/>
      <w:r w:rsidRPr="0048541A">
        <w:rPr>
          <w:rFonts w:ascii="Calibri" w:eastAsia="SimSun" w:hAnsi="Calibri" w:cs="Calibri"/>
          <w:i/>
          <w:iCs/>
          <w:color w:val="auto"/>
          <w:kern w:val="3"/>
          <w:sz w:val="16"/>
          <w:szCs w:val="16"/>
        </w:rPr>
        <w:t xml:space="preserve"> </w:t>
      </w: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–  </w:t>
      </w:r>
      <w:hyperlink r:id="rId8" w:history="1">
        <w:r w:rsidRPr="0048541A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6"/>
            <w:szCs w:val="16"/>
          </w:rPr>
          <w:t>biuro@damex.bialystok.pl</w:t>
        </w:r>
      </w:hyperlink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   </w:t>
      </w:r>
    </w:p>
    <w:p w14:paraId="5B6291AB" w14:textId="77777777" w:rsidR="00A21BB9" w:rsidRPr="0048541A" w:rsidRDefault="00A21BB9" w:rsidP="0055441B">
      <w:pPr>
        <w:pStyle w:val="Zal-text"/>
        <w:spacing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-</w:t>
      </w:r>
      <w:r w:rsidRPr="0048541A">
        <w:rPr>
          <w:color w:val="auto"/>
          <w:sz w:val="16"/>
          <w:szCs w:val="16"/>
        </w:rPr>
        <w:t xml:space="preserve"> </w:t>
      </w: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Greek Trade Sp. z o.o., ul. Tadeusza </w:t>
      </w:r>
      <w:proofErr w:type="spellStart"/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Śliwiaka</w:t>
      </w:r>
      <w:proofErr w:type="spellEnd"/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 14, 30-797 Kraków – </w:t>
      </w:r>
      <w:hyperlink r:id="rId9" w:history="1">
        <w:r w:rsidRPr="0048541A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6"/>
            <w:szCs w:val="16"/>
          </w:rPr>
          <w:t>anna.detal@greektrade.com.pl</w:t>
        </w:r>
      </w:hyperlink>
    </w:p>
    <w:p w14:paraId="6F7B46BA" w14:textId="77777777" w:rsidR="00A21BB9" w:rsidRPr="0048541A" w:rsidRDefault="00A21BB9" w:rsidP="0055441B">
      <w:pPr>
        <w:pStyle w:val="Zal-text"/>
        <w:spacing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-  F.H. Gracja, ul. A. Mickiewicza 13, 98-354 Siemkowice – </w:t>
      </w:r>
      <w:hyperlink r:id="rId10" w:history="1">
        <w:r w:rsidRPr="0048541A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6"/>
            <w:szCs w:val="16"/>
          </w:rPr>
          <w:t>f.h.gracja@wp.pl</w:t>
        </w:r>
      </w:hyperlink>
    </w:p>
    <w:p w14:paraId="67554634" w14:textId="77777777" w:rsidR="00A21BB9" w:rsidRPr="0048541A" w:rsidRDefault="00A21BB9" w:rsidP="0055441B">
      <w:pPr>
        <w:pStyle w:val="Zal-text"/>
        <w:spacing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- ABER Sp. z o.o., ul. Sprzętowa 3, 10-467 Olsztyn – </w:t>
      </w:r>
      <w:hyperlink r:id="rId11" w:history="1">
        <w:r w:rsidRPr="0048541A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6"/>
            <w:szCs w:val="16"/>
          </w:rPr>
          <w:t>marketing@aber.pl</w:t>
        </w:r>
      </w:hyperlink>
    </w:p>
    <w:p w14:paraId="4D7323D0" w14:textId="77777777" w:rsidR="00A21BB9" w:rsidRPr="0048541A" w:rsidRDefault="00A21BB9" w:rsidP="0055441B">
      <w:pPr>
        <w:pStyle w:val="Zal-text"/>
        <w:spacing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- Spółdzielnia Mleczarska Mlekovita, ul. Ludowa 122, 18-200 Wysokie Mazowieckie - </w:t>
      </w:r>
      <w:hyperlink r:id="rId12" w:history="1">
        <w:r w:rsidRPr="0048541A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6"/>
            <w:szCs w:val="16"/>
          </w:rPr>
          <w:t>t.podbielski@mlekovita.com.pl</w:t>
        </w:r>
      </w:hyperlink>
    </w:p>
    <w:p w14:paraId="5531C41E" w14:textId="77777777" w:rsidR="00A21BB9" w:rsidRPr="0048541A" w:rsidRDefault="00A21BB9" w:rsidP="0055441B">
      <w:pPr>
        <w:pStyle w:val="Zal-text"/>
        <w:spacing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- Mirosław Popow  Przedsiębiorstwo Handlowo-Usługowe „MANGO” Detal-Hurt, ul. </w:t>
      </w:r>
      <w:proofErr w:type="spellStart"/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Poddolna</w:t>
      </w:r>
      <w:proofErr w:type="spellEnd"/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 63, 17-200 Hajnówka – </w:t>
      </w:r>
      <w:hyperlink r:id="rId13" w:history="1">
        <w:r w:rsidRPr="0048541A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6"/>
            <w:szCs w:val="16"/>
          </w:rPr>
          <w:t>mangophu.ksiegowosc@op.pl</w:t>
        </w:r>
      </w:hyperlink>
    </w:p>
    <w:p w14:paraId="3A7D8024" w14:textId="77777777" w:rsidR="0055441B" w:rsidRPr="0048541A" w:rsidRDefault="00A21BB9" w:rsidP="0055441B">
      <w:pPr>
        <w:pStyle w:val="Zal-text"/>
        <w:spacing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- Wiesław </w:t>
      </w:r>
      <w:proofErr w:type="spellStart"/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Leoniuk</w:t>
      </w:r>
      <w:proofErr w:type="spellEnd"/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 LEWIAN, Baciki Bliższe 101, 17-300 Siemiatycze – </w:t>
      </w:r>
      <w:hyperlink r:id="rId14" w:history="1">
        <w:r w:rsidRPr="0048541A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6"/>
            <w:szCs w:val="16"/>
          </w:rPr>
          <w:t>biuro@leoniuk.pl</w:t>
        </w:r>
      </w:hyperlink>
    </w:p>
    <w:p w14:paraId="64271F7B" w14:textId="162592CD" w:rsidR="00A21BB9" w:rsidRPr="0048541A" w:rsidRDefault="00A21BB9" w:rsidP="0055441B">
      <w:pPr>
        <w:pStyle w:val="Zal-text"/>
        <w:spacing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</w:pPr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- Hurt-Detal Art. </w:t>
      </w:r>
      <w:proofErr w:type="spellStart"/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>Spoż</w:t>
      </w:r>
      <w:proofErr w:type="spellEnd"/>
      <w:r w:rsidRPr="0048541A">
        <w:rPr>
          <w:rFonts w:asciiTheme="minorHAnsi" w:eastAsia="Times New Roman" w:hAnsiTheme="minorHAnsi" w:cstheme="minorHAnsi"/>
          <w:i/>
          <w:iCs/>
          <w:color w:val="auto"/>
          <w:sz w:val="16"/>
          <w:szCs w:val="16"/>
        </w:rPr>
        <w:t xml:space="preserve">.-Rolne Anna Siekierko, ul. Szpitalna 24, 18-200 Wysokie Mazowieckie – </w:t>
      </w:r>
      <w:hyperlink r:id="rId15" w:history="1">
        <w:r w:rsidRPr="0048541A">
          <w:rPr>
            <w:rStyle w:val="Hipercze"/>
            <w:rFonts w:asciiTheme="minorHAnsi" w:eastAsia="Times New Roman" w:hAnsiTheme="minorHAnsi" w:cstheme="minorHAnsi"/>
            <w:i/>
            <w:iCs/>
            <w:color w:val="auto"/>
            <w:sz w:val="16"/>
            <w:szCs w:val="16"/>
          </w:rPr>
          <w:t>psiekierko@op.pl</w:t>
        </w:r>
      </w:hyperlink>
    </w:p>
    <w:p w14:paraId="759F5981" w14:textId="4BEFA67F" w:rsidR="00DC6CFA" w:rsidRPr="0048541A" w:rsidRDefault="00A21BB9" w:rsidP="0055441B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  <w:r w:rsidRPr="0048541A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 </w:t>
      </w:r>
      <w:r w:rsidR="00D230B2" w:rsidRPr="0048541A">
        <w:rPr>
          <w:rFonts w:asciiTheme="minorHAnsi" w:eastAsia="Calibri" w:hAnsiTheme="minorHAnsi" w:cstheme="minorHAnsi"/>
          <w:sz w:val="16"/>
          <w:szCs w:val="16"/>
          <w:lang w:bidi="ar-SA"/>
        </w:rPr>
        <w:t>- Z</w:t>
      </w:r>
      <w:r w:rsidR="00EA35BF" w:rsidRPr="0048541A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amieszczono na </w:t>
      </w:r>
      <w:r w:rsidR="00D6537A" w:rsidRPr="0048541A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stronie prowadzonego postępowania </w:t>
      </w:r>
      <w:r w:rsidR="00DD4AF7" w:rsidRPr="0048541A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– platforma zakupowa </w:t>
      </w:r>
      <w:proofErr w:type="spellStart"/>
      <w:r w:rsidR="00DD4AF7" w:rsidRPr="0048541A">
        <w:rPr>
          <w:rFonts w:asciiTheme="minorHAnsi" w:eastAsia="Calibri" w:hAnsiTheme="minorHAnsi" w:cstheme="minorHAnsi"/>
          <w:sz w:val="16"/>
          <w:szCs w:val="16"/>
          <w:lang w:bidi="ar-SA"/>
        </w:rPr>
        <w:t>OpenNexus</w:t>
      </w:r>
      <w:proofErr w:type="spellEnd"/>
    </w:p>
    <w:sectPr w:rsidR="00DC6CFA" w:rsidRPr="0048541A">
      <w:headerReference w:type="default" r:id="rId16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8B938" w14:textId="77777777" w:rsidR="008F0A31" w:rsidRDefault="008F0A31">
      <w:r>
        <w:separator/>
      </w:r>
    </w:p>
  </w:endnote>
  <w:endnote w:type="continuationSeparator" w:id="0">
    <w:p w14:paraId="250F1F09" w14:textId="77777777" w:rsidR="008F0A31" w:rsidRDefault="008F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altName w:val="Cambria"/>
    <w:charset w:val="00"/>
    <w:family w:val="roman"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E4D56" w14:textId="77777777" w:rsidR="008F0A31" w:rsidRDefault="008F0A31">
      <w:r>
        <w:separator/>
      </w:r>
    </w:p>
  </w:footnote>
  <w:footnote w:type="continuationSeparator" w:id="0">
    <w:p w14:paraId="2EB323BB" w14:textId="77777777" w:rsidR="008F0A31" w:rsidRDefault="008F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53B87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2F5972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8541A"/>
    <w:rsid w:val="0049144E"/>
    <w:rsid w:val="004A014E"/>
    <w:rsid w:val="004D7DC6"/>
    <w:rsid w:val="004E4A37"/>
    <w:rsid w:val="004E6FCB"/>
    <w:rsid w:val="00513A55"/>
    <w:rsid w:val="00523911"/>
    <w:rsid w:val="00536400"/>
    <w:rsid w:val="0055441B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53B86"/>
    <w:rsid w:val="0078057E"/>
    <w:rsid w:val="007D17F8"/>
    <w:rsid w:val="00857916"/>
    <w:rsid w:val="008737DA"/>
    <w:rsid w:val="00890078"/>
    <w:rsid w:val="00896F9A"/>
    <w:rsid w:val="008C7990"/>
    <w:rsid w:val="008D69BF"/>
    <w:rsid w:val="008E3F0E"/>
    <w:rsid w:val="008F0A31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20E91"/>
    <w:rsid w:val="00A21BB9"/>
    <w:rsid w:val="00A26EBA"/>
    <w:rsid w:val="00A51BBC"/>
    <w:rsid w:val="00A65774"/>
    <w:rsid w:val="00A725A5"/>
    <w:rsid w:val="00A93D34"/>
    <w:rsid w:val="00AA4239"/>
    <w:rsid w:val="00AB0B48"/>
    <w:rsid w:val="00B31CAB"/>
    <w:rsid w:val="00B32B6A"/>
    <w:rsid w:val="00B35214"/>
    <w:rsid w:val="00B6180D"/>
    <w:rsid w:val="00B807E2"/>
    <w:rsid w:val="00BD06DB"/>
    <w:rsid w:val="00C1067A"/>
    <w:rsid w:val="00C34D96"/>
    <w:rsid w:val="00C63E4A"/>
    <w:rsid w:val="00C70B25"/>
    <w:rsid w:val="00C87B6B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E693D"/>
    <w:rsid w:val="00F037B1"/>
    <w:rsid w:val="00F03820"/>
    <w:rsid w:val="00F06EF5"/>
    <w:rsid w:val="00F230EC"/>
    <w:rsid w:val="00F47482"/>
    <w:rsid w:val="00F56D05"/>
    <w:rsid w:val="00F67002"/>
    <w:rsid w:val="00FA22E7"/>
    <w:rsid w:val="00F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1BB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amex.bialystok.pl" TargetMode="External"/><Relationship Id="rId13" Type="http://schemas.openxmlformats.org/officeDocument/2006/relationships/hyperlink" Target="mailto:mangophu.ksiegowosc@op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ro@doro.net.pl" TargetMode="External"/><Relationship Id="rId12" Type="http://schemas.openxmlformats.org/officeDocument/2006/relationships/hyperlink" Target="mailto:t.podbielski@mlekovita.c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ing@aber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siekierko@op.pl" TargetMode="External"/><Relationship Id="rId10" Type="http://schemas.openxmlformats.org/officeDocument/2006/relationships/hyperlink" Target="mailto:f.h.gracj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detal@greektrade.com.pl" TargetMode="External"/><Relationship Id="rId14" Type="http://schemas.openxmlformats.org/officeDocument/2006/relationships/hyperlink" Target="mailto:biuro@leoniu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18</cp:revision>
  <cp:lastPrinted>2023-06-29T11:20:00Z</cp:lastPrinted>
  <dcterms:created xsi:type="dcterms:W3CDTF">2023-02-02T08:09:00Z</dcterms:created>
  <dcterms:modified xsi:type="dcterms:W3CDTF">2023-06-29T12:06:00Z</dcterms:modified>
  <dc:language>pl-PL</dc:language>
</cp:coreProperties>
</file>