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769B" w14:textId="40EEC50C" w:rsidR="00FB28A4" w:rsidRDefault="00FB28A4" w:rsidP="00FB28A4">
      <w:pPr>
        <w:tabs>
          <w:tab w:val="left" w:pos="-3060"/>
          <w:tab w:val="left" w:pos="709"/>
        </w:tabs>
        <w:suppressAutoHyphens w:val="0"/>
        <w:ind w:left="72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 w:rsidR="004D275B">
        <w:rPr>
          <w:rFonts w:cs="Times New Roman"/>
          <w:b/>
        </w:rPr>
        <w:t>7</w:t>
      </w:r>
      <w:r w:rsidR="001B33CE">
        <w:rPr>
          <w:rFonts w:cs="Times New Roman"/>
          <w:b/>
        </w:rPr>
        <w:t xml:space="preserve"> do SWZ</w:t>
      </w:r>
    </w:p>
    <w:p w14:paraId="225D2797" w14:textId="77777777" w:rsidR="00FB28A4" w:rsidRDefault="00FB28A4" w:rsidP="0088780A">
      <w:pPr>
        <w:tabs>
          <w:tab w:val="left" w:pos="-3060"/>
          <w:tab w:val="left" w:pos="709"/>
        </w:tabs>
        <w:suppressAutoHyphens w:val="0"/>
        <w:ind w:left="720"/>
        <w:jc w:val="both"/>
        <w:rPr>
          <w:rFonts w:cs="Times New Roman"/>
          <w:b/>
        </w:rPr>
      </w:pPr>
    </w:p>
    <w:p w14:paraId="2CECDDCB" w14:textId="45D548F8" w:rsidR="0088780A" w:rsidRPr="0088780A" w:rsidRDefault="00FB28A4" w:rsidP="0088780A">
      <w:pPr>
        <w:tabs>
          <w:tab w:val="left" w:pos="-3060"/>
          <w:tab w:val="left" w:pos="709"/>
        </w:tabs>
        <w:suppressAutoHyphens w:val="0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Dodatkowe informacje dotyczące warunków/realizacji umowy</w:t>
      </w:r>
      <w:r w:rsidR="0088780A" w:rsidRPr="0088780A">
        <w:rPr>
          <w:rFonts w:cs="Times New Roman"/>
          <w:b/>
        </w:rPr>
        <w:t xml:space="preserve">:  </w:t>
      </w:r>
    </w:p>
    <w:p w14:paraId="16059149" w14:textId="77777777" w:rsidR="0088780A" w:rsidRDefault="0088780A" w:rsidP="0088780A">
      <w:pPr>
        <w:tabs>
          <w:tab w:val="left" w:pos="-3060"/>
          <w:tab w:val="left" w:pos="709"/>
        </w:tabs>
        <w:suppressAutoHyphens w:val="0"/>
        <w:jc w:val="both"/>
        <w:rPr>
          <w:rFonts w:cs="Times New Roman"/>
        </w:rPr>
      </w:pPr>
    </w:p>
    <w:p w14:paraId="6AC488FF" w14:textId="77777777" w:rsidR="00FB28A4" w:rsidRDefault="00FB28A4" w:rsidP="0088780A">
      <w:pPr>
        <w:tabs>
          <w:tab w:val="left" w:pos="-3060"/>
          <w:tab w:val="left" w:pos="709"/>
        </w:tabs>
        <w:suppressAutoHyphens w:val="0"/>
        <w:jc w:val="both"/>
        <w:rPr>
          <w:rFonts w:cs="Times New Roman"/>
        </w:rPr>
      </w:pPr>
    </w:p>
    <w:p w14:paraId="10C880DF" w14:textId="06425507" w:rsidR="00FB28A4" w:rsidRPr="003A0ABE" w:rsidRDefault="00FB28A4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3A0ABE">
        <w:rPr>
          <w:rFonts w:cs="Times New Roman"/>
        </w:rPr>
        <w:t>Systemy ochrony przeciwpożarowej Zamawiającego podlegają bezpośrednio stałemu monitorowaniu przez Wykonawcę.</w:t>
      </w:r>
    </w:p>
    <w:p w14:paraId="06C0992F" w14:textId="77777777" w:rsidR="00FB28A4" w:rsidRPr="003A0ABE" w:rsidRDefault="00FB28A4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</w:p>
    <w:p w14:paraId="01F1B974" w14:textId="6B871E0C" w:rsidR="00FB28A4" w:rsidRPr="003A0ABE" w:rsidRDefault="001A0268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3A0ABE">
        <w:rPr>
          <w:rFonts w:cstheme="minorHAnsi"/>
        </w:rPr>
        <w:t>Wykaz budynków</w:t>
      </w:r>
      <w:r w:rsidR="00FB28A4" w:rsidRPr="003A0ABE">
        <w:rPr>
          <w:rFonts w:cstheme="minorHAnsi"/>
        </w:rPr>
        <w:t xml:space="preserve"> podleg</w:t>
      </w:r>
      <w:r w:rsidR="000530D7" w:rsidRPr="003A0ABE">
        <w:rPr>
          <w:rFonts w:cstheme="minorHAnsi"/>
        </w:rPr>
        <w:t>a</w:t>
      </w:r>
      <w:r w:rsidR="00FB28A4" w:rsidRPr="003A0ABE">
        <w:rPr>
          <w:rFonts w:cstheme="minorHAnsi"/>
        </w:rPr>
        <w:t>j</w:t>
      </w:r>
      <w:r w:rsidR="000530D7" w:rsidRPr="003A0ABE">
        <w:rPr>
          <w:rFonts w:cstheme="minorHAnsi"/>
        </w:rPr>
        <w:t>ą</w:t>
      </w:r>
      <w:r w:rsidRPr="003A0ABE">
        <w:rPr>
          <w:rFonts w:cstheme="minorHAnsi"/>
        </w:rPr>
        <w:t>cych</w:t>
      </w:r>
      <w:r w:rsidR="00FB28A4" w:rsidRPr="003A0ABE">
        <w:rPr>
          <w:rFonts w:cstheme="minorHAnsi"/>
        </w:rPr>
        <w:t xml:space="preserve"> bezpośrednio stałemu monitorowaniu przez Straż Pożarną.</w:t>
      </w:r>
    </w:p>
    <w:p w14:paraId="328BFA3D" w14:textId="77777777" w:rsidR="001A0268" w:rsidRPr="003A0ABE" w:rsidRDefault="001A0268" w:rsidP="001A0268">
      <w:pPr>
        <w:pStyle w:val="Akapitzlist"/>
        <w:rPr>
          <w:rFonts w:cstheme="minorHAnsi"/>
        </w:rPr>
      </w:pPr>
    </w:p>
    <w:p w14:paraId="0F0E4C26" w14:textId="5A8400F1" w:rsidR="001A0268" w:rsidRPr="001B33C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  <w:lang w:val="en-US"/>
        </w:rPr>
      </w:pPr>
      <w:r w:rsidRPr="001B33CE">
        <w:rPr>
          <w:rFonts w:cstheme="minorHAnsi"/>
          <w:lang w:val="en-US"/>
        </w:rPr>
        <w:t>- Coll Anatomicum</w:t>
      </w:r>
    </w:p>
    <w:p w14:paraId="1524FD3D" w14:textId="673E332C" w:rsidR="001A0268" w:rsidRPr="001B33C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  <w:lang w:val="en-US"/>
        </w:rPr>
      </w:pPr>
      <w:r w:rsidRPr="001B33CE">
        <w:rPr>
          <w:rFonts w:cstheme="minorHAnsi"/>
          <w:lang w:val="en-US"/>
        </w:rPr>
        <w:t>- DS. Karolek</w:t>
      </w:r>
    </w:p>
    <w:p w14:paraId="583E1C7D" w14:textId="0EBCBD70" w:rsidR="001A0268" w:rsidRPr="001B33C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  <w:lang w:val="en-US"/>
        </w:rPr>
      </w:pPr>
      <w:r w:rsidRPr="001B33CE">
        <w:rPr>
          <w:rFonts w:cstheme="minorHAnsi"/>
          <w:lang w:val="en-US"/>
        </w:rPr>
        <w:t>- DS. Eskulap</w:t>
      </w:r>
    </w:p>
    <w:p w14:paraId="79BC1D25" w14:textId="3A57A63F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Coll Wrzoska</w:t>
      </w:r>
    </w:p>
    <w:p w14:paraId="4F91847F" w14:textId="4F7455AC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Centrum Kongresowo – Dydaktyczne</w:t>
      </w:r>
    </w:p>
    <w:p w14:paraId="60A4E58C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Centrum Biologii Medycznej</w:t>
      </w:r>
    </w:p>
    <w:p w14:paraId="123DFA23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Budynek ul. Dąbrowskiego 79</w:t>
      </w:r>
    </w:p>
    <w:p w14:paraId="00B95930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</w:p>
    <w:p w14:paraId="0FB38668" w14:textId="5CD77E14" w:rsidR="00FB28A4" w:rsidRPr="003A0ABE" w:rsidRDefault="00FB28A4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3A0ABE">
        <w:rPr>
          <w:rFonts w:cstheme="minorHAnsi"/>
        </w:rPr>
        <w:t>Systemy pożarowe posiadają odrębną i niezależną centralę.</w:t>
      </w:r>
    </w:p>
    <w:p w14:paraId="520CABB1" w14:textId="77777777" w:rsidR="0014708B" w:rsidRPr="003A0ABE" w:rsidRDefault="0014708B" w:rsidP="0014708B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</w:p>
    <w:p w14:paraId="3D15DFFB" w14:textId="39C48FDC" w:rsidR="001A0268" w:rsidRPr="003A0ABE" w:rsidRDefault="001A0268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3A0ABE">
        <w:rPr>
          <w:rFonts w:cstheme="minorHAnsi"/>
        </w:rPr>
        <w:t xml:space="preserve">Wykaz budynków wyposażonych w system wykrywania i sygnalizacji pożaru, które nie są podłączone do </w:t>
      </w:r>
      <w:r w:rsidR="00BD060C" w:rsidRPr="003A0ABE">
        <w:rPr>
          <w:rFonts w:cstheme="minorHAnsi"/>
        </w:rPr>
        <w:t>S</w:t>
      </w:r>
      <w:r w:rsidRPr="003A0ABE">
        <w:rPr>
          <w:rFonts w:cstheme="minorHAnsi"/>
        </w:rPr>
        <w:t xml:space="preserve">traży  </w:t>
      </w:r>
      <w:r w:rsidR="00BD060C" w:rsidRPr="003A0ABE">
        <w:rPr>
          <w:rFonts w:cstheme="minorHAnsi"/>
        </w:rPr>
        <w:t>P</w:t>
      </w:r>
      <w:r w:rsidRPr="003A0ABE">
        <w:rPr>
          <w:rFonts w:cstheme="minorHAnsi"/>
        </w:rPr>
        <w:t>ożarnej i wymagają telefonicznego zgłoszenia o pożarze lub innym zagrożeniu pod tel. 998 lub 112:</w:t>
      </w:r>
    </w:p>
    <w:p w14:paraId="53DE4444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DS. Medyk</w:t>
      </w:r>
    </w:p>
    <w:p w14:paraId="57B7B868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DS.Aspirynka</w:t>
      </w:r>
    </w:p>
    <w:p w14:paraId="623ED08B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Coll Stomatologicum</w:t>
      </w:r>
    </w:p>
    <w:p w14:paraId="6233F922" w14:textId="77777777" w:rsidR="001A0268" w:rsidRPr="003A0ABE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Coll Chmiela</w:t>
      </w:r>
    </w:p>
    <w:p w14:paraId="5E5CC7D4" w14:textId="275E3A61" w:rsidR="001A0268" w:rsidRPr="001A0268" w:rsidRDefault="001A0268" w:rsidP="001A0268">
      <w:pPr>
        <w:tabs>
          <w:tab w:val="left" w:pos="-3060"/>
          <w:tab w:val="left" w:pos="426"/>
        </w:tabs>
        <w:suppressAutoHyphens w:val="0"/>
        <w:ind w:left="360"/>
        <w:jc w:val="both"/>
        <w:rPr>
          <w:rFonts w:cstheme="minorHAnsi"/>
        </w:rPr>
      </w:pPr>
      <w:r w:rsidRPr="003A0ABE">
        <w:rPr>
          <w:rFonts w:cstheme="minorHAnsi"/>
        </w:rPr>
        <w:t>- CITK ul.</w:t>
      </w:r>
      <w:r w:rsidR="0027582A">
        <w:rPr>
          <w:rFonts w:cstheme="minorHAnsi"/>
        </w:rPr>
        <w:t xml:space="preserve"> </w:t>
      </w:r>
      <w:r w:rsidRPr="003A0ABE">
        <w:rPr>
          <w:rFonts w:cstheme="minorHAnsi"/>
        </w:rPr>
        <w:t>Parkowa</w:t>
      </w:r>
      <w:r w:rsidRPr="001A0268">
        <w:rPr>
          <w:rFonts w:cstheme="minorHAnsi"/>
        </w:rPr>
        <w:t xml:space="preserve"> </w:t>
      </w:r>
    </w:p>
    <w:p w14:paraId="10E08C95" w14:textId="77777777" w:rsidR="00FB28A4" w:rsidRDefault="00FB28A4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</w:p>
    <w:p w14:paraId="25F8FE54" w14:textId="7332DF47" w:rsidR="00FB28A4" w:rsidRPr="00025051" w:rsidRDefault="00FB28A4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>Zamawiający pokrywa koszty zakupy nowych części, niezbędnych do wykonania naprawy systemów alarmowych w przypadku, gdy uległy one naturalnemu zużyciu/awarii</w:t>
      </w:r>
      <w:r w:rsidR="00AA78C5">
        <w:rPr>
          <w:rFonts w:cstheme="minorHAnsi"/>
        </w:rPr>
        <w:t>,</w:t>
      </w:r>
      <w:r w:rsidRPr="00025051">
        <w:rPr>
          <w:rFonts w:cstheme="minorHAnsi"/>
        </w:rPr>
        <w:t xml:space="preserve"> a ich naprawa jest niemożliwa bądź nieopłacalna.</w:t>
      </w:r>
    </w:p>
    <w:p w14:paraId="3EC8E822" w14:textId="77777777" w:rsidR="00FB28A4" w:rsidRDefault="00FB28A4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</w:p>
    <w:p w14:paraId="5134FF5A" w14:textId="6C7A1BF6" w:rsidR="00FB28A4" w:rsidRPr="00025051" w:rsidRDefault="0091134B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>Nadzór nad systemami alarmowymi ma się odbywać zarówno za pośrednictwem pracowników na obiekcie  jak i bezpośrednio przez System Monitorowania Alarmów Wykonawcy ze stałym podłączeniem  nadajników do systemów alarmowych Zamawiającego.</w:t>
      </w:r>
    </w:p>
    <w:p w14:paraId="13A6438C" w14:textId="77777777" w:rsidR="0091134B" w:rsidRDefault="0091134B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</w:p>
    <w:p w14:paraId="238F9EDC" w14:textId="7F965558" w:rsidR="0091134B" w:rsidRPr="00025051" w:rsidRDefault="0091134B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>Zamawiający przeszkoli bezpłatnie pracowników ochrony z obsługi systemów zabezpieczenia technicznego zainstalowanych na obiektach, centrali telefonicznej itp.</w:t>
      </w:r>
    </w:p>
    <w:p w14:paraId="10B9815D" w14:textId="77777777" w:rsidR="0091134B" w:rsidRDefault="0091134B" w:rsidP="0027582A">
      <w:pPr>
        <w:tabs>
          <w:tab w:val="left" w:pos="-3060"/>
          <w:tab w:val="left" w:pos="426"/>
        </w:tabs>
        <w:suppressAutoHyphens w:val="0"/>
        <w:jc w:val="both"/>
        <w:rPr>
          <w:rFonts w:cstheme="minorHAnsi"/>
        </w:rPr>
      </w:pPr>
    </w:p>
    <w:p w14:paraId="2DC81D25" w14:textId="77777777" w:rsidR="001B33CE" w:rsidRDefault="0091134B" w:rsidP="001B33CE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 xml:space="preserve">Deponowanie </w:t>
      </w:r>
      <w:r w:rsidR="00AA78C5">
        <w:rPr>
          <w:rFonts w:cstheme="minorHAnsi"/>
        </w:rPr>
        <w:t xml:space="preserve">gotówki </w:t>
      </w:r>
      <w:r w:rsidRPr="00025051">
        <w:rPr>
          <w:rFonts w:cstheme="minorHAnsi"/>
        </w:rPr>
        <w:t xml:space="preserve">odbywać będzie się w kasie – </w:t>
      </w:r>
      <w:r w:rsidR="00025051" w:rsidRPr="00025051">
        <w:rPr>
          <w:rFonts w:cstheme="minorHAnsi"/>
        </w:rPr>
        <w:t>Citi Bank</w:t>
      </w:r>
      <w:r w:rsidR="00AA78C5">
        <w:rPr>
          <w:rFonts w:cstheme="minorHAnsi"/>
        </w:rPr>
        <w:t xml:space="preserve"> Handlowy,</w:t>
      </w:r>
      <w:r w:rsidR="00AA78C5">
        <w:rPr>
          <w:rFonts w:cstheme="minorHAnsi"/>
        </w:rPr>
        <w:br/>
      </w:r>
      <w:r w:rsidR="00025051" w:rsidRPr="00025051">
        <w:rPr>
          <w:rFonts w:cstheme="minorHAnsi"/>
        </w:rPr>
        <w:t xml:space="preserve">ul. Dąbrowskiego 80, Poznań. </w:t>
      </w:r>
    </w:p>
    <w:p w14:paraId="3C4102DE" w14:textId="5F612B54" w:rsidR="0091134B" w:rsidRPr="00025051" w:rsidRDefault="00025051" w:rsidP="001B33CE">
      <w:pPr>
        <w:pStyle w:val="Akapitzlist"/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 xml:space="preserve">Lokalizacja wpłatomatów, z których wykonywane mają być wypłaty </w:t>
      </w:r>
      <w:r w:rsidR="003E37C9">
        <w:rPr>
          <w:rFonts w:cstheme="minorHAnsi"/>
        </w:rPr>
        <w:t>przez</w:t>
      </w:r>
      <w:r w:rsidRPr="00025051">
        <w:rPr>
          <w:rFonts w:cstheme="minorHAnsi"/>
        </w:rPr>
        <w:t xml:space="preserve"> wykonawc</w:t>
      </w:r>
      <w:r w:rsidR="003E37C9">
        <w:rPr>
          <w:rFonts w:cstheme="minorHAnsi"/>
        </w:rPr>
        <w:t>ę</w:t>
      </w:r>
      <w:r w:rsidRPr="00025051">
        <w:rPr>
          <w:rFonts w:cstheme="minorHAnsi"/>
        </w:rPr>
        <w:t xml:space="preserve"> - ul. Rokietnicka 8, ul. Przybyszewskiego 37a i ul. Święcickiego 6. </w:t>
      </w:r>
      <w:r w:rsidR="00AA78C5">
        <w:rPr>
          <w:rFonts w:cstheme="minorHAnsi"/>
        </w:rPr>
        <w:t>C</w:t>
      </w:r>
      <w:r w:rsidRPr="00025051">
        <w:rPr>
          <w:rFonts w:cstheme="minorHAnsi"/>
        </w:rPr>
        <w:t>zas wypłat to około 45 minut.</w:t>
      </w:r>
    </w:p>
    <w:p w14:paraId="36CB7D1B" w14:textId="77777777" w:rsidR="0091134B" w:rsidRDefault="0091134B" w:rsidP="001B33CE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</w:p>
    <w:p w14:paraId="417C1B47" w14:textId="51849EBA" w:rsidR="0091134B" w:rsidRPr="00025051" w:rsidRDefault="0091134B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>Zamawiający nie wymaga</w:t>
      </w:r>
      <w:r w:rsidR="001B33CE">
        <w:rPr>
          <w:rFonts w:cstheme="minorHAnsi"/>
        </w:rPr>
        <w:t>,</w:t>
      </w:r>
      <w:r w:rsidRPr="00025051">
        <w:rPr>
          <w:rFonts w:cstheme="minorHAnsi"/>
        </w:rPr>
        <w:t xml:space="preserve"> aby wszyscy pracownicy ochrony posiadali wpis na listę kwalifikowanych pracowników ochrony.</w:t>
      </w:r>
    </w:p>
    <w:p w14:paraId="2A851C16" w14:textId="25B700D9" w:rsidR="0091134B" w:rsidRPr="00025051" w:rsidRDefault="005C2072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lastRenderedPageBreak/>
        <w:t>S</w:t>
      </w:r>
      <w:r w:rsidR="0091134B" w:rsidRPr="00025051">
        <w:rPr>
          <w:rFonts w:cstheme="minorHAnsi"/>
        </w:rPr>
        <w:t>ystemy alarmowe sygnalizacji włamania i napadu (SSWiN) w poszczególnych obiektach Zamawiającego podlegających monitorowaniu sygnałów alarmowych</w:t>
      </w:r>
      <w:r w:rsidR="00025051" w:rsidRPr="00025051">
        <w:rPr>
          <w:rFonts w:cstheme="minorHAnsi"/>
        </w:rPr>
        <w:t xml:space="preserve"> składają się z:</w:t>
      </w:r>
    </w:p>
    <w:p w14:paraId="27F7A43B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>DS Wawrzynek - 1 sygnał monitorowania</w:t>
      </w:r>
    </w:p>
    <w:p w14:paraId="626435E9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 xml:space="preserve">Katedra Toksykologii ul.Dojazd - 3 sygnały monitorowania </w:t>
      </w:r>
    </w:p>
    <w:p w14:paraId="39751A9D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>Coll Chmiela ul. Święcickiego 4 - 3 sygnały monitorowania</w:t>
      </w:r>
    </w:p>
    <w:p w14:paraId="5C8AD33F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 xml:space="preserve">Katedra Medycyny Sądowej ul. Święcickiego 6 - wezwanie patrolu do eskorty podczas przyjmowania zwłok  </w:t>
      </w:r>
    </w:p>
    <w:p w14:paraId="54D70C66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 xml:space="preserve">CNJA ul. Jackowskiego - 1 sygnał </w:t>
      </w:r>
    </w:p>
    <w:p w14:paraId="59039033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>CITK ul. Parkowa - 4 sygnały</w:t>
      </w:r>
    </w:p>
    <w:p w14:paraId="78BFEAFC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 xml:space="preserve">CKD ul. Przybyszewskiego - 8 sygnałów </w:t>
      </w:r>
    </w:p>
    <w:p w14:paraId="75A6CC6A" w14:textId="77777777" w:rsidR="00025051" w:rsidRP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>Coll Chemicum - 5 sygnałów</w:t>
      </w:r>
    </w:p>
    <w:p w14:paraId="1AFCFCEA" w14:textId="64F2572E" w:rsidR="00025051" w:rsidRDefault="00025051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 w:rsidRPr="00025051">
        <w:rPr>
          <w:rFonts w:cs="Times New Roman"/>
        </w:rPr>
        <w:t>Ośrodek Wypoczynkowy Łazy - 5 sygnałów</w:t>
      </w:r>
    </w:p>
    <w:p w14:paraId="4007658A" w14:textId="33390B21" w:rsidR="0027582A" w:rsidRDefault="0027582A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Wilczak 12a DS. Hipokrates – 1 sygnał</w:t>
      </w:r>
    </w:p>
    <w:p w14:paraId="2E6CAD88" w14:textId="3BF000EE" w:rsidR="0027582A" w:rsidRDefault="0027582A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Mazowiecka 33 – 1 sygnał</w:t>
      </w:r>
    </w:p>
    <w:p w14:paraId="01608654" w14:textId="149265F5" w:rsidR="0027582A" w:rsidRDefault="0027582A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Rokietnicka 3 – 1 sygnał</w:t>
      </w:r>
    </w:p>
    <w:p w14:paraId="4F5E13D6" w14:textId="1CAF6E74" w:rsidR="0027582A" w:rsidRPr="00025051" w:rsidRDefault="0027582A" w:rsidP="00AA78C5">
      <w:pPr>
        <w:pStyle w:val="Akapitzlist"/>
        <w:numPr>
          <w:ilvl w:val="0"/>
          <w:numId w:val="5"/>
        </w:numPr>
        <w:tabs>
          <w:tab w:val="left" w:pos="-3060"/>
          <w:tab w:val="left" w:pos="426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Marcelińska 42 – 1 sygnał</w:t>
      </w:r>
    </w:p>
    <w:p w14:paraId="0FB7DA45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</w:p>
    <w:p w14:paraId="1B3D4A55" w14:textId="0AF5CD62" w:rsidR="00025051" w:rsidRP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025051">
        <w:rPr>
          <w:rFonts w:cs="Times New Roman"/>
        </w:rPr>
        <w:t>Wykonawca nie ma obowiązku podłączenia systemów alarmowych ppoż do stacji monitorowania alarmów wykonawcy.</w:t>
      </w:r>
    </w:p>
    <w:p w14:paraId="12D4E0E0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</w:p>
    <w:p w14:paraId="0BC3B4AA" w14:textId="67CA15E4" w:rsid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</w:pPr>
      <w:r>
        <w:t>Obiekty Zamawiającego nie znajdują się na liście Wojewody</w:t>
      </w:r>
      <w:r w:rsidR="001B33CE">
        <w:t>,</w:t>
      </w:r>
      <w:r>
        <w:t xml:space="preserve"> jako obiekty podlegającej obowiązkowej ochronie.</w:t>
      </w:r>
    </w:p>
    <w:p w14:paraId="61331D88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</w:pPr>
    </w:p>
    <w:p w14:paraId="0100D017" w14:textId="766BCD9C" w:rsidR="00025051" w:rsidRP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025051">
        <w:rPr>
          <w:rFonts w:cs="Times New Roman"/>
        </w:rPr>
        <w:t>Grupa interwencyjna ma spełniać wymogi Rozporządzenia MSWIA z dnia 21 października 2011 r. w sprawie zasad uzbrojenia Specjalistycznych  Uzbrojonych Formacji Ochronnych tj. składać się z minimum 2 kwalifikowanych pracowników ochrony uzbrojonych w broń palną.</w:t>
      </w:r>
    </w:p>
    <w:p w14:paraId="252ABF58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</w:p>
    <w:p w14:paraId="73FB59EC" w14:textId="0D4E49B9" w:rsid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</w:pPr>
      <w:r>
        <w:t xml:space="preserve">Wykonawca wyznaczy koordynatora, który będzie dostępny na terenie Zamawiającego (rejon ulic Przybyszewskiego/Marcelińska/Bukowska/Polna) w wymiarze 40h tygodniowo, będzie on odpowiedzialny za stały kontakt z </w:t>
      </w:r>
      <w:r w:rsidR="00AA78C5">
        <w:t>Z</w:t>
      </w:r>
      <w:r>
        <w:t>amawiającym oraz bieżącą realizację zadań, a jego dostępność w razie wystąpienia sytuacji awaryjnej musi wynosić 24h/dobę. Zamawiający nie narzuca stałych ram pracy koordynatora.</w:t>
      </w:r>
    </w:p>
    <w:p w14:paraId="38F83F7D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</w:pPr>
    </w:p>
    <w:p w14:paraId="26A878A0" w14:textId="05EF5EF0" w:rsidR="00025051" w:rsidRPr="00AA78C5" w:rsidRDefault="00025051" w:rsidP="00AA78C5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025051">
        <w:rPr>
          <w:rFonts w:cs="Times New Roman"/>
        </w:rPr>
        <w:t xml:space="preserve">Wyposażenie posterunków w defibrylatory nie leży po stronie wykonawcy.  </w:t>
      </w:r>
      <w:r w:rsidRPr="00AA78C5">
        <w:rPr>
          <w:rFonts w:cs="Times New Roman"/>
        </w:rPr>
        <w:t>Defibrylatory znajdują się w następujących lokalizacjach: Budynek CKD ul. Przybyszewskiego 37, CBM ul. Rokietnicka 8, Coll</w:t>
      </w:r>
      <w:r w:rsidR="001B33CE">
        <w:rPr>
          <w:rFonts w:cs="Times New Roman"/>
        </w:rPr>
        <w:t>.</w:t>
      </w:r>
      <w:r w:rsidRPr="00AA78C5">
        <w:rPr>
          <w:rFonts w:cs="Times New Roman"/>
        </w:rPr>
        <w:t xml:space="preserve"> Wrzoska ul. Rokietnicka 7, Coll</w:t>
      </w:r>
      <w:r w:rsidR="001B33CE">
        <w:rPr>
          <w:rFonts w:cs="Times New Roman"/>
        </w:rPr>
        <w:t>.</w:t>
      </w:r>
      <w:r w:rsidRPr="00AA78C5">
        <w:rPr>
          <w:rFonts w:cs="Times New Roman"/>
        </w:rPr>
        <w:t xml:space="preserve"> Chmiela ul. Święcickiego 4, Coll</w:t>
      </w:r>
      <w:r w:rsidR="001B33CE">
        <w:rPr>
          <w:rFonts w:cs="Times New Roman"/>
        </w:rPr>
        <w:t>.</w:t>
      </w:r>
      <w:r w:rsidRPr="00AA78C5">
        <w:rPr>
          <w:rFonts w:cs="Times New Roman"/>
        </w:rPr>
        <w:t xml:space="preserve"> Sarnowskiego ul. Smoluchowskiego 11,</w:t>
      </w:r>
      <w:r w:rsidR="001B33CE">
        <w:rPr>
          <w:rFonts w:cs="Times New Roman"/>
        </w:rPr>
        <w:t xml:space="preserve"> </w:t>
      </w:r>
      <w:r w:rsidRPr="00AA78C5">
        <w:rPr>
          <w:rFonts w:cs="Times New Roman"/>
        </w:rPr>
        <w:t>Coll</w:t>
      </w:r>
      <w:r w:rsidR="001B33CE">
        <w:rPr>
          <w:rFonts w:cs="Times New Roman"/>
        </w:rPr>
        <w:t>.</w:t>
      </w:r>
      <w:r w:rsidRPr="00AA78C5">
        <w:rPr>
          <w:rFonts w:cs="Times New Roman"/>
        </w:rPr>
        <w:t xml:space="preserve"> Anatomicum  ul. Święcickiego 6, Coll</w:t>
      </w:r>
      <w:r w:rsidR="001B33CE">
        <w:rPr>
          <w:rFonts w:cs="Times New Roman"/>
        </w:rPr>
        <w:t>.</w:t>
      </w:r>
      <w:r w:rsidRPr="00AA78C5">
        <w:rPr>
          <w:rFonts w:cs="Times New Roman"/>
        </w:rPr>
        <w:t xml:space="preserve"> Marii Magdaleny ul. Marii Magdaleny 14.</w:t>
      </w:r>
    </w:p>
    <w:p w14:paraId="42801964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</w:p>
    <w:p w14:paraId="475AD7FC" w14:textId="6C26DD9D" w:rsidR="00025051" w:rsidRP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  <w:r w:rsidRPr="00025051">
        <w:rPr>
          <w:rFonts w:cstheme="minorHAnsi"/>
        </w:rPr>
        <w:t xml:space="preserve">Zamawiający udostępnia nieodpłatnie pomieszczenia dla pracowników ochrony </w:t>
      </w:r>
      <w:r w:rsidR="00AA78C5">
        <w:rPr>
          <w:rFonts w:cstheme="minorHAnsi"/>
        </w:rPr>
        <w:br/>
      </w:r>
      <w:r w:rsidRPr="00025051">
        <w:rPr>
          <w:rFonts w:cstheme="minorHAnsi"/>
        </w:rPr>
        <w:t>na poszczególnych posterunkach.</w:t>
      </w:r>
    </w:p>
    <w:p w14:paraId="15320789" w14:textId="77777777" w:rsidR="00025051" w:rsidRDefault="00025051" w:rsidP="00025051">
      <w:pPr>
        <w:tabs>
          <w:tab w:val="left" w:pos="-3060"/>
          <w:tab w:val="left" w:pos="426"/>
        </w:tabs>
        <w:suppressAutoHyphens w:val="0"/>
        <w:ind w:left="426"/>
        <w:jc w:val="both"/>
        <w:rPr>
          <w:rFonts w:cstheme="minorHAnsi"/>
        </w:rPr>
      </w:pPr>
    </w:p>
    <w:p w14:paraId="2FF020FC" w14:textId="682A63D8" w:rsidR="00025051" w:rsidRPr="00025051" w:rsidRDefault="00025051" w:rsidP="00025051">
      <w:pPr>
        <w:pStyle w:val="Akapitzlist"/>
        <w:numPr>
          <w:ilvl w:val="0"/>
          <w:numId w:val="4"/>
        </w:numPr>
        <w:tabs>
          <w:tab w:val="left" w:pos="-3060"/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025051">
        <w:rPr>
          <w:rFonts w:cs="Times New Roman"/>
        </w:rPr>
        <w:t xml:space="preserve">W </w:t>
      </w:r>
      <w:r w:rsidR="003E37C9">
        <w:rPr>
          <w:rFonts w:cs="Times New Roman"/>
        </w:rPr>
        <w:t>obiekcie</w:t>
      </w:r>
      <w:r w:rsidRPr="00025051">
        <w:rPr>
          <w:rFonts w:cs="Times New Roman"/>
        </w:rPr>
        <w:t xml:space="preserve"> w Łazach znajdują się systemy alarmowe, które mają być monitorowane przez Wykonawcę.</w:t>
      </w:r>
    </w:p>
    <w:p w14:paraId="080713DA" w14:textId="77777777" w:rsidR="00025051" w:rsidRDefault="00025051" w:rsidP="00025051">
      <w:pPr>
        <w:tabs>
          <w:tab w:val="left" w:pos="-3060"/>
          <w:tab w:val="left" w:pos="709"/>
        </w:tabs>
        <w:suppressAutoHyphens w:val="0"/>
        <w:jc w:val="both"/>
        <w:rPr>
          <w:rFonts w:cs="Times New Roman"/>
        </w:rPr>
      </w:pPr>
    </w:p>
    <w:p w14:paraId="6ACBA1E9" w14:textId="77777777" w:rsidR="00025051" w:rsidRDefault="00025051" w:rsidP="00025051">
      <w:pPr>
        <w:tabs>
          <w:tab w:val="left" w:pos="-3060"/>
          <w:tab w:val="left" w:pos="709"/>
        </w:tabs>
        <w:suppressAutoHyphens w:val="0"/>
        <w:jc w:val="both"/>
        <w:rPr>
          <w:rFonts w:cs="Times New Roman"/>
        </w:rPr>
      </w:pPr>
    </w:p>
    <w:sectPr w:rsidR="0002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FBE0A7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" w15:restartNumberingAfterBreak="0">
    <w:nsid w:val="12980823"/>
    <w:multiLevelType w:val="hybridMultilevel"/>
    <w:tmpl w:val="CC92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17D"/>
    <w:multiLevelType w:val="hybridMultilevel"/>
    <w:tmpl w:val="A154B68A"/>
    <w:lvl w:ilvl="0" w:tplc="81088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64F1A"/>
    <w:multiLevelType w:val="hybridMultilevel"/>
    <w:tmpl w:val="A4E2E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5E7C88"/>
    <w:multiLevelType w:val="hybridMultilevel"/>
    <w:tmpl w:val="9DAC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01"/>
    <w:rsid w:val="00025051"/>
    <w:rsid w:val="00042CDA"/>
    <w:rsid w:val="000530D7"/>
    <w:rsid w:val="000768ED"/>
    <w:rsid w:val="000D756C"/>
    <w:rsid w:val="00104588"/>
    <w:rsid w:val="00104FB0"/>
    <w:rsid w:val="0014708B"/>
    <w:rsid w:val="00177975"/>
    <w:rsid w:val="001A0268"/>
    <w:rsid w:val="001B33CE"/>
    <w:rsid w:val="001C69B6"/>
    <w:rsid w:val="0027582A"/>
    <w:rsid w:val="00285B79"/>
    <w:rsid w:val="003A0ABE"/>
    <w:rsid w:val="003E37C9"/>
    <w:rsid w:val="003F6732"/>
    <w:rsid w:val="004D275B"/>
    <w:rsid w:val="004E2CC0"/>
    <w:rsid w:val="00544901"/>
    <w:rsid w:val="005C2072"/>
    <w:rsid w:val="006F2C3B"/>
    <w:rsid w:val="00877700"/>
    <w:rsid w:val="0088780A"/>
    <w:rsid w:val="0091134B"/>
    <w:rsid w:val="00924F98"/>
    <w:rsid w:val="009A50F6"/>
    <w:rsid w:val="00A04499"/>
    <w:rsid w:val="00A148CE"/>
    <w:rsid w:val="00A62E1C"/>
    <w:rsid w:val="00AA78C5"/>
    <w:rsid w:val="00BB0B58"/>
    <w:rsid w:val="00BD060C"/>
    <w:rsid w:val="00BD068D"/>
    <w:rsid w:val="00BE368F"/>
    <w:rsid w:val="00D628D7"/>
    <w:rsid w:val="00DC5B14"/>
    <w:rsid w:val="00E03EFD"/>
    <w:rsid w:val="00EA0EC3"/>
    <w:rsid w:val="00F57CE8"/>
    <w:rsid w:val="00FA730F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69C6"/>
  <w15:chartTrackingRefBased/>
  <w15:docId w15:val="{93AA393A-A395-4140-A0AB-B210552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80A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69B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42C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C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C3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C3B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3B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051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Bittner-Dobak (p011969)</cp:lastModifiedBy>
  <cp:revision>6</cp:revision>
  <cp:lastPrinted>2022-03-08T07:54:00Z</cp:lastPrinted>
  <dcterms:created xsi:type="dcterms:W3CDTF">2022-03-07T14:00:00Z</dcterms:created>
  <dcterms:modified xsi:type="dcterms:W3CDTF">2022-03-15T07:41:00Z</dcterms:modified>
</cp:coreProperties>
</file>