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47" w:rsidRPr="00290641" w:rsidRDefault="007D2E47" w:rsidP="007D2E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3761278" wp14:editId="03AF3B5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7" w:rsidRPr="00290641" w:rsidRDefault="007D2E47" w:rsidP="007D2E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D2E47" w:rsidRPr="00290641" w:rsidRDefault="007D2E47" w:rsidP="007D2E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D2E47" w:rsidRPr="00290641" w:rsidRDefault="007D2E47" w:rsidP="007D2E4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D2E47" w:rsidRPr="00290641" w:rsidRDefault="007D2E47" w:rsidP="007D2E4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D2E47" w:rsidRPr="00BF0B39" w:rsidRDefault="007D2E47" w:rsidP="007D2E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7D2E47" w:rsidRDefault="007D2E47" w:rsidP="007D2E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7D2E47" w:rsidRPr="008613AF" w:rsidRDefault="007D2E47" w:rsidP="007D2E4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</w:t>
      </w:r>
      <w:r w:rsidR="00827238" w:rsidRPr="00CC2D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C2D71" w:rsidRPr="00CC2D71">
        <w:rPr>
          <w:rFonts w:ascii="Times New Roman" w:eastAsia="Times New Roman" w:hAnsi="Times New Roman" w:cs="Times New Roman"/>
          <w:color w:val="000000" w:themeColor="text1"/>
          <w:lang w:eastAsia="pl-PL"/>
        </w:rPr>
        <w:t>28</w:t>
      </w:r>
      <w:r w:rsidR="00827238" w:rsidRPr="00CC2D71">
        <w:rPr>
          <w:rFonts w:ascii="Times New Roman" w:eastAsia="Times New Roman" w:hAnsi="Times New Roman" w:cs="Times New Roman"/>
          <w:color w:val="000000" w:themeColor="text1"/>
          <w:lang w:eastAsia="pl-PL"/>
        </w:rPr>
        <w:t>.09.2023</w:t>
      </w:r>
      <w:r w:rsidRPr="00CC2D71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CC2D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7D2E47" w:rsidRPr="008613AF" w:rsidRDefault="007D2E47" w:rsidP="007D2E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2E47" w:rsidRPr="008613AF" w:rsidRDefault="007D2E47" w:rsidP="007D2E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7D2E47" w:rsidRPr="008613AF" w:rsidRDefault="007D2E47" w:rsidP="007D2E4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27238" w:rsidRPr="00827238" w:rsidRDefault="007D2E47" w:rsidP="007D2E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246C9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2051</w:t>
      </w:r>
      <w:r w:rsidR="00827238" w:rsidRPr="00CC2D7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/23</w:t>
      </w:r>
      <w:r w:rsidRPr="00CC2D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7D2E47" w:rsidRDefault="007D2E47" w:rsidP="008272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827238" w:rsidRPr="00827238" w:rsidRDefault="00827238" w:rsidP="007D2E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D2E47" w:rsidRDefault="007D2E47" w:rsidP="007D2E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zej </w:t>
      </w: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</w:p>
    <w:p w:rsidR="007D2E47" w:rsidRDefault="007D2E47" w:rsidP="007D2E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1 i 2</w:t>
      </w:r>
    </w:p>
    <w:p w:rsidR="00827238" w:rsidRPr="00827238" w:rsidRDefault="00827238" w:rsidP="0082723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82723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827238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82723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82723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przetargu nieograniczonego, na podstawie art. 132 ustawy </w:t>
      </w:r>
      <w:proofErr w:type="spellStart"/>
      <w:r w:rsidRPr="0082723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2723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przedmiocie zamówienia: </w:t>
      </w:r>
    </w:p>
    <w:p w:rsidR="00827238" w:rsidRPr="00827238" w:rsidRDefault="00827238" w:rsidP="00827238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827238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Pr="00827238">
        <w:rPr>
          <w:rFonts w:ascii="Arial Black" w:hAnsi="Arial Black"/>
          <w:bCs/>
          <w:color w:val="000000" w:themeColor="text1"/>
          <w:sz w:val="20"/>
          <w:szCs w:val="20"/>
        </w:rPr>
        <w:t xml:space="preserve">Usługi kompleksowych napraw powypadkowych i kolizyjnych pojazdów służbowych będących na stanie KWP z siedzibą w Radomiu, uszkodzonych </w:t>
      </w:r>
      <w:r w:rsidRPr="00827238">
        <w:rPr>
          <w:rFonts w:ascii="Arial Black" w:hAnsi="Arial Black"/>
          <w:bCs/>
          <w:color w:val="000000" w:themeColor="text1"/>
          <w:sz w:val="20"/>
          <w:szCs w:val="20"/>
        </w:rPr>
        <w:br/>
        <w:t xml:space="preserve">w wyniku zdarzeń drogowych oraz wykonywanie innych napraw </w:t>
      </w:r>
      <w:r w:rsidRPr="00827238">
        <w:rPr>
          <w:rFonts w:ascii="Arial Black" w:hAnsi="Arial Black"/>
          <w:bCs/>
          <w:color w:val="000000" w:themeColor="text1"/>
          <w:sz w:val="20"/>
          <w:szCs w:val="20"/>
        </w:rPr>
        <w:br/>
        <w:t>blacharsko-lakierniczych oraz remontowo-spawalniczych zleconych przez Zamawiającego</w:t>
      </w:r>
      <w:r w:rsidRPr="00827238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” ( ID 788663 )</w:t>
      </w:r>
    </w:p>
    <w:p w:rsidR="00827238" w:rsidRPr="00827238" w:rsidRDefault="00827238" w:rsidP="00827238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27238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827238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19 /23</w:t>
      </w:r>
    </w:p>
    <w:p w:rsidR="00827238" w:rsidRPr="00827238" w:rsidRDefault="00827238" w:rsidP="00827238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827238" w:rsidRPr="00827238" w:rsidRDefault="00827238" w:rsidP="00827238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  <w:r w:rsidRPr="00827238">
        <w:rPr>
          <w:rFonts w:ascii="Arial Black" w:hAnsi="Arial Black" w:cs="Times New Roman"/>
          <w:b/>
          <w:sz w:val="18"/>
          <w:szCs w:val="18"/>
        </w:rPr>
        <w:t xml:space="preserve">Nr wew. postępowania 19 /23 ( ID </w:t>
      </w:r>
      <w:r w:rsidRPr="00827238">
        <w:rPr>
          <w:rFonts w:ascii="Arial Black" w:eastAsiaTheme="minorEastAsia" w:hAnsi="Arial Black" w:cs="Times New Roman"/>
          <w:b/>
          <w:bCs/>
          <w:sz w:val="18"/>
          <w:szCs w:val="18"/>
          <w:lang w:eastAsia="pl-PL"/>
        </w:rPr>
        <w:t xml:space="preserve">788663 </w:t>
      </w:r>
      <w:r w:rsidRPr="00827238">
        <w:rPr>
          <w:rFonts w:ascii="Arial Black" w:hAnsi="Arial Black" w:cs="Times New Roman"/>
          <w:b/>
          <w:sz w:val="18"/>
          <w:szCs w:val="18"/>
        </w:rPr>
        <w:t>)</w:t>
      </w:r>
    </w:p>
    <w:p w:rsidR="00827238" w:rsidRPr="00827238" w:rsidRDefault="00827238" w:rsidP="00827238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  <w:r w:rsidRPr="00827238">
        <w:rPr>
          <w:rFonts w:ascii="Arial Black" w:hAnsi="Arial Black" w:cs="Times New Roman"/>
          <w:b/>
          <w:sz w:val="18"/>
          <w:szCs w:val="18"/>
        </w:rPr>
        <w:t>Nr ogłoszenia o zamówieniu w Dz. U. U. E.: 2023/S 126-401267 z dnia 04.07.2023r.</w:t>
      </w:r>
    </w:p>
    <w:p w:rsidR="007D2E47" w:rsidRPr="00403BC8" w:rsidRDefault="007D2E47" w:rsidP="007D2E4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lang w:eastAsia="pl-PL"/>
        </w:rPr>
      </w:pPr>
    </w:p>
    <w:p w:rsidR="007D2E47" w:rsidRPr="00FE7869" w:rsidRDefault="007D2E47" w:rsidP="007D2E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FE786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Zamawiający - Komenda Wojewódzka Policji z siedzibą w Radomiu</w:t>
      </w:r>
      <w:r w:rsidRPr="00FE786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działając na podstawie art. 253 ust. 1 pkt. 1 i ust. 2 ustawy z dnia 11 września 2019r. Prawo zamówień publicznych ( </w:t>
      </w:r>
      <w:r w:rsidR="00CC2D71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</w:t>
      </w:r>
      <w:r w:rsidR="00CC2D71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z 2023r. poz. 1605</w:t>
      </w:r>
      <w:r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ze zm. ) </w:t>
      </w:r>
      <w:r w:rsidRPr="00FE7869">
        <w:rPr>
          <w:rFonts w:ascii="Times New Roman" w:eastAsiaTheme="minorEastAsia" w:hAnsi="Times New Roman" w:cs="Times New Roman"/>
          <w:color w:val="000000" w:themeColor="text1"/>
          <w:lang w:eastAsia="pl-PL"/>
        </w:rPr>
        <w:t>informuje, o dokonaniu wyboru najkorzystniejszej oferty w przedmiotowym postępowaniu na:</w:t>
      </w:r>
    </w:p>
    <w:p w:rsidR="007D2E47" w:rsidRPr="00403BC8" w:rsidRDefault="007D2E47" w:rsidP="007D2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827238" w:rsidRPr="00827238" w:rsidRDefault="00827238" w:rsidP="0082723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2723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1 i 2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P.H.U. Auto-Skoda Grażyna Gniadek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proofErr w:type="spellStart"/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Przytycka</w:t>
      </w:r>
      <w:proofErr w:type="spellEnd"/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33/1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NIP Spółki: 7960024575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399 563,06 zł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27238">
        <w:rPr>
          <w:rFonts w:ascii="Times New Roman" w:eastAsia="Calibri" w:hAnsi="Times New Roman" w:cs="Times New Roman"/>
          <w:bCs/>
          <w:color w:val="000000" w:themeColor="text1"/>
        </w:rPr>
        <w:t>Kryterium nr II – Okres gwarancji na wykonaną usługę: 30 miesięcy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7238">
        <w:rPr>
          <w:rFonts w:ascii="Times New Roman" w:eastAsia="Calibri" w:hAnsi="Times New Roman" w:cs="Times New Roman"/>
          <w:b/>
          <w:bCs/>
          <w:u w:val="single"/>
        </w:rPr>
        <w:t>z</w:t>
      </w:r>
      <w:r w:rsidR="00E61073">
        <w:rPr>
          <w:rFonts w:ascii="Times New Roman" w:eastAsia="Calibri" w:hAnsi="Times New Roman" w:cs="Times New Roman"/>
          <w:b/>
          <w:bCs/>
          <w:u w:val="single"/>
        </w:rPr>
        <w:t xml:space="preserve"> punktacją łączną wynoszącą: 95</w:t>
      </w:r>
      <w:r w:rsidRPr="00827238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827238">
        <w:rPr>
          <w:rFonts w:ascii="Times New Roman" w:eastAsia="Calibri" w:hAnsi="Times New Roman" w:cs="Times New Roman"/>
          <w:b/>
          <w:bCs/>
        </w:rPr>
        <w:t xml:space="preserve">  kryterium cena: 60,00 pkt.,  kryterium termin realizacji zlecenia usługi </w:t>
      </w:r>
      <w:r w:rsidRPr="00827238">
        <w:rPr>
          <w:rFonts w:ascii="Times New Roman" w:eastAsia="Times New Roman" w:hAnsi="Times New Roman" w:cs="Times New Roman"/>
          <w:b/>
          <w:lang w:eastAsia="pl-PL"/>
        </w:rPr>
        <w:t xml:space="preserve">: 35,00 pkt. 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723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827238" w:rsidRPr="00827238" w:rsidRDefault="00827238" w:rsidP="008272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827238">
        <w:rPr>
          <w:rFonts w:ascii="Times New Roman" w:eastAsia="Calibri" w:hAnsi="Times New Roman" w:cs="Times New Roman"/>
          <w:bCs/>
          <w:color w:val="000000"/>
        </w:rPr>
        <w:t xml:space="preserve">W postępowaniu w ramach zadania nr 1 złożono jedną ważną ofertę. Oferta nr 1 to najkorzystniejsza oferta, która przedstawia najkorzystniejszy stosunek jakości  (tj. okresu gwarancji na wykonaną usługę) do ceny. Oferta otrzymała łącznie 95,00 pkt. </w:t>
      </w:r>
      <w:r w:rsidRPr="00827238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27238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320 250,90 zł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27238">
        <w:rPr>
          <w:rFonts w:ascii="Times New Roman" w:eastAsia="Calibri" w:hAnsi="Times New Roman" w:cs="Times New Roman"/>
          <w:bCs/>
          <w:color w:val="000000" w:themeColor="text1"/>
        </w:rPr>
        <w:t>Kryterium nr II – Okres gwarancji na wykonaną usługę: 30 miesięcy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7238">
        <w:rPr>
          <w:rFonts w:ascii="Times New Roman" w:eastAsia="Calibri" w:hAnsi="Times New Roman" w:cs="Times New Roman"/>
          <w:b/>
          <w:bCs/>
          <w:u w:val="single"/>
        </w:rPr>
        <w:t>z punk</w:t>
      </w:r>
      <w:r w:rsidR="00E61073">
        <w:rPr>
          <w:rFonts w:ascii="Times New Roman" w:eastAsia="Calibri" w:hAnsi="Times New Roman" w:cs="Times New Roman"/>
          <w:b/>
          <w:bCs/>
          <w:u w:val="single"/>
        </w:rPr>
        <w:t>tacją łączną wynoszącą: 95</w:t>
      </w:r>
      <w:r w:rsidRPr="00827238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827238">
        <w:rPr>
          <w:rFonts w:ascii="Times New Roman" w:eastAsia="Calibri" w:hAnsi="Times New Roman" w:cs="Times New Roman"/>
          <w:b/>
          <w:bCs/>
        </w:rPr>
        <w:t xml:space="preserve">  kryterium cena: 60,00 pkt.,  kryterium termin realizacji zlecenia usługi </w:t>
      </w:r>
      <w:r w:rsidRPr="00827238">
        <w:rPr>
          <w:rFonts w:ascii="Times New Roman" w:eastAsia="Times New Roman" w:hAnsi="Times New Roman" w:cs="Times New Roman"/>
          <w:b/>
          <w:lang w:eastAsia="pl-PL"/>
        </w:rPr>
        <w:t xml:space="preserve">: 35,00 pkt. </w:t>
      </w: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827238" w:rsidRPr="00827238" w:rsidRDefault="00827238" w:rsidP="00827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723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827238" w:rsidRPr="00827238" w:rsidRDefault="00827238" w:rsidP="008272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827238">
        <w:rPr>
          <w:rFonts w:ascii="Times New Roman" w:eastAsia="Calibri" w:hAnsi="Times New Roman" w:cs="Times New Roman"/>
          <w:bCs/>
          <w:color w:val="000000"/>
        </w:rPr>
        <w:t xml:space="preserve">W postępowaniu w ramach zadania nr 2 złożono jedną ważną ofertę. Oferta nr 1 to najkorzystniejsza oferta, która przedstawia najkorzystniejszy stosunek jakości  (tj. okresu gwarancji na wykonaną usługę) do ceny. Oferta otrzymała łącznie 95,00 pkt. </w:t>
      </w:r>
      <w:r w:rsidRPr="00827238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827238" w:rsidRDefault="00827238" w:rsidP="007D2E4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27238" w:rsidRPr="00403BC8" w:rsidRDefault="00827238" w:rsidP="007D2E4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color w:val="FF0000"/>
          <w:u w:val="single"/>
          <w:lang w:eastAsia="pl-PL"/>
        </w:rPr>
      </w:pPr>
    </w:p>
    <w:p w:rsidR="007D2E47" w:rsidRPr="00FE7869" w:rsidRDefault="003B1313" w:rsidP="007D2E4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>Wyliczenie i przyznanie ofertą</w:t>
      </w:r>
      <w:r w:rsidR="007D2E47" w:rsidRPr="00FE7869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 punktacji,</w:t>
      </w:r>
      <w:r w:rsidR="007D2E47" w:rsidRPr="00FE7869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br/>
        <w:t>Ranking ofert</w:t>
      </w:r>
    </w:p>
    <w:p w:rsidR="007D2E47" w:rsidRDefault="007D2E47" w:rsidP="007D2E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3B1313" w:rsidRPr="003B1313" w:rsidRDefault="003B1313" w:rsidP="007B1888">
      <w:pPr>
        <w:suppressAutoHyphens/>
        <w:spacing w:after="0" w:line="276" w:lineRule="auto"/>
        <w:jc w:val="center"/>
        <w:rPr>
          <w:rFonts w:eastAsia="Times New Roman"/>
          <w:iCs/>
          <w:color w:val="000000"/>
          <w:lang w:eastAsia="pl-PL"/>
        </w:rPr>
      </w:pPr>
      <w:r w:rsidRPr="003B1313">
        <w:rPr>
          <w:rFonts w:ascii="Arial Black" w:eastAsia="Times New Roman" w:hAnsi="Arial Black"/>
          <w:b/>
          <w:iCs/>
          <w:color w:val="000000"/>
          <w:sz w:val="20"/>
          <w:szCs w:val="20"/>
          <w:u w:val="single"/>
          <w:lang w:eastAsia="pl-PL"/>
        </w:rPr>
        <w:t>Zadanie nr 1 – Okręg: Radom, Siedlce</w:t>
      </w:r>
      <w:r w:rsidRPr="003B1313">
        <w:rPr>
          <w:rFonts w:eastAsia="Times New Roman"/>
          <w:iCs/>
          <w:color w:val="000000"/>
          <w:lang w:eastAsia="pl-PL"/>
        </w:rPr>
        <w:t xml:space="preserve"> </w:t>
      </w:r>
      <w:r w:rsidRPr="003B131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( KWP Radom, CBŚP, BSWP, CBZC, KMP Radom, KPP Białobrzegi, KPP Grójec, KPP Kozienice, KPP Lipsko, KPP Przysucha, KPP Szydłowiec, </w:t>
      </w:r>
      <w:r w:rsidR="007B1888">
        <w:rPr>
          <w:rFonts w:ascii="Times New Roman" w:eastAsia="Times New Roman" w:hAnsi="Times New Roman" w:cs="Times New Roman"/>
          <w:iCs/>
          <w:color w:val="000000"/>
          <w:lang w:eastAsia="pl-PL"/>
        </w:rPr>
        <w:br/>
      </w:r>
      <w:r w:rsidRPr="003B1313">
        <w:rPr>
          <w:rFonts w:ascii="Times New Roman" w:eastAsia="Times New Roman" w:hAnsi="Times New Roman" w:cs="Times New Roman"/>
          <w:iCs/>
          <w:color w:val="000000"/>
          <w:lang w:eastAsia="pl-PL"/>
        </w:rPr>
        <w:t>KPP Zwoleń, KMP Siedlce, KPP Garwolin, KPP Łosice, KPP Sokołów Podlaski, KPP Węgrów )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10"/>
        <w:gridCol w:w="1903"/>
        <w:gridCol w:w="1932"/>
        <w:gridCol w:w="2155"/>
      </w:tblGrid>
      <w:tr w:rsidR="003B1313" w:rsidRPr="003B1313" w:rsidTr="007B1888">
        <w:trPr>
          <w:trHeight w:val="6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Kryterium I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- Cena oferty brutto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Kryterium II</w:t>
            </w: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- Okres gwarancji na wykonaną usługę 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G 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Łączna ilość punktów 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Ł )</w:t>
            </w:r>
          </w:p>
        </w:tc>
      </w:tr>
      <w:tr w:rsidR="003B1313" w:rsidRPr="003B1313" w:rsidTr="007B1888">
        <w:trPr>
          <w:trHeight w:val="457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3B1313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427 652,16 zł|</w:t>
            </w:r>
          </w:p>
        </w:tc>
      </w:tr>
      <w:tr w:rsidR="003B1313" w:rsidRPr="003B1313" w:rsidTr="007B1888">
        <w:trPr>
          <w:trHeight w:val="152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P.H.U. Auto-Skoda Grażyna Gniadek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</w:t>
            </w:r>
            <w:proofErr w:type="spellStart"/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Przytycka</w:t>
            </w:r>
            <w:proofErr w:type="spellEnd"/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33/1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26-600 Radom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399 563,06 zł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- </w:t>
            </w:r>
            <w:r w:rsidRPr="003B1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60,00 pkt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30 miesięcy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- 35,00 pkt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95,00 pkt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</w:tc>
      </w:tr>
    </w:tbl>
    <w:p w:rsidR="003B1313" w:rsidRPr="003B1313" w:rsidRDefault="003B1313" w:rsidP="007B188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B1313">
        <w:rPr>
          <w:rFonts w:ascii="Times New Roman" w:hAnsi="Times New Roman" w:cs="Times New Roman"/>
          <w:b/>
        </w:rPr>
        <w:t xml:space="preserve">Oferta oznaczona nr 1 </w:t>
      </w:r>
      <w:r w:rsidRPr="003B1313">
        <w:rPr>
          <w:rFonts w:ascii="Times New Roman" w:hAnsi="Times New Roman" w:cs="Times New Roman"/>
          <w:b/>
          <w:bCs/>
          <w:color w:val="000000"/>
        </w:rPr>
        <w:t>została najwyżej oceniona tj. uzyskała łącznie 95,00 pkt.</w:t>
      </w:r>
    </w:p>
    <w:p w:rsidR="003B1313" w:rsidRPr="003B1313" w:rsidRDefault="003B1313" w:rsidP="007B1888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1313" w:rsidRPr="003B1313" w:rsidRDefault="003B1313" w:rsidP="007B1888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3B1313">
        <w:rPr>
          <w:rFonts w:ascii="Arial Black" w:hAnsi="Arial Black"/>
          <w:sz w:val="18"/>
          <w:szCs w:val="18"/>
          <w:u w:val="single"/>
        </w:rPr>
        <w:t>Wylic</w:t>
      </w:r>
      <w:r w:rsidRPr="003B131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3B1313" w:rsidRPr="003B1313" w:rsidRDefault="003B1313" w:rsidP="007B1888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7B1888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399 563,06 /399 563,06 ×60  pkt.</w:t>
      </w:r>
    </w:p>
    <w:p w:rsidR="003B1313" w:rsidRPr="003B1313" w:rsidRDefault="003B1313" w:rsidP="007B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3B1313" w:rsidRPr="003B1313" w:rsidRDefault="003B1313" w:rsidP="007B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3B131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termin dostawy częściowej materiałów biurowych - „G” </w:t>
      </w:r>
    </w:p>
    <w:p w:rsidR="003B1313" w:rsidRPr="003B1313" w:rsidRDefault="003B1313" w:rsidP="007B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30 miesięcy</w:t>
      </w: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35,00 pkt.</w:t>
      </w: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=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+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3B1313" w:rsidRPr="003B1313" w:rsidRDefault="003B1313" w:rsidP="007B188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= 60,00 pkt. + 35,00 pkt –</w:t>
      </w:r>
      <w:r w:rsidRPr="003B131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95,00 pkt</w:t>
      </w:r>
    </w:p>
    <w:p w:rsidR="003B1313" w:rsidRDefault="003B1313" w:rsidP="007B188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3B1313" w:rsidRPr="003B1313" w:rsidRDefault="003B1313" w:rsidP="007B188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3B1313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1 </w:t>
      </w:r>
    </w:p>
    <w:p w:rsidR="003B1313" w:rsidRPr="003B1313" w:rsidRDefault="003B1313" w:rsidP="007B18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1313">
        <w:rPr>
          <w:rFonts w:ascii="Times New Roman" w:hAnsi="Times New Roman" w:cs="Times New Roman"/>
          <w:b/>
          <w:u w:val="single"/>
        </w:rPr>
        <w:t>1 miejsce - oferta nr  1 - 95,00 pkt</w:t>
      </w:r>
    </w:p>
    <w:p w:rsidR="003B1313" w:rsidRPr="003B1313" w:rsidRDefault="003B1313" w:rsidP="007B1888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3B1313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3B1313" w:rsidRPr="003B1313" w:rsidRDefault="003B1313" w:rsidP="007B1888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Na zadanie nr 1 wpłynęła jedna oferta. Oferta nr 1 uzyskała łącznie 95,00 pkt za obydwa kryteria oceny ofert, a jej cena mieści się w kwocie, którą Zamawiający zamierza przeznaczyć na sfinansowanie  zamówienia. </w:t>
      </w:r>
      <w:r w:rsidRPr="003B131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3B1313" w:rsidRPr="003B1313" w:rsidRDefault="003B1313" w:rsidP="003B1313">
      <w:pPr>
        <w:suppressAutoHyphens/>
        <w:spacing w:after="0" w:line="276" w:lineRule="auto"/>
        <w:ind w:left="360"/>
        <w:rPr>
          <w:rFonts w:ascii="Arial Black" w:eastAsia="Times New Roman" w:hAnsi="Arial Black"/>
          <w:b/>
          <w:iCs/>
          <w:color w:val="000000"/>
          <w:sz w:val="20"/>
          <w:szCs w:val="20"/>
          <w:u w:val="single"/>
          <w:lang w:eastAsia="pl-PL"/>
        </w:rPr>
      </w:pPr>
    </w:p>
    <w:p w:rsidR="007B1888" w:rsidRDefault="007B1888" w:rsidP="003B1313">
      <w:pPr>
        <w:spacing w:line="276" w:lineRule="auto"/>
        <w:ind w:right="-113"/>
        <w:contextualSpacing/>
        <w:rPr>
          <w:rFonts w:ascii="Arial Black" w:hAnsi="Arial Black"/>
          <w:b/>
          <w:bCs/>
          <w:iCs/>
          <w:color w:val="000000"/>
          <w:sz w:val="20"/>
          <w:szCs w:val="20"/>
          <w:u w:val="single"/>
        </w:rPr>
      </w:pPr>
    </w:p>
    <w:p w:rsidR="007B1888" w:rsidRDefault="007B1888" w:rsidP="003B1313">
      <w:pPr>
        <w:spacing w:line="276" w:lineRule="auto"/>
        <w:ind w:right="-113"/>
        <w:contextualSpacing/>
        <w:rPr>
          <w:rFonts w:ascii="Arial Black" w:hAnsi="Arial Black"/>
          <w:b/>
          <w:bCs/>
          <w:iCs/>
          <w:color w:val="000000"/>
          <w:sz w:val="20"/>
          <w:szCs w:val="20"/>
          <w:u w:val="single"/>
        </w:rPr>
      </w:pPr>
    </w:p>
    <w:p w:rsidR="003B1313" w:rsidRPr="003B1313" w:rsidRDefault="003B1313" w:rsidP="007B1888">
      <w:pPr>
        <w:spacing w:line="276" w:lineRule="auto"/>
        <w:ind w:right="-113"/>
        <w:contextualSpacing/>
        <w:jc w:val="center"/>
        <w:rPr>
          <w:bCs/>
          <w:iCs/>
          <w:color w:val="000000"/>
        </w:rPr>
      </w:pPr>
      <w:r w:rsidRPr="003B1313">
        <w:rPr>
          <w:rFonts w:ascii="Arial Black" w:hAnsi="Arial Black"/>
          <w:b/>
          <w:bCs/>
          <w:iCs/>
          <w:color w:val="000000"/>
          <w:sz w:val="20"/>
          <w:szCs w:val="20"/>
          <w:u w:val="single"/>
        </w:rPr>
        <w:lastRenderedPageBreak/>
        <w:t>Zadanie nr 2 – Okręg: Płock, Ostrołęka</w:t>
      </w:r>
      <w:r w:rsidRPr="003B1313">
        <w:rPr>
          <w:bCs/>
          <w:iCs/>
          <w:color w:val="000000"/>
        </w:rPr>
        <w:t xml:space="preserve"> </w:t>
      </w:r>
      <w:r w:rsidRPr="003B1313">
        <w:rPr>
          <w:rFonts w:ascii="Times New Roman" w:hAnsi="Times New Roman" w:cs="Times New Roman"/>
          <w:bCs/>
          <w:iCs/>
          <w:color w:val="000000"/>
        </w:rPr>
        <w:t xml:space="preserve">( KMP Płock, KPP Ciechanów, KPP Gostynin, KPP Mława, KPP Płońsk, KPP Sochaczew, KPP Sierpc, KPP Żuromin, KPP Żyrardów, KMP Ostrołęka, KPP Maków </w:t>
      </w:r>
      <w:proofErr w:type="spellStart"/>
      <w:r w:rsidRPr="003B1313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3B1313">
        <w:rPr>
          <w:rFonts w:ascii="Times New Roman" w:hAnsi="Times New Roman" w:cs="Times New Roman"/>
          <w:bCs/>
          <w:iCs/>
          <w:color w:val="000000"/>
        </w:rPr>
        <w:t xml:space="preserve">., KPP Ostrów </w:t>
      </w:r>
      <w:proofErr w:type="spellStart"/>
      <w:r w:rsidRPr="003B1313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3B1313">
        <w:rPr>
          <w:rFonts w:ascii="Times New Roman" w:hAnsi="Times New Roman" w:cs="Times New Roman"/>
          <w:bCs/>
          <w:iCs/>
          <w:color w:val="000000"/>
        </w:rPr>
        <w:t>., KPP Przasnysz, KPP Pułtusk, KPP Wyszków )</w:t>
      </w:r>
    </w:p>
    <w:p w:rsidR="003B1313" w:rsidRPr="003B1313" w:rsidRDefault="003B1313" w:rsidP="003B1313">
      <w:pPr>
        <w:spacing w:after="0" w:line="240" w:lineRule="auto"/>
        <w:rPr>
          <w:rFonts w:ascii="Arial Black" w:eastAsia="Times New Roman" w:hAnsi="Arial Black"/>
          <w:b/>
          <w:color w:val="000000" w:themeColor="text1"/>
          <w:sz w:val="20"/>
          <w:szCs w:val="20"/>
          <w:lang w:eastAsia="pl-PL"/>
        </w:rPr>
      </w:pPr>
    </w:p>
    <w:tbl>
      <w:tblPr>
        <w:tblW w:w="867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582"/>
        <w:gridCol w:w="1948"/>
        <w:gridCol w:w="1701"/>
        <w:gridCol w:w="1701"/>
      </w:tblGrid>
      <w:tr w:rsidR="003B1313" w:rsidRPr="003B1313" w:rsidTr="004D3140">
        <w:trPr>
          <w:trHeight w:val="6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Kryterium I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- Cena oferty brutto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Kryterium II</w:t>
            </w: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- Okres gwarancji na wykonaną usługę 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G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Łączna ilość punktów 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Ł )</w:t>
            </w:r>
          </w:p>
        </w:tc>
      </w:tr>
      <w:tr w:rsidR="003B1313" w:rsidRPr="003B1313" w:rsidTr="004D3140">
        <w:trPr>
          <w:trHeight w:val="457"/>
        </w:trPr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3B1313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341 389,68 zł|</w:t>
            </w:r>
          </w:p>
        </w:tc>
      </w:tr>
      <w:tr w:rsidR="003B1313" w:rsidRPr="003B1313" w:rsidTr="004D3140">
        <w:trPr>
          <w:trHeight w:val="152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P.H.U. Auto-Skoda Grażyna Gniadek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</w:t>
            </w:r>
            <w:proofErr w:type="spellStart"/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Przytycka</w:t>
            </w:r>
            <w:proofErr w:type="spellEnd"/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33/1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26-600 Radom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320 250,90 zł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30 miesięcy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- 35,00 pkt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3B1313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95,00 pkt</w:t>
            </w:r>
          </w:p>
          <w:p w:rsidR="003B1313" w:rsidRPr="003B1313" w:rsidRDefault="003B1313" w:rsidP="003B1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B1313" w:rsidRPr="003B1313" w:rsidRDefault="003B1313" w:rsidP="003B131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B1313">
        <w:rPr>
          <w:rFonts w:ascii="Times New Roman" w:hAnsi="Times New Roman" w:cs="Times New Roman"/>
          <w:b/>
        </w:rPr>
        <w:t xml:space="preserve">Oferta oznaczona nr 1 </w:t>
      </w:r>
      <w:r w:rsidRPr="003B1313">
        <w:rPr>
          <w:rFonts w:ascii="Times New Roman" w:hAnsi="Times New Roman" w:cs="Times New Roman"/>
          <w:b/>
          <w:bCs/>
          <w:color w:val="000000"/>
        </w:rPr>
        <w:t>została najwyżej oceniona tj. uzyskała łącznie 95,00 pkt.</w:t>
      </w:r>
    </w:p>
    <w:p w:rsidR="003B1313" w:rsidRPr="003B1313" w:rsidRDefault="003B1313" w:rsidP="003B1313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1313" w:rsidRPr="003B1313" w:rsidRDefault="003B1313" w:rsidP="003B1313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3B1313">
        <w:rPr>
          <w:rFonts w:ascii="Arial Black" w:hAnsi="Arial Black"/>
          <w:sz w:val="18"/>
          <w:szCs w:val="18"/>
          <w:u w:val="single"/>
        </w:rPr>
        <w:t>Wylic</w:t>
      </w:r>
      <w:r w:rsidRPr="003B131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3B1313" w:rsidRPr="003B1313" w:rsidRDefault="003B1313" w:rsidP="003B1313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3B1313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320 250,90 /320 250,90 ×60  pkt.</w:t>
      </w:r>
    </w:p>
    <w:p w:rsidR="003B1313" w:rsidRPr="003B1313" w:rsidRDefault="003B1313" w:rsidP="003B1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3B1313" w:rsidRPr="003B1313" w:rsidRDefault="003B1313" w:rsidP="003B1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3B131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termin dostawy częściowej materiałów biurowych - „G” </w:t>
      </w:r>
    </w:p>
    <w:p w:rsidR="003B1313" w:rsidRPr="003B1313" w:rsidRDefault="003B1313" w:rsidP="003B1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30 miesięcy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 = 35,00 pkt.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131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= C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+ G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3B131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3B1313">
        <w:rPr>
          <w:rFonts w:ascii="Times New Roman" w:eastAsia="Times New Roman" w:hAnsi="Times New Roman" w:cs="Times New Roman"/>
          <w:color w:val="000000" w:themeColor="text1"/>
        </w:rPr>
        <w:t>= 60,00 pkt. + 35,00 pkt –</w:t>
      </w:r>
      <w:r w:rsidRPr="003B131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95,00 pkt</w:t>
      </w:r>
    </w:p>
    <w:p w:rsidR="003B1313" w:rsidRPr="003B1313" w:rsidRDefault="003B1313" w:rsidP="003B1313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3B1313" w:rsidRPr="003B1313" w:rsidRDefault="003B1313" w:rsidP="003B1313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3B1313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2 </w:t>
      </w:r>
    </w:p>
    <w:p w:rsidR="003B1313" w:rsidRPr="003B1313" w:rsidRDefault="003B1313" w:rsidP="003B131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1313">
        <w:rPr>
          <w:rFonts w:ascii="Times New Roman" w:hAnsi="Times New Roman" w:cs="Times New Roman"/>
          <w:b/>
          <w:u w:val="single"/>
        </w:rPr>
        <w:t>1 miejsce - oferta nr  1 - 95,00 pkt</w:t>
      </w:r>
    </w:p>
    <w:p w:rsidR="003B1313" w:rsidRPr="003B1313" w:rsidRDefault="003B1313" w:rsidP="003B1313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3B1313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3B1313" w:rsidRPr="003B1313" w:rsidRDefault="003B1313" w:rsidP="003B1313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B1313">
        <w:rPr>
          <w:rFonts w:ascii="Times New Roman" w:eastAsia="Times New Roman" w:hAnsi="Times New Roman" w:cs="Times New Roman"/>
          <w:color w:val="000000" w:themeColor="text1"/>
        </w:rPr>
        <w:t xml:space="preserve">Na zadanie nr 2 wpłynęła jedna oferta. Oferta nr 1 uzyskała łącznie 95,00 pkt za obydwa kryteria oceny ofert, a jej cena mieści się w kwocie, którą Zamawiający zamierza przeznaczyć na sfinansowanie  zamówienia. </w:t>
      </w:r>
      <w:r w:rsidRPr="003B131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D2E47" w:rsidRDefault="007D2E47" w:rsidP="007D2E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7D2E47" w:rsidRPr="008613AF" w:rsidRDefault="007D2E47" w:rsidP="007D2E4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7D2E47" w:rsidRPr="00497C6E" w:rsidRDefault="007D2E47" w:rsidP="007D2E4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46C98" w:rsidRDefault="007D2E47" w:rsidP="00246C9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</w:p>
    <w:p w:rsidR="00246C98" w:rsidRPr="009E7291" w:rsidRDefault="00246C98" w:rsidP="00246C98">
      <w:pPr>
        <w:spacing w:after="0" w:line="240" w:lineRule="auto"/>
        <w:ind w:left="4956"/>
        <w:rPr>
          <w:rFonts w:ascii="Times New Roman" w:hAnsi="Times New Roman"/>
          <w:color w:val="000000" w:themeColor="text1"/>
        </w:rPr>
      </w:pPr>
      <w:r w:rsidRPr="009E7291"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9E7291">
        <w:rPr>
          <w:rFonts w:ascii="Times New Roman" w:hAnsi="Times New Roman"/>
          <w:color w:val="000000" w:themeColor="text1"/>
        </w:rPr>
        <w:t xml:space="preserve">  KIEROWNIK                                                                                                                      </w:t>
      </w:r>
    </w:p>
    <w:p w:rsidR="00246C98" w:rsidRPr="009E7291" w:rsidRDefault="00246C98" w:rsidP="00246C9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729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9E7291">
        <w:rPr>
          <w:rFonts w:ascii="Times New Roman" w:hAnsi="Times New Roman"/>
          <w:color w:val="000000" w:themeColor="text1"/>
        </w:rPr>
        <w:t xml:space="preserve"> Sekcji Zamówień Publicznych</w:t>
      </w:r>
    </w:p>
    <w:p w:rsidR="00246C98" w:rsidRPr="009E7291" w:rsidRDefault="00246C98" w:rsidP="00246C9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729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9E729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9E7291">
        <w:rPr>
          <w:rFonts w:ascii="Times New Roman" w:hAnsi="Times New Roman"/>
          <w:color w:val="000000" w:themeColor="text1"/>
        </w:rPr>
        <w:t>KWP z siedzibą w Radomiu</w:t>
      </w:r>
    </w:p>
    <w:p w:rsidR="007D2E47" w:rsidRPr="00246C98" w:rsidRDefault="00246C98" w:rsidP="00246C98">
      <w:pPr>
        <w:spacing w:after="0" w:line="240" w:lineRule="auto"/>
        <w:ind w:firstLine="708"/>
        <w:rPr>
          <w:rFonts w:ascii="Times New Roman" w:hAnsi="Times New Roman"/>
          <w:color w:val="000000" w:themeColor="text1"/>
        </w:rPr>
      </w:pPr>
      <w:r w:rsidRPr="009E729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ab/>
        <w:t xml:space="preserve">     </w:t>
      </w:r>
      <w:r w:rsidRPr="009E7291">
        <w:rPr>
          <w:rFonts w:ascii="Times New Roman" w:hAnsi="Times New Roman"/>
          <w:color w:val="000000" w:themeColor="text1"/>
        </w:rPr>
        <w:t>/ - / Justyna Kowalska</w:t>
      </w:r>
    </w:p>
    <w:p w:rsidR="007D2E47" w:rsidRDefault="007D2E47" w:rsidP="007D2E47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C2D71" w:rsidRDefault="00CC2D71" w:rsidP="00246C9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7D2E47" w:rsidRPr="00CC2D71" w:rsidRDefault="007D2E47" w:rsidP="007D2E4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7D2E47" w:rsidRPr="003B4248" w:rsidRDefault="007D2E47" w:rsidP="007D2E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najkorzystniejs</w:t>
      </w:r>
      <w:r w:rsid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zej oferty przekazano Wykonawcą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 pośrednictwem platform zakupowej Open </w:t>
      </w:r>
      <w:proofErr w:type="spellStart"/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7B188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</w:t>
      </w:r>
      <w:r w:rsidR="00CC2D71"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28</w:t>
      </w:r>
      <w:r w:rsidR="007B1888"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.09.2023</w:t>
      </w:r>
      <w:r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</w:t>
      </w:r>
      <w:r w:rsidRPr="007B1888">
        <w:rPr>
          <w:rFonts w:ascii="Times New Roman" w:eastAsiaTheme="minorEastAsia" w:hAnsi="Times New Roman" w:cs="Times New Roman"/>
          <w:color w:val="FF0000"/>
          <w:sz w:val="18"/>
          <w:szCs w:val="18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oraz zamieszczono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internetowej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prowadzonego postępowania po adresem </w:t>
      </w:r>
      <w:hyperlink r:id="rId5" w:history="1">
        <w:r w:rsidRPr="003B4248">
          <w:rPr>
            <w:rStyle w:val="Hipercze"/>
            <w:rFonts w:ascii="Times New Roman" w:eastAsiaTheme="minorEastAsia" w:hAnsi="Times New Roman" w:cs="Times New Roman"/>
            <w:color w:val="000000" w:themeColor="text1"/>
            <w:sz w:val="18"/>
            <w:szCs w:val="18"/>
            <w:lang w:eastAsia="pl-PL"/>
          </w:rPr>
          <w:t>https://platformazakupowa.pl/pn/kwp_radom</w:t>
        </w:r>
      </w:hyperlink>
      <w:r w:rsidR="007B188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w dniu </w:t>
      </w:r>
      <w:r w:rsidR="00CC2D71"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28</w:t>
      </w:r>
      <w:r w:rsidR="007B1888"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.09.2023</w:t>
      </w:r>
      <w:r w:rsidRPr="00CC2D7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r.</w:t>
      </w:r>
    </w:p>
    <w:p w:rsidR="007D2E47" w:rsidRPr="00F330D3" w:rsidRDefault="007D2E47" w:rsidP="007D2E4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330D3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7D2E47" w:rsidRPr="008613AF" w:rsidRDefault="007D2E47" w:rsidP="007D2E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</w:t>
      </w:r>
      <w:r w:rsidRPr="00DD78EB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A.S.</w:t>
      </w: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4E16FD" w:rsidRDefault="004E16FD"/>
    <w:sectPr w:rsidR="004E16FD" w:rsidSect="007B188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F"/>
    <w:rsid w:val="002023D7"/>
    <w:rsid w:val="00246C98"/>
    <w:rsid w:val="003B1313"/>
    <w:rsid w:val="004E16FD"/>
    <w:rsid w:val="007B1888"/>
    <w:rsid w:val="007D2E47"/>
    <w:rsid w:val="00827238"/>
    <w:rsid w:val="00CC2D71"/>
    <w:rsid w:val="00E25F6F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269F"/>
  <w15:chartTrackingRefBased/>
  <w15:docId w15:val="{64AEAA0B-3946-474C-8D4B-DF2611D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E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2023-09-28T10:02:00Z</cp:lastPrinted>
  <dcterms:created xsi:type="dcterms:W3CDTF">2023-09-14T10:55:00Z</dcterms:created>
  <dcterms:modified xsi:type="dcterms:W3CDTF">2023-09-28T11:03:00Z</dcterms:modified>
</cp:coreProperties>
</file>