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8DC2" w14:textId="09829EAC" w:rsidR="005F7D31" w:rsidRPr="0012657C" w:rsidRDefault="005F7D31" w:rsidP="0012657C">
      <w:pPr>
        <w:ind w:left="708" w:firstLine="708"/>
        <w:jc w:val="right"/>
        <w:rPr>
          <w:rFonts w:ascii="Times New Roman" w:hAnsi="Times New Roman" w:cs="Times New Roman"/>
          <w:sz w:val="24"/>
          <w:szCs w:val="24"/>
        </w:rPr>
      </w:pPr>
      <w:r w:rsidRPr="0012657C">
        <w:rPr>
          <w:rFonts w:ascii="Times New Roman" w:hAnsi="Times New Roman" w:cs="Times New Roman"/>
          <w:sz w:val="24"/>
          <w:szCs w:val="24"/>
        </w:rPr>
        <w:t>Legnica, dnia 0</w:t>
      </w:r>
      <w:r w:rsidR="000D09ED">
        <w:rPr>
          <w:rFonts w:ascii="Times New Roman" w:hAnsi="Times New Roman" w:cs="Times New Roman"/>
          <w:sz w:val="24"/>
          <w:szCs w:val="24"/>
        </w:rPr>
        <w:t>8</w:t>
      </w:r>
      <w:r w:rsidRPr="0012657C">
        <w:rPr>
          <w:rFonts w:ascii="Times New Roman" w:hAnsi="Times New Roman" w:cs="Times New Roman"/>
          <w:sz w:val="24"/>
          <w:szCs w:val="24"/>
        </w:rPr>
        <w:t>-12-2020 r.</w:t>
      </w:r>
    </w:p>
    <w:p w14:paraId="5D762B02" w14:textId="77777777" w:rsidR="005F7D31" w:rsidRPr="0012657C" w:rsidRDefault="005F7D31" w:rsidP="0012657C">
      <w:pPr>
        <w:ind w:left="708" w:firstLine="708"/>
        <w:jc w:val="both"/>
        <w:rPr>
          <w:rFonts w:ascii="Times New Roman" w:hAnsi="Times New Roman" w:cs="Times New Roman"/>
          <w:sz w:val="24"/>
          <w:szCs w:val="24"/>
        </w:rPr>
      </w:pPr>
    </w:p>
    <w:p w14:paraId="195CDC46" w14:textId="393938EA" w:rsidR="005F7D31" w:rsidRPr="0012657C" w:rsidRDefault="005F7D31" w:rsidP="0012657C">
      <w:pPr>
        <w:jc w:val="both"/>
        <w:rPr>
          <w:rFonts w:ascii="Times New Roman" w:hAnsi="Times New Roman" w:cs="Times New Roman"/>
          <w:b/>
          <w:sz w:val="24"/>
          <w:szCs w:val="24"/>
        </w:rPr>
      </w:pPr>
      <w:r w:rsidRPr="0012657C">
        <w:rPr>
          <w:rFonts w:ascii="Times New Roman" w:hAnsi="Times New Roman" w:cs="Times New Roman"/>
          <w:b/>
          <w:sz w:val="24"/>
          <w:szCs w:val="24"/>
        </w:rPr>
        <w:t>Dot. postępowania znak DOA.2610.6.2020</w:t>
      </w:r>
    </w:p>
    <w:p w14:paraId="592C4CDF" w14:textId="7E74CAD5" w:rsidR="005F7D31" w:rsidRPr="004C73F4" w:rsidRDefault="005F7D31" w:rsidP="004C73F4">
      <w:pPr>
        <w:pStyle w:val="Nagwek1"/>
        <w:spacing w:after="240" w:line="276" w:lineRule="auto"/>
        <w:ind w:firstLine="708"/>
        <w:jc w:val="both"/>
        <w:rPr>
          <w:rFonts w:ascii="Times New Roman" w:hAnsi="Times New Roman" w:cs="Times New Roman"/>
          <w:b w:val="0"/>
          <w:bCs/>
          <w:sz w:val="24"/>
          <w:szCs w:val="24"/>
        </w:rPr>
      </w:pPr>
      <w:r w:rsidRPr="004C73F4">
        <w:rPr>
          <w:rFonts w:ascii="Times New Roman" w:hAnsi="Times New Roman" w:cs="Times New Roman"/>
          <w:b w:val="0"/>
          <w:bCs/>
          <w:sz w:val="24"/>
          <w:szCs w:val="24"/>
        </w:rPr>
        <w:t xml:space="preserve">Informuję, że w dniu 3 grudnia 2020 r. (odbiór w dniu 4 grudnia 2020 r.) </w:t>
      </w:r>
      <w:r w:rsidRPr="004C73F4">
        <w:rPr>
          <w:rFonts w:ascii="Times New Roman" w:hAnsi="Times New Roman" w:cs="Times New Roman"/>
          <w:b w:val="0"/>
          <w:bCs/>
          <w:sz w:val="24"/>
          <w:szCs w:val="24"/>
        </w:rPr>
        <w:br/>
        <w:t xml:space="preserve">za pomocą poczty elektronicznej wpłynęły </w:t>
      </w:r>
      <w:bookmarkStart w:id="0" w:name="_GoBack"/>
      <w:r w:rsidRPr="004C73F4">
        <w:rPr>
          <w:rFonts w:ascii="Times New Roman" w:hAnsi="Times New Roman" w:cs="Times New Roman"/>
          <w:b w:val="0"/>
          <w:bCs/>
          <w:sz w:val="24"/>
          <w:szCs w:val="24"/>
        </w:rPr>
        <w:t>zapytania i wnioski o wyjaśnienie zapisów SIWZ</w:t>
      </w:r>
      <w:bookmarkEnd w:id="0"/>
      <w:r w:rsidRPr="004C73F4">
        <w:rPr>
          <w:rFonts w:ascii="Times New Roman" w:hAnsi="Times New Roman" w:cs="Times New Roman"/>
          <w:b w:val="0"/>
          <w:bCs/>
          <w:sz w:val="24"/>
          <w:szCs w:val="24"/>
        </w:rPr>
        <w:t xml:space="preserve"> dot. postępowania o udzielenie zamówienia publicznego na świadczenie usług pocztowych dla Miejskiego Ośrodka Pomocy Społecznej w Legnicy w roku 2021</w:t>
      </w:r>
      <w:r w:rsidR="004C73F4" w:rsidRPr="004C73F4">
        <w:rPr>
          <w:rFonts w:ascii="Times New Roman" w:hAnsi="Times New Roman" w:cs="Times New Roman"/>
          <w:b w:val="0"/>
          <w:bCs/>
          <w:sz w:val="24"/>
          <w:szCs w:val="24"/>
        </w:rPr>
        <w:t>.</w:t>
      </w:r>
    </w:p>
    <w:p w14:paraId="770CDCEB" w14:textId="083EA49B" w:rsidR="004C73F4" w:rsidRDefault="004C73F4" w:rsidP="004C73F4">
      <w:pPr>
        <w:pStyle w:val="Tekstpodstawowy"/>
        <w:rPr>
          <w:rFonts w:ascii="Times New Roman" w:hAnsi="Times New Roman" w:cs="Times New Roman"/>
          <w:sz w:val="24"/>
          <w:szCs w:val="24"/>
          <w:lang w:eastAsia="zh-CN"/>
        </w:rPr>
      </w:pPr>
      <w:r w:rsidRPr="004C73F4">
        <w:rPr>
          <w:rFonts w:ascii="Times New Roman" w:hAnsi="Times New Roman" w:cs="Times New Roman"/>
          <w:sz w:val="24"/>
          <w:szCs w:val="24"/>
          <w:lang w:eastAsia="zh-CN"/>
        </w:rPr>
        <w:t>W związku z powyższym Zamawiający udziela odpowiedzi</w:t>
      </w:r>
      <w:r>
        <w:rPr>
          <w:rFonts w:ascii="Times New Roman" w:hAnsi="Times New Roman" w:cs="Times New Roman"/>
          <w:sz w:val="24"/>
          <w:szCs w:val="24"/>
          <w:lang w:eastAsia="zh-CN"/>
        </w:rPr>
        <w:t>:</w:t>
      </w:r>
    </w:p>
    <w:p w14:paraId="663D7592" w14:textId="77777777" w:rsidR="004C73F4" w:rsidRPr="004C73F4" w:rsidRDefault="004C73F4" w:rsidP="004C73F4">
      <w:pPr>
        <w:pStyle w:val="Tekstpodstawowy"/>
        <w:rPr>
          <w:rFonts w:ascii="Times New Roman" w:hAnsi="Times New Roman" w:cs="Times New Roman"/>
          <w:sz w:val="24"/>
          <w:szCs w:val="24"/>
          <w:lang w:eastAsia="zh-CN"/>
        </w:rPr>
      </w:pPr>
    </w:p>
    <w:p w14:paraId="7666C1BB" w14:textId="1F451A6B"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sz w:val="24"/>
          <w:szCs w:val="24"/>
          <w:u w:val="single"/>
        </w:rPr>
        <w:t>1. Dotyczy R</w:t>
      </w:r>
      <w:r w:rsidRPr="0012657C">
        <w:rPr>
          <w:rFonts w:ascii="Times New Roman" w:hAnsi="Times New Roman" w:cs="Times New Roman"/>
          <w:b/>
          <w:bCs/>
          <w:color w:val="000000"/>
          <w:sz w:val="24"/>
          <w:szCs w:val="24"/>
          <w:u w:val="single"/>
        </w:rPr>
        <w:t>ozdziału I - Formularza oferty:</w:t>
      </w:r>
    </w:p>
    <w:p w14:paraId="5F232C80"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Zamawiający wskazuje, że termin płatności będzie liczony od dostarczenia faktury do Zamawiającego oraz Rozdziale II Instrukcji dla Wykonawców par.15 ust.3 pkt.2) -Zamawiający wskazuje, że "termin płatności faktury" będzie liczony od dnia wpływu faktury do Zamawiającego. </w:t>
      </w:r>
    </w:p>
    <w:p w14:paraId="636F1738"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197FC05B" w14:textId="39134055"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Czy w związku z powyższym, Zamawiający zaakceptuje inny niż określony przez Zamawiającego w umowie termin płatności tj. liczony od dnia wystawienia faktury określony jako 14 dni od daty wystawienia faktury VAT, pozwalający terminowo dokonać płatności za wykonane usługi w ramach przedmiotu zamówienia?</w:t>
      </w:r>
    </w:p>
    <w:p w14:paraId="7894EBD2" w14:textId="2F2A948D" w:rsidR="002D3A4D"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ODPOWIEDŹ: </w:t>
      </w:r>
      <w:r w:rsidR="002D3A4D" w:rsidRPr="0012657C">
        <w:rPr>
          <w:rFonts w:ascii="Times New Roman" w:hAnsi="Times New Roman" w:cs="Times New Roman"/>
          <w:color w:val="000000"/>
          <w:sz w:val="24"/>
          <w:szCs w:val="24"/>
        </w:rPr>
        <w:t xml:space="preserve">Zamawiający nie zaakceptuje innego niż określony w </w:t>
      </w:r>
      <w:proofErr w:type="spellStart"/>
      <w:r w:rsidR="00790700" w:rsidRPr="0012657C">
        <w:rPr>
          <w:rFonts w:ascii="Times New Roman" w:hAnsi="Times New Roman" w:cs="Times New Roman"/>
          <w:color w:val="000000"/>
          <w:sz w:val="24"/>
          <w:szCs w:val="24"/>
        </w:rPr>
        <w:t>siwz</w:t>
      </w:r>
      <w:proofErr w:type="spellEnd"/>
      <w:r w:rsidR="002D3A4D" w:rsidRPr="0012657C">
        <w:rPr>
          <w:rFonts w:ascii="Times New Roman" w:hAnsi="Times New Roman" w:cs="Times New Roman"/>
          <w:color w:val="000000"/>
          <w:sz w:val="24"/>
          <w:szCs w:val="24"/>
        </w:rPr>
        <w:t xml:space="preserve"> terminu płatności.</w:t>
      </w:r>
    </w:p>
    <w:p w14:paraId="69903C65" w14:textId="77777777"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rPr>
        <w:t>2. Dotyczy Rozdziału I - Formularza oferty Lp.13:</w:t>
      </w:r>
    </w:p>
    <w:p w14:paraId="5D69DBB6" w14:textId="483566CC"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Wykonawca wnosi o korektę zapisu odnośnie wagi przesyłek, gdyż w odniesieniu do przesyłek w obrocie zagranicznych nie ma określenia formatów przesyłek: S, M,L. Do określenia masy przesyłki stosuje się przedziały wagowe zgodnie z Cennikiem usług powszechnych w obrocie krajowym i zagranicznym dostępnym na stronie </w:t>
      </w:r>
      <w:r w:rsidRPr="007E1503">
        <w:rPr>
          <w:rFonts w:ascii="Times New Roman" w:hAnsi="Times New Roman" w:cs="Times New Roman"/>
          <w:sz w:val="24"/>
          <w:szCs w:val="24"/>
        </w:rPr>
        <w:t>https://cennik.poczta-polska.pl/</w:t>
      </w:r>
      <w:r w:rsidRPr="0012657C">
        <w:rPr>
          <w:rFonts w:ascii="Times New Roman" w:hAnsi="Times New Roman" w:cs="Times New Roman"/>
          <w:color w:val="000000"/>
          <w:sz w:val="24"/>
          <w:szCs w:val="24"/>
        </w:rPr>
        <w:t>.</w:t>
      </w:r>
    </w:p>
    <w:p w14:paraId="225AA3F7" w14:textId="77777777" w:rsidR="000D09ED" w:rsidRDefault="00790700"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ODPOWIEDŹ:</w:t>
      </w:r>
      <w:r w:rsidR="00814147">
        <w:rPr>
          <w:rFonts w:ascii="Times New Roman" w:hAnsi="Times New Roman" w:cs="Times New Roman"/>
          <w:color w:val="000000"/>
          <w:sz w:val="24"/>
          <w:szCs w:val="24"/>
        </w:rPr>
        <w:t xml:space="preserve"> </w:t>
      </w:r>
      <w:r w:rsidR="000D09ED">
        <w:rPr>
          <w:rFonts w:ascii="Times New Roman" w:hAnsi="Times New Roman" w:cs="Times New Roman"/>
          <w:color w:val="000000"/>
          <w:sz w:val="24"/>
          <w:szCs w:val="24"/>
        </w:rPr>
        <w:t xml:space="preserve">Zamawiający dopuszcza wniosek Wnioskodawcy. </w:t>
      </w:r>
    </w:p>
    <w:p w14:paraId="0A50ED29" w14:textId="730DE953" w:rsidR="000D09ED" w:rsidRPr="0012657C" w:rsidRDefault="000D09ED" w:rsidP="000D09ED">
      <w:pPr>
        <w:pStyle w:val="Default"/>
        <w:spacing w:line="276" w:lineRule="auto"/>
        <w:jc w:val="both"/>
        <w:rPr>
          <w:b/>
        </w:rPr>
      </w:pPr>
    </w:p>
    <w:p w14:paraId="1E28C35C" w14:textId="02EC86CF" w:rsidR="000D09ED" w:rsidRPr="0012657C" w:rsidRDefault="000D09ED" w:rsidP="000D09ED">
      <w:pPr>
        <w:pStyle w:val="Default"/>
        <w:spacing w:line="276" w:lineRule="auto"/>
        <w:jc w:val="both"/>
        <w:rPr>
          <w:b/>
        </w:rPr>
      </w:pPr>
      <w:r w:rsidRPr="0012657C">
        <w:rPr>
          <w:b/>
        </w:rPr>
        <w:t xml:space="preserve">Wobec powyższego </w:t>
      </w:r>
      <w:r>
        <w:rPr>
          <w:b/>
        </w:rPr>
        <w:t>Lp.</w:t>
      </w:r>
      <w:r w:rsidRPr="0012657C">
        <w:rPr>
          <w:b/>
        </w:rPr>
        <w:t xml:space="preserve"> </w:t>
      </w:r>
      <w:r>
        <w:rPr>
          <w:b/>
        </w:rPr>
        <w:t>1</w:t>
      </w:r>
      <w:r w:rsidRPr="0012657C">
        <w:rPr>
          <w:b/>
        </w:rPr>
        <w:t xml:space="preserve">3 </w:t>
      </w:r>
      <w:r>
        <w:rPr>
          <w:b/>
        </w:rPr>
        <w:t>Rozdziału I – Formularz oferty</w:t>
      </w:r>
      <w:r w:rsidRPr="0012657C">
        <w:rPr>
          <w:b/>
        </w:rPr>
        <w:t xml:space="preserve"> otrzymuje brzmienie:</w:t>
      </w:r>
    </w:p>
    <w:tbl>
      <w:tblPr>
        <w:tblW w:w="9658" w:type="dxa"/>
        <w:tblInd w:w="10" w:type="dxa"/>
        <w:tblLayout w:type="fixed"/>
        <w:tblCellMar>
          <w:left w:w="0" w:type="dxa"/>
          <w:bottom w:w="28" w:type="dxa"/>
          <w:right w:w="28" w:type="dxa"/>
        </w:tblCellMar>
        <w:tblLook w:val="0000" w:firstRow="0" w:lastRow="0" w:firstColumn="0" w:lastColumn="0" w:noHBand="0" w:noVBand="0"/>
      </w:tblPr>
      <w:tblGrid>
        <w:gridCol w:w="709"/>
        <w:gridCol w:w="2268"/>
        <w:gridCol w:w="1985"/>
        <w:gridCol w:w="1701"/>
        <w:gridCol w:w="1417"/>
        <w:gridCol w:w="1578"/>
      </w:tblGrid>
      <w:tr w:rsidR="000D09ED" w:rsidRPr="00F56ED2" w14:paraId="69C69000" w14:textId="77777777" w:rsidTr="000D09ED">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D1CD3C3" w14:textId="77777777" w:rsidR="000D09ED" w:rsidRPr="00F56ED2" w:rsidRDefault="000D09ED" w:rsidP="00F002AA">
            <w:pPr>
              <w:pStyle w:val="Zawartotabeli"/>
              <w:jc w:val="center"/>
              <w:rPr>
                <w:rFonts w:cs="Times New Roman"/>
                <w:sz w:val="20"/>
                <w:szCs w:val="20"/>
              </w:rPr>
            </w:pPr>
            <w:r w:rsidRPr="00F56ED2">
              <w:rPr>
                <w:rFonts w:cs="Times New Roman"/>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25F499D6" w14:textId="7185D7B1" w:rsidR="000D09ED" w:rsidRPr="00F56ED2" w:rsidRDefault="000D09ED" w:rsidP="00F002AA">
            <w:pPr>
              <w:pStyle w:val="Zawartotabeli"/>
              <w:rPr>
                <w:rFonts w:cs="Times New Roman"/>
                <w:sz w:val="20"/>
                <w:szCs w:val="20"/>
              </w:rPr>
            </w:pPr>
            <w:r w:rsidRPr="00F56ED2">
              <w:rPr>
                <w:rFonts w:cs="Times New Roman"/>
                <w:sz w:val="20"/>
                <w:szCs w:val="20"/>
              </w:rPr>
              <w:t xml:space="preserve">Usługa „zwrot przesyłki poleconej </w:t>
            </w:r>
            <w:r w:rsidRPr="000D09ED">
              <w:rPr>
                <w:rFonts w:cs="Times New Roman"/>
                <w:sz w:val="20"/>
                <w:szCs w:val="20"/>
              </w:rPr>
              <w:t>priorytetowej do nadawcy -po wyczerpaniu możliwości jej doręczenia lub wydania odbiorcy za granicą</w:t>
            </w:r>
            <w:r>
              <w:rPr>
                <w:rFonts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BE70D9" w14:textId="4D9D3E02" w:rsidR="000D09ED" w:rsidRPr="00F56ED2" w:rsidRDefault="000D09ED" w:rsidP="00F002AA">
            <w:pPr>
              <w:pStyle w:val="Zawartotabeli"/>
              <w:jc w:val="both"/>
              <w:rPr>
                <w:rFonts w:cs="Times New Roman"/>
                <w:sz w:val="20"/>
                <w:szCs w:val="20"/>
              </w:rPr>
            </w:pPr>
            <w:r w:rsidRPr="00F56ED2">
              <w:rPr>
                <w:rFonts w:eastAsia="Times New Roman" w:cs="Times New Roman"/>
                <w:sz w:val="20"/>
                <w:szCs w:val="20"/>
              </w:rPr>
              <w:t xml:space="preserve"> </w:t>
            </w:r>
            <w:r w:rsidRPr="00F56ED2">
              <w:rPr>
                <w:rFonts w:cs="Times New Roman"/>
                <w:sz w:val="20"/>
                <w:szCs w:val="20"/>
              </w:rPr>
              <w:t>do 500g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FC00F6" w14:textId="77777777" w:rsidR="000D09ED" w:rsidRPr="00F56ED2" w:rsidRDefault="000D09ED" w:rsidP="00F002AA">
            <w:pPr>
              <w:pStyle w:val="Zawartotabeli"/>
              <w:jc w:val="center"/>
              <w:rPr>
                <w:rFonts w:cs="Times New Roman"/>
                <w:sz w:val="20"/>
                <w:szCs w:val="20"/>
              </w:rPr>
            </w:pPr>
            <w:r w:rsidRPr="00F56ED2">
              <w:rPr>
                <w:rFonts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DA5D2"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6F8F5BED"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r>
      <w:tr w:rsidR="000D09ED" w:rsidRPr="00F56ED2" w14:paraId="4C0D0694" w14:textId="77777777" w:rsidTr="000D09ED">
        <w:tc>
          <w:tcPr>
            <w:tcW w:w="709" w:type="dxa"/>
            <w:vMerge/>
            <w:tcBorders>
              <w:top w:val="single" w:sz="4" w:space="0" w:color="auto"/>
              <w:left w:val="single" w:sz="8" w:space="0" w:color="000000"/>
              <w:bottom w:val="single" w:sz="8" w:space="0" w:color="000000"/>
            </w:tcBorders>
            <w:shd w:val="clear" w:color="auto" w:fill="auto"/>
          </w:tcPr>
          <w:p w14:paraId="018F486A" w14:textId="77777777" w:rsidR="000D09ED" w:rsidRPr="00F56ED2" w:rsidRDefault="000D09ED" w:rsidP="00F002AA">
            <w:pPr>
              <w:pStyle w:val="Zawartotabeli"/>
              <w:snapToGrid w:val="0"/>
              <w:rPr>
                <w:rFonts w:cs="Times New Roman"/>
                <w:sz w:val="20"/>
                <w:szCs w:val="20"/>
              </w:rPr>
            </w:pPr>
          </w:p>
        </w:tc>
        <w:tc>
          <w:tcPr>
            <w:tcW w:w="2268" w:type="dxa"/>
            <w:vMerge/>
            <w:tcBorders>
              <w:top w:val="single" w:sz="4" w:space="0" w:color="auto"/>
              <w:left w:val="single" w:sz="8" w:space="0" w:color="000000"/>
              <w:bottom w:val="single" w:sz="8" w:space="0" w:color="000000"/>
            </w:tcBorders>
            <w:shd w:val="clear" w:color="auto" w:fill="auto"/>
          </w:tcPr>
          <w:p w14:paraId="70D9BA02" w14:textId="77777777" w:rsidR="000D09ED" w:rsidRPr="00F56ED2" w:rsidRDefault="000D09ED" w:rsidP="00F002AA">
            <w:pPr>
              <w:pStyle w:val="Zawartotabeli"/>
              <w:snapToGrid w:val="0"/>
              <w:rPr>
                <w:rFonts w:cs="Times New Roman"/>
                <w:sz w:val="20"/>
                <w:szCs w:val="20"/>
              </w:rPr>
            </w:pPr>
          </w:p>
        </w:tc>
        <w:tc>
          <w:tcPr>
            <w:tcW w:w="1985" w:type="dxa"/>
            <w:tcBorders>
              <w:top w:val="single" w:sz="4" w:space="0" w:color="auto"/>
              <w:left w:val="single" w:sz="8" w:space="0" w:color="000000"/>
              <w:bottom w:val="single" w:sz="8" w:space="0" w:color="000000"/>
            </w:tcBorders>
            <w:shd w:val="clear" w:color="auto" w:fill="auto"/>
          </w:tcPr>
          <w:p w14:paraId="6BC1E512" w14:textId="2B840B74" w:rsidR="000D09ED" w:rsidRPr="00F56ED2" w:rsidRDefault="000D09ED" w:rsidP="00F002AA">
            <w:pPr>
              <w:pStyle w:val="Zawartotabeli"/>
              <w:jc w:val="both"/>
              <w:rPr>
                <w:rFonts w:cs="Times New Roman"/>
                <w:sz w:val="20"/>
                <w:szCs w:val="20"/>
              </w:rPr>
            </w:pPr>
            <w:r w:rsidRPr="00F56ED2">
              <w:rPr>
                <w:rFonts w:eastAsia="Times New Roman" w:cs="Times New Roman"/>
                <w:sz w:val="20"/>
                <w:szCs w:val="20"/>
              </w:rPr>
              <w:t xml:space="preserve"> </w:t>
            </w:r>
            <w:r w:rsidRPr="00F56ED2">
              <w:rPr>
                <w:rFonts w:cs="Times New Roman"/>
                <w:sz w:val="20"/>
                <w:szCs w:val="20"/>
              </w:rPr>
              <w:t>do 1000g</w:t>
            </w:r>
          </w:p>
        </w:tc>
        <w:tc>
          <w:tcPr>
            <w:tcW w:w="1701" w:type="dxa"/>
            <w:tcBorders>
              <w:top w:val="single" w:sz="4" w:space="0" w:color="auto"/>
              <w:left w:val="single" w:sz="8" w:space="0" w:color="000000"/>
              <w:bottom w:val="single" w:sz="8" w:space="0" w:color="000000"/>
            </w:tcBorders>
            <w:shd w:val="clear" w:color="auto" w:fill="auto"/>
            <w:vAlign w:val="center"/>
          </w:tcPr>
          <w:p w14:paraId="087DE325" w14:textId="77777777" w:rsidR="000D09ED" w:rsidRPr="00F56ED2" w:rsidRDefault="000D09ED" w:rsidP="00F002AA">
            <w:pPr>
              <w:pStyle w:val="Zawartotabeli"/>
              <w:jc w:val="center"/>
              <w:rPr>
                <w:rFonts w:cs="Times New Roman"/>
                <w:sz w:val="20"/>
                <w:szCs w:val="20"/>
              </w:rPr>
            </w:pPr>
            <w:r w:rsidRPr="00F56ED2">
              <w:rPr>
                <w:rFonts w:cs="Times New Roman"/>
                <w:sz w:val="20"/>
                <w:szCs w:val="20"/>
              </w:rPr>
              <w:t>1</w:t>
            </w:r>
          </w:p>
        </w:tc>
        <w:tc>
          <w:tcPr>
            <w:tcW w:w="1417" w:type="dxa"/>
            <w:tcBorders>
              <w:top w:val="single" w:sz="4" w:space="0" w:color="auto"/>
              <w:left w:val="single" w:sz="8" w:space="0" w:color="000000"/>
              <w:bottom w:val="single" w:sz="8" w:space="0" w:color="000000"/>
            </w:tcBorders>
            <w:shd w:val="clear" w:color="auto" w:fill="auto"/>
          </w:tcPr>
          <w:p w14:paraId="607FC2CE"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c>
          <w:tcPr>
            <w:tcW w:w="1578" w:type="dxa"/>
            <w:tcBorders>
              <w:top w:val="single" w:sz="4" w:space="0" w:color="auto"/>
              <w:left w:val="single" w:sz="8" w:space="0" w:color="000000"/>
              <w:bottom w:val="single" w:sz="8" w:space="0" w:color="000000"/>
              <w:right w:val="single" w:sz="8" w:space="0" w:color="000000"/>
            </w:tcBorders>
            <w:shd w:val="clear" w:color="auto" w:fill="auto"/>
          </w:tcPr>
          <w:p w14:paraId="206133CD"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r>
      <w:tr w:rsidR="000D09ED" w:rsidRPr="00F56ED2" w14:paraId="41631C7D" w14:textId="77777777" w:rsidTr="000D09ED">
        <w:tc>
          <w:tcPr>
            <w:tcW w:w="709" w:type="dxa"/>
            <w:vMerge/>
            <w:tcBorders>
              <w:left w:val="single" w:sz="8" w:space="0" w:color="000000"/>
              <w:bottom w:val="single" w:sz="8" w:space="0" w:color="000000"/>
            </w:tcBorders>
            <w:shd w:val="clear" w:color="auto" w:fill="auto"/>
          </w:tcPr>
          <w:p w14:paraId="2AC24411" w14:textId="77777777" w:rsidR="000D09ED" w:rsidRPr="00F56ED2" w:rsidRDefault="000D09ED" w:rsidP="00F002AA">
            <w:pPr>
              <w:pStyle w:val="Zawartotabeli"/>
              <w:snapToGrid w:val="0"/>
              <w:rPr>
                <w:rFonts w:cs="Times New Roman"/>
                <w:sz w:val="20"/>
                <w:szCs w:val="20"/>
              </w:rPr>
            </w:pPr>
          </w:p>
        </w:tc>
        <w:tc>
          <w:tcPr>
            <w:tcW w:w="2268" w:type="dxa"/>
            <w:vMerge/>
            <w:tcBorders>
              <w:left w:val="single" w:sz="8" w:space="0" w:color="000000"/>
              <w:bottom w:val="single" w:sz="8" w:space="0" w:color="000000"/>
            </w:tcBorders>
            <w:shd w:val="clear" w:color="auto" w:fill="auto"/>
          </w:tcPr>
          <w:p w14:paraId="79BA1404" w14:textId="77777777" w:rsidR="000D09ED" w:rsidRPr="00F56ED2" w:rsidRDefault="000D09ED" w:rsidP="00F002AA">
            <w:pPr>
              <w:pStyle w:val="Zawartotabeli"/>
              <w:snapToGrid w:val="0"/>
              <w:rPr>
                <w:rFonts w:cs="Times New Roman"/>
                <w:sz w:val="20"/>
                <w:szCs w:val="20"/>
              </w:rPr>
            </w:pPr>
          </w:p>
        </w:tc>
        <w:tc>
          <w:tcPr>
            <w:tcW w:w="1985" w:type="dxa"/>
            <w:tcBorders>
              <w:left w:val="single" w:sz="8" w:space="0" w:color="000000"/>
              <w:bottom w:val="single" w:sz="8" w:space="0" w:color="000000"/>
            </w:tcBorders>
            <w:shd w:val="clear" w:color="auto" w:fill="auto"/>
          </w:tcPr>
          <w:p w14:paraId="2E2E4645" w14:textId="77777777" w:rsidR="000D09ED" w:rsidRDefault="000D09ED" w:rsidP="00F002AA">
            <w:pPr>
              <w:pStyle w:val="Zawartotabeli"/>
              <w:jc w:val="both"/>
              <w:rPr>
                <w:rFonts w:eastAsia="Times New Roman" w:cs="Times New Roman"/>
                <w:sz w:val="20"/>
                <w:szCs w:val="20"/>
              </w:rPr>
            </w:pPr>
            <w:r w:rsidRPr="00F56ED2">
              <w:rPr>
                <w:rFonts w:eastAsia="Times New Roman" w:cs="Times New Roman"/>
                <w:sz w:val="20"/>
                <w:szCs w:val="20"/>
              </w:rPr>
              <w:t xml:space="preserve"> </w:t>
            </w:r>
          </w:p>
          <w:p w14:paraId="729EE778" w14:textId="36B08D6C" w:rsidR="000D09ED" w:rsidRPr="00F56ED2" w:rsidRDefault="000D09ED" w:rsidP="00F002AA">
            <w:pPr>
              <w:pStyle w:val="Zawartotabeli"/>
              <w:jc w:val="both"/>
              <w:rPr>
                <w:rFonts w:cs="Times New Roman"/>
                <w:sz w:val="20"/>
                <w:szCs w:val="20"/>
              </w:rPr>
            </w:pPr>
            <w:r w:rsidRPr="00F56ED2">
              <w:rPr>
                <w:rFonts w:cs="Times New Roman"/>
                <w:sz w:val="20"/>
                <w:szCs w:val="20"/>
              </w:rPr>
              <w:t>do 2000g</w:t>
            </w:r>
          </w:p>
        </w:tc>
        <w:tc>
          <w:tcPr>
            <w:tcW w:w="1701" w:type="dxa"/>
            <w:tcBorders>
              <w:left w:val="single" w:sz="8" w:space="0" w:color="000000"/>
              <w:bottom w:val="single" w:sz="8" w:space="0" w:color="000000"/>
            </w:tcBorders>
            <w:shd w:val="clear" w:color="auto" w:fill="auto"/>
            <w:vAlign w:val="center"/>
          </w:tcPr>
          <w:p w14:paraId="5522D6E9" w14:textId="77777777" w:rsidR="000D09ED" w:rsidRPr="00F56ED2" w:rsidRDefault="000D09ED" w:rsidP="00F002AA">
            <w:pPr>
              <w:pStyle w:val="Zawartotabeli"/>
              <w:jc w:val="center"/>
              <w:rPr>
                <w:rFonts w:cs="Times New Roman"/>
                <w:sz w:val="20"/>
                <w:szCs w:val="20"/>
              </w:rPr>
            </w:pPr>
            <w:r w:rsidRPr="00F56ED2">
              <w:rPr>
                <w:rFonts w:cs="Times New Roman"/>
                <w:sz w:val="20"/>
                <w:szCs w:val="20"/>
              </w:rPr>
              <w:t>1</w:t>
            </w:r>
          </w:p>
        </w:tc>
        <w:tc>
          <w:tcPr>
            <w:tcW w:w="1417" w:type="dxa"/>
            <w:tcBorders>
              <w:left w:val="single" w:sz="8" w:space="0" w:color="000000"/>
              <w:bottom w:val="single" w:sz="8" w:space="0" w:color="000000"/>
            </w:tcBorders>
            <w:shd w:val="clear" w:color="auto" w:fill="auto"/>
          </w:tcPr>
          <w:p w14:paraId="349B8D46"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c>
          <w:tcPr>
            <w:tcW w:w="1578" w:type="dxa"/>
            <w:tcBorders>
              <w:left w:val="single" w:sz="8" w:space="0" w:color="000000"/>
              <w:bottom w:val="single" w:sz="8" w:space="0" w:color="000000"/>
              <w:right w:val="single" w:sz="8" w:space="0" w:color="000000"/>
            </w:tcBorders>
            <w:shd w:val="clear" w:color="auto" w:fill="auto"/>
          </w:tcPr>
          <w:p w14:paraId="4E878E18" w14:textId="77777777" w:rsidR="000D09ED" w:rsidRPr="00F56ED2" w:rsidRDefault="000D09ED" w:rsidP="00F002AA">
            <w:pPr>
              <w:pStyle w:val="Zawartotabeli"/>
              <w:jc w:val="both"/>
              <w:rPr>
                <w:rFonts w:cs="Times New Roman"/>
                <w:sz w:val="20"/>
                <w:szCs w:val="20"/>
              </w:rPr>
            </w:pPr>
            <w:r w:rsidRPr="00F56ED2">
              <w:rPr>
                <w:rFonts w:cs="Times New Roman"/>
                <w:sz w:val="20"/>
                <w:szCs w:val="20"/>
              </w:rPr>
              <w:t> </w:t>
            </w:r>
          </w:p>
        </w:tc>
      </w:tr>
    </w:tbl>
    <w:p w14:paraId="445E96CE" w14:textId="31919297" w:rsidR="000D09ED" w:rsidRDefault="000D09ED" w:rsidP="0012657C">
      <w:pPr>
        <w:jc w:val="both"/>
        <w:rPr>
          <w:rFonts w:ascii="Times New Roman" w:hAnsi="Times New Roman" w:cs="Times New Roman"/>
          <w:sz w:val="24"/>
          <w:szCs w:val="24"/>
        </w:rPr>
      </w:pPr>
    </w:p>
    <w:p w14:paraId="52D14BAA" w14:textId="77777777"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rPr>
        <w:t>3. Dotyczy Rozdziału II Instrukcji dla Wykonawców par.3 ust.1:</w:t>
      </w:r>
    </w:p>
    <w:p w14:paraId="42509A2A"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Zamawiający zawarł zapis, aby osoby wykonujące w zakresie zamówienia czynności przyjmowania oraz dostarczania przesyłek były zatrudnione na podstawie umowy o pracę, nie określając procentowego wymogu osób pracujących na umowę o pracę. Z przytoczonego przepisu wynika, że zamawiający wymaga, aby 100% pracowników Wykonawcy było zatrudnionych na umowę o pracę. Wykonawca informuje, że w przypadku zatrudniania około 80 tyś. pracowników nie jest w stanie spełnić tego warunku.</w:t>
      </w:r>
    </w:p>
    <w:p w14:paraId="29371C32"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Na podstawie powyższego Wykonawca mając na uwadze rotację pracowników i braki kadrowe (spowodowane również pandemią Covid-19), uzupełniane pracownikami agencji pracy tymczasowej nie jest w stanie zagwarantować 100% osób zatrudnionych na umowę o pracę i wnioskuje o ustalenie poziomu zatrudnienia na 60%. Czy Zamawiający dopuszcza wniosek Wnioskodawcy o poziomie zatrudnienia na podstawie umowy o pracę na poziomie 60%?</w:t>
      </w:r>
    </w:p>
    <w:p w14:paraId="318A299F" w14:textId="007F9026" w:rsidR="00C70469" w:rsidRPr="0012657C" w:rsidRDefault="00C70469" w:rsidP="0012657C">
      <w:pPr>
        <w:jc w:val="both"/>
        <w:rPr>
          <w:rFonts w:ascii="Times New Roman" w:hAnsi="Times New Roman" w:cs="Times New Roman"/>
          <w:color w:val="000000"/>
          <w:sz w:val="24"/>
          <w:szCs w:val="24"/>
        </w:rPr>
      </w:pPr>
      <w:r w:rsidRPr="0012657C">
        <w:rPr>
          <w:rFonts w:ascii="Times New Roman" w:hAnsi="Times New Roman" w:cs="Times New Roman"/>
          <w:sz w:val="24"/>
          <w:szCs w:val="24"/>
        </w:rPr>
        <w:t>ODPOWIEDŹ:</w:t>
      </w:r>
      <w:r w:rsidR="00814147">
        <w:rPr>
          <w:rFonts w:ascii="Times New Roman" w:hAnsi="Times New Roman" w:cs="Times New Roman"/>
          <w:sz w:val="24"/>
          <w:szCs w:val="24"/>
        </w:rPr>
        <w:t xml:space="preserve"> </w:t>
      </w:r>
      <w:r w:rsidR="008C3122" w:rsidRPr="0012657C">
        <w:rPr>
          <w:rFonts w:ascii="Times New Roman" w:hAnsi="Times New Roman" w:cs="Times New Roman"/>
          <w:color w:val="000000"/>
          <w:sz w:val="24"/>
          <w:szCs w:val="24"/>
        </w:rPr>
        <w:t>Zamawiający dopuszcza wniosek W</w:t>
      </w:r>
      <w:r w:rsidR="007E1503">
        <w:rPr>
          <w:rFonts w:ascii="Times New Roman" w:hAnsi="Times New Roman" w:cs="Times New Roman"/>
          <w:color w:val="000000"/>
          <w:sz w:val="24"/>
          <w:szCs w:val="24"/>
        </w:rPr>
        <w:t xml:space="preserve">nioskodawcy </w:t>
      </w:r>
      <w:r w:rsidR="008C3122" w:rsidRPr="0012657C">
        <w:rPr>
          <w:rFonts w:ascii="Times New Roman" w:hAnsi="Times New Roman" w:cs="Times New Roman"/>
          <w:color w:val="000000"/>
          <w:sz w:val="24"/>
          <w:szCs w:val="24"/>
        </w:rPr>
        <w:t>o zatrudnieni</w:t>
      </w:r>
      <w:r w:rsidR="002A442E" w:rsidRPr="0012657C">
        <w:rPr>
          <w:rFonts w:ascii="Times New Roman" w:hAnsi="Times New Roman" w:cs="Times New Roman"/>
          <w:color w:val="000000"/>
          <w:sz w:val="24"/>
          <w:szCs w:val="24"/>
        </w:rPr>
        <w:t>u</w:t>
      </w:r>
      <w:r w:rsidR="008C3122" w:rsidRPr="0012657C">
        <w:rPr>
          <w:rFonts w:ascii="Times New Roman" w:hAnsi="Times New Roman" w:cs="Times New Roman"/>
          <w:color w:val="000000"/>
          <w:sz w:val="24"/>
          <w:szCs w:val="24"/>
        </w:rPr>
        <w:t xml:space="preserve"> </w:t>
      </w:r>
      <w:r w:rsidR="002A442E" w:rsidRPr="0012657C">
        <w:rPr>
          <w:rFonts w:ascii="Times New Roman" w:hAnsi="Times New Roman" w:cs="Times New Roman"/>
          <w:color w:val="000000"/>
          <w:sz w:val="24"/>
          <w:szCs w:val="24"/>
        </w:rPr>
        <w:t xml:space="preserve">przez Wykonawcę osób </w:t>
      </w:r>
      <w:r w:rsidR="008C3122" w:rsidRPr="0012657C">
        <w:rPr>
          <w:rFonts w:ascii="Times New Roman" w:hAnsi="Times New Roman" w:cs="Times New Roman"/>
          <w:color w:val="000000"/>
          <w:sz w:val="24"/>
          <w:szCs w:val="24"/>
        </w:rPr>
        <w:t xml:space="preserve">na </w:t>
      </w:r>
      <w:r w:rsidR="002A442E" w:rsidRPr="0012657C">
        <w:rPr>
          <w:rFonts w:ascii="Times New Roman" w:hAnsi="Times New Roman" w:cs="Times New Roman"/>
          <w:color w:val="000000"/>
          <w:sz w:val="24"/>
          <w:szCs w:val="24"/>
        </w:rPr>
        <w:t>podstawie umowy o pracę na poziomie 60%.</w:t>
      </w:r>
    </w:p>
    <w:p w14:paraId="617E4511" w14:textId="31735B81"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rPr>
        <w:t>4. Dotyczy Rozdziału II Instrukcji dla Wykonawców par.3 ust.2, 3, 4:</w:t>
      </w:r>
    </w:p>
    <w:p w14:paraId="442C84E0"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Zamawiający wnosi o wykreślenie zapisów, gdyż przekazywanie zamawiającemu kopii umów o pracę osób zatrudnionych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zamówienia na usługi. </w:t>
      </w:r>
    </w:p>
    <w:p w14:paraId="7AF26E32"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Dostęp do informacji stanowiących dane osobowe nie jest bowiem niezbędny dla weryfikacji spełnienia określonych warunków przez Wykonawcę.</w:t>
      </w:r>
    </w:p>
    <w:p w14:paraId="417A78CA"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W opinii Generalnego Inspektora Ochrony Danych Osobowych dla realizacji tego celu wystarczające byłoby przedstawienie przez Wykonawcę stosownych oświadczeń. Dla Zamawiającego nie jest bowiem istotne kto konkretnie zatrudniony jest u wykonawcy na podstawie umowy o pracę, a jedynie sam fakt zatrudniania osób w takiej formie – dla potwierdzenia, którego nie jest konieczna Zamawiającemu znajomość imion, nazwisk i adresów pracowników czy wymiaru etatu.</w:t>
      </w:r>
    </w:p>
    <w:p w14:paraId="1278A458"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Natomiast w przypadku wątpliwości w zakresie spełnienia warunków zatrudnienia na podstawie umowy o pracę, Zamawiający posiada uprawnienia zgłoszenia tego faktu do </w:t>
      </w:r>
      <w:r w:rsidRPr="0012657C">
        <w:rPr>
          <w:rFonts w:ascii="Times New Roman" w:hAnsi="Times New Roman" w:cs="Times New Roman"/>
          <w:color w:val="000000"/>
          <w:sz w:val="24"/>
          <w:szCs w:val="24"/>
        </w:rPr>
        <w:lastRenderedPageBreak/>
        <w:t xml:space="preserve">Państwowej Inspekcji Pracy, która jest właściwym organem do przeprowadzania kontroli w tym zakresie.      </w:t>
      </w:r>
    </w:p>
    <w:p w14:paraId="394577F8"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Wykonawca wnosi, aby zamawiający uznał wymóg za spełniony w przypadku oświadczenia przez Wykonawcę, że spełnia wymóg zatrudnienia osób na umowę o pracę na poziomie 60%.</w:t>
      </w:r>
    </w:p>
    <w:p w14:paraId="137F0C67" w14:textId="757BEE30" w:rsidR="00945426" w:rsidRDefault="00945426"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ODPOWIEDŹ:</w:t>
      </w:r>
      <w:r w:rsidR="00814147">
        <w:rPr>
          <w:rFonts w:ascii="Times New Roman" w:hAnsi="Times New Roman" w:cs="Times New Roman"/>
          <w:color w:val="000000"/>
          <w:sz w:val="24"/>
          <w:szCs w:val="24"/>
        </w:rPr>
        <w:t xml:space="preserve"> </w:t>
      </w:r>
      <w:r w:rsidRPr="0012657C">
        <w:rPr>
          <w:rFonts w:ascii="Times New Roman" w:hAnsi="Times New Roman" w:cs="Times New Roman"/>
          <w:color w:val="000000"/>
          <w:sz w:val="24"/>
          <w:szCs w:val="24"/>
        </w:rPr>
        <w:t>Zamawiający nie wyraża zgody na wykreślenie zapisów jak we wniosku W</w:t>
      </w:r>
      <w:r w:rsidR="007E1503">
        <w:rPr>
          <w:rFonts w:ascii="Times New Roman" w:hAnsi="Times New Roman" w:cs="Times New Roman"/>
          <w:color w:val="000000"/>
          <w:sz w:val="24"/>
          <w:szCs w:val="24"/>
        </w:rPr>
        <w:t>nioskodawcy</w:t>
      </w:r>
      <w:r w:rsidRPr="0012657C">
        <w:rPr>
          <w:rFonts w:ascii="Times New Roman" w:hAnsi="Times New Roman" w:cs="Times New Roman"/>
          <w:color w:val="000000"/>
          <w:sz w:val="24"/>
          <w:szCs w:val="24"/>
        </w:rPr>
        <w:t>.</w:t>
      </w:r>
    </w:p>
    <w:p w14:paraId="7289649D" w14:textId="77777777"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rPr>
        <w:t>5. Dotyczy Rozdziału II Instrukcji dla Wykonawców par. 3 pkt.9:</w:t>
      </w:r>
    </w:p>
    <w:p w14:paraId="1BE5D240" w14:textId="00101DDE"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b/>
          <w:bCs/>
          <w:sz w:val="24"/>
          <w:szCs w:val="24"/>
        </w:rPr>
        <w:t>a)</w:t>
      </w:r>
      <w:r w:rsidRPr="0012657C">
        <w:rPr>
          <w:rFonts w:ascii="Times New Roman" w:hAnsi="Times New Roman" w:cs="Times New Roman"/>
          <w:sz w:val="24"/>
          <w:szCs w:val="24"/>
        </w:rPr>
        <w:t xml:space="preserve"> Czy Zamawiający oznaczając w sposób trwały  i czytelny informacje określające rodzaj i znak opłaty, dopuszcza umieszczanie na kopercie dodatkowych oznaczeń przesyłek (np. literą F)?</w:t>
      </w:r>
    </w:p>
    <w:p w14:paraId="05566B53" w14:textId="372DAD98" w:rsidR="00945426" w:rsidRPr="0012657C" w:rsidRDefault="00945426" w:rsidP="0012657C">
      <w:pPr>
        <w:jc w:val="both"/>
        <w:rPr>
          <w:rFonts w:ascii="Times New Roman" w:hAnsi="Times New Roman" w:cs="Times New Roman"/>
          <w:sz w:val="24"/>
          <w:szCs w:val="24"/>
        </w:rPr>
      </w:pPr>
      <w:r w:rsidRPr="0012657C">
        <w:rPr>
          <w:rFonts w:ascii="Times New Roman" w:hAnsi="Times New Roman" w:cs="Times New Roman"/>
          <w:sz w:val="24"/>
          <w:szCs w:val="24"/>
        </w:rPr>
        <w:t>ODPOWIEDŹ: Zamawiający dopuszcza umieszczanie na kopercie dodatkowych oznaczeń.</w:t>
      </w:r>
    </w:p>
    <w:p w14:paraId="5ABF946D" w14:textId="6E69624E" w:rsidR="005F7D31" w:rsidRPr="0012657C" w:rsidRDefault="005F7D31" w:rsidP="0012657C">
      <w:pPr>
        <w:autoSpaceDE w:val="0"/>
        <w:autoSpaceDN w:val="0"/>
        <w:jc w:val="both"/>
        <w:rPr>
          <w:rFonts w:ascii="Times New Roman" w:hAnsi="Times New Roman" w:cs="Times New Roman"/>
          <w:b/>
          <w:bCs/>
          <w:color w:val="000000"/>
          <w:sz w:val="24"/>
          <w:szCs w:val="24"/>
        </w:rPr>
      </w:pPr>
      <w:r w:rsidRPr="0012657C">
        <w:rPr>
          <w:rFonts w:ascii="Times New Roman" w:hAnsi="Times New Roman" w:cs="Times New Roman"/>
          <w:b/>
          <w:bCs/>
          <w:color w:val="000000"/>
          <w:sz w:val="24"/>
          <w:szCs w:val="24"/>
        </w:rPr>
        <w:t>b)</w:t>
      </w:r>
      <w:r w:rsidRPr="0012657C">
        <w:rPr>
          <w:rFonts w:ascii="Times New Roman" w:hAnsi="Times New Roman" w:cs="Times New Roman"/>
          <w:color w:val="000000"/>
          <w:sz w:val="24"/>
          <w:szCs w:val="24"/>
        </w:rPr>
        <w:t xml:space="preserve"> Ponadto, czy Zamawiający wyraża zgodę na sytuację, w której część przesyłek zostanie nadana przez inny podmiot w imieniu i na rzecz Zamawiającego, w wyniku czego na przesyłkach listowych lub dowodzie nadania przesyłek będzie figurował inny podmiot niż Zamawiający </w:t>
      </w:r>
      <w:r w:rsidRPr="0012657C">
        <w:rPr>
          <w:rFonts w:ascii="Times New Roman" w:hAnsi="Times New Roman" w:cs="Times New Roman"/>
          <w:b/>
          <w:bCs/>
          <w:color w:val="000000"/>
          <w:sz w:val="24"/>
          <w:szCs w:val="24"/>
        </w:rPr>
        <w:t>(</w:t>
      </w:r>
      <w:r w:rsidRPr="0012657C">
        <w:rPr>
          <w:rFonts w:ascii="Times New Roman" w:hAnsi="Times New Roman" w:cs="Times New Roman"/>
          <w:b/>
          <w:bCs/>
          <w:color w:val="000000"/>
          <w:sz w:val="24"/>
          <w:szCs w:val="24"/>
          <w:u w:val="single"/>
        </w:rPr>
        <w:t>na kopercie wraz z danymi Zamawiającego będą dodatkowo dane podmiotu realizującego usługę na rzecz Zamawiającego</w:t>
      </w:r>
      <w:r w:rsidRPr="0012657C">
        <w:rPr>
          <w:rFonts w:ascii="Times New Roman" w:hAnsi="Times New Roman" w:cs="Times New Roman"/>
          <w:b/>
          <w:bCs/>
          <w:color w:val="000000"/>
          <w:sz w:val="24"/>
          <w:szCs w:val="24"/>
        </w:rPr>
        <w:t>)?</w:t>
      </w:r>
    </w:p>
    <w:p w14:paraId="5BED2C1E" w14:textId="20D02071" w:rsidR="00945426" w:rsidRPr="0012657C" w:rsidRDefault="00945426" w:rsidP="0012657C">
      <w:pPr>
        <w:autoSpaceDE w:val="0"/>
        <w:autoSpaceDN w:val="0"/>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ODPOWIEDŹ: Zamawiający wyraża zgod</w:t>
      </w:r>
      <w:r w:rsidR="0012657C">
        <w:rPr>
          <w:rFonts w:ascii="Times New Roman" w:hAnsi="Times New Roman" w:cs="Times New Roman"/>
          <w:color w:val="000000"/>
          <w:sz w:val="24"/>
          <w:szCs w:val="24"/>
        </w:rPr>
        <w:t>ę</w:t>
      </w:r>
      <w:r w:rsidRPr="0012657C">
        <w:rPr>
          <w:rFonts w:ascii="Times New Roman" w:hAnsi="Times New Roman" w:cs="Times New Roman"/>
          <w:color w:val="000000"/>
          <w:sz w:val="24"/>
          <w:szCs w:val="24"/>
        </w:rPr>
        <w:t xml:space="preserve"> na powyższą sytuację</w:t>
      </w:r>
      <w:r w:rsidR="000D09ED">
        <w:rPr>
          <w:rFonts w:ascii="Times New Roman" w:hAnsi="Times New Roman" w:cs="Times New Roman"/>
          <w:color w:val="000000"/>
          <w:sz w:val="24"/>
          <w:szCs w:val="24"/>
        </w:rPr>
        <w:t xml:space="preserve"> zgodnie z wnioskiem Wnioskodawcy.</w:t>
      </w:r>
    </w:p>
    <w:p w14:paraId="02ADF5C3" w14:textId="37CC8E64"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b/>
          <w:bCs/>
          <w:sz w:val="24"/>
          <w:szCs w:val="24"/>
        </w:rPr>
        <w:t>c)</w:t>
      </w:r>
      <w:r w:rsidRPr="0012657C">
        <w:rPr>
          <w:rFonts w:ascii="Times New Roman" w:hAnsi="Times New Roman" w:cs="Times New Roman"/>
          <w:sz w:val="24"/>
          <w:szCs w:val="24"/>
        </w:rPr>
        <w:t xml:space="preserve"> Czy Zamawiający, w przypadku dopuszczenia możliwości nadawania przesyłek przez operatora pocztowego w imieniu i na rzecz Zamawiającego, jest świadomy, iż faktycznie nadawcą przesyłek będzie wówczas operator pocztowy, a nie Zamawiający? Powyższe może budzić wątpliwości adresatów przesyłek oraz organów, którym Zamawiający będzie przedstawiał dowody nadania korespondencji.</w:t>
      </w:r>
    </w:p>
    <w:p w14:paraId="3D7F6CB1" w14:textId="214C6A52" w:rsidR="00945426" w:rsidRPr="0012657C" w:rsidRDefault="00F539A0" w:rsidP="0012657C">
      <w:pPr>
        <w:jc w:val="both"/>
        <w:rPr>
          <w:rFonts w:ascii="Times New Roman" w:hAnsi="Times New Roman" w:cs="Times New Roman"/>
          <w:sz w:val="24"/>
          <w:szCs w:val="24"/>
        </w:rPr>
      </w:pPr>
      <w:r w:rsidRPr="0012657C">
        <w:rPr>
          <w:rFonts w:ascii="Times New Roman" w:hAnsi="Times New Roman" w:cs="Times New Roman"/>
          <w:sz w:val="24"/>
          <w:szCs w:val="24"/>
        </w:rPr>
        <w:t>ODPOWIEDŹ:</w:t>
      </w:r>
      <w:r w:rsidR="0012657C">
        <w:rPr>
          <w:rFonts w:ascii="Times New Roman" w:hAnsi="Times New Roman" w:cs="Times New Roman"/>
          <w:sz w:val="24"/>
          <w:szCs w:val="24"/>
        </w:rPr>
        <w:t xml:space="preserve"> Zamawiający jest świadomy i wyraża zgodę</w:t>
      </w:r>
      <w:r w:rsidRPr="0012657C">
        <w:rPr>
          <w:rFonts w:ascii="Times New Roman" w:hAnsi="Times New Roman" w:cs="Times New Roman"/>
          <w:sz w:val="24"/>
          <w:szCs w:val="24"/>
        </w:rPr>
        <w:t>.</w:t>
      </w:r>
    </w:p>
    <w:p w14:paraId="66B9FD59" w14:textId="4BC1292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b/>
          <w:bCs/>
          <w:sz w:val="24"/>
          <w:szCs w:val="24"/>
        </w:rPr>
        <w:t>d)</w:t>
      </w:r>
      <w:r w:rsidRPr="0012657C">
        <w:rPr>
          <w:rFonts w:ascii="Times New Roman" w:hAnsi="Times New Roman" w:cs="Times New Roman"/>
          <w:sz w:val="24"/>
          <w:szCs w:val="24"/>
        </w:rPr>
        <w:t xml:space="preserve"> 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w:t>
      </w:r>
      <w:r w:rsidRPr="0012657C">
        <w:rPr>
          <w:rFonts w:ascii="Times New Roman" w:hAnsi="Times New Roman" w:cs="Times New Roman"/>
          <w:sz w:val="24"/>
          <w:szCs w:val="24"/>
        </w:rPr>
        <w:lastRenderedPageBreak/>
        <w:t>związane    ze zwrotem przesyłki operator ten może żądać uiszczenia opłaty w wysokości określonej w cenniku usług pocztowych albo w cenniku usług powszechnych albo umowie.</w:t>
      </w:r>
    </w:p>
    <w:p w14:paraId="40D8FCF8" w14:textId="15CBA1AE" w:rsidR="00F539A0" w:rsidRPr="0012657C" w:rsidRDefault="00F539A0" w:rsidP="0012657C">
      <w:pPr>
        <w:autoSpaceDE w:val="0"/>
        <w:autoSpaceDN w:val="0"/>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ODPOWIEDŹ:</w:t>
      </w:r>
      <w:r w:rsidR="0012657C">
        <w:rPr>
          <w:rFonts w:ascii="Times New Roman" w:hAnsi="Times New Roman" w:cs="Times New Roman"/>
          <w:color w:val="000000"/>
          <w:sz w:val="24"/>
          <w:szCs w:val="24"/>
        </w:rPr>
        <w:t xml:space="preserve"> Zamawiający uwzględnił powyższe i wyraża zgodę</w:t>
      </w:r>
      <w:r w:rsidRPr="0012657C">
        <w:rPr>
          <w:rFonts w:ascii="Times New Roman" w:hAnsi="Times New Roman" w:cs="Times New Roman"/>
          <w:color w:val="000000"/>
          <w:sz w:val="24"/>
          <w:szCs w:val="24"/>
        </w:rPr>
        <w:t>.</w:t>
      </w:r>
    </w:p>
    <w:p w14:paraId="0839326E"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b/>
          <w:bCs/>
          <w:color w:val="000000"/>
          <w:sz w:val="24"/>
          <w:szCs w:val="24"/>
        </w:rPr>
        <w:t xml:space="preserve">e) </w:t>
      </w:r>
      <w:r w:rsidRPr="0012657C">
        <w:rPr>
          <w:rFonts w:ascii="Times New Roman" w:hAnsi="Times New Roman" w:cs="Times New Roman"/>
          <w:sz w:val="24"/>
          <w:szCs w:val="24"/>
        </w:rPr>
        <w:t>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14:paraId="15504A14"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w:t>
      </w:r>
    </w:p>
    <w:p w14:paraId="4436A9DF"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w:t>
      </w:r>
    </w:p>
    <w:p w14:paraId="001FAA3B"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Istotna w przedmiotowej sprawie jest również regulacja ust. 2- zgodnie, z którą w umowie o współpracę operatorzy pocztowi określają w szczególności:</w:t>
      </w:r>
    </w:p>
    <w:p w14:paraId="59D24138"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1) zakres współpracy;</w:t>
      </w:r>
    </w:p>
    <w:p w14:paraId="721CEC7D"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2) wynagrodzenie za wykonane przez operatora pocztowego czynności związane z realizacją umowy;</w:t>
      </w:r>
    </w:p>
    <w:p w14:paraId="5AA97C42"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3) zakres i sposób przekazywania informacji w sprawie zabezpieczenia przesyłek pocztowych w celu zapewnienia bezpieczeństwa obrotu pocztowego oraz zatrzymania i zabezpieczenia przesyłek pocztowych w przypadkach, o których mowa w art. 36;</w:t>
      </w:r>
    </w:p>
    <w:p w14:paraId="3310CBC4"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4) zasady przekazywania operatorowi pocztowemu, który zawarł z nadawcą umowę o świadczenie usługi pocztowej, przesyłek niedoręczalnych oraz przesyłek pocztowych, których dotyczy prawo zastawu;</w:t>
      </w:r>
    </w:p>
    <w:p w14:paraId="2665E53D"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5) zasady przekazywania przesyłek pocztowych zwróconych z powodu niewłaściwego doręczenia do oddawczej skrzynki pocztowej;</w:t>
      </w:r>
    </w:p>
    <w:p w14:paraId="2E181021"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6) terminy wykonania przez operatora pocztowego czynności określonych w umowie;</w:t>
      </w:r>
    </w:p>
    <w:p w14:paraId="6C2F99F4" w14:textId="7777777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7) zasady odpowiedzialności za naruszenie warunków umowy.</w:t>
      </w:r>
    </w:p>
    <w:p w14:paraId="793208EB" w14:textId="107FA0B7"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w:t>
      </w:r>
      <w:r w:rsidRPr="0012657C">
        <w:rPr>
          <w:rFonts w:ascii="Times New Roman" w:hAnsi="Times New Roman" w:cs="Times New Roman"/>
          <w:sz w:val="24"/>
          <w:szCs w:val="24"/>
        </w:rPr>
        <w:lastRenderedPageBreak/>
        <w:t>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w:t>
      </w:r>
    </w:p>
    <w:p w14:paraId="0F8D1323" w14:textId="26F49833" w:rsidR="005F7D31" w:rsidRPr="0012657C" w:rsidRDefault="005F7D31" w:rsidP="0012657C">
      <w:pPr>
        <w:jc w:val="both"/>
        <w:rPr>
          <w:rFonts w:ascii="Times New Roman" w:hAnsi="Times New Roman" w:cs="Times New Roman"/>
          <w:sz w:val="24"/>
          <w:szCs w:val="24"/>
        </w:rPr>
      </w:pPr>
      <w:r w:rsidRPr="0012657C">
        <w:rPr>
          <w:rFonts w:ascii="Times New Roman" w:hAnsi="Times New Roman" w:cs="Times New Roman"/>
          <w:sz w:val="24"/>
          <w:szCs w:val="24"/>
        </w:rPr>
        <w:t>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w:t>
      </w:r>
    </w:p>
    <w:p w14:paraId="4A62CC00" w14:textId="74018CA3" w:rsidR="00F539A0" w:rsidRPr="0012657C" w:rsidRDefault="00F539A0" w:rsidP="0012657C">
      <w:pPr>
        <w:autoSpaceDE w:val="0"/>
        <w:autoSpaceDN w:val="0"/>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ODPOWIEDŹ: Zamawiający wyraż</w:t>
      </w:r>
      <w:r w:rsidR="0012657C">
        <w:rPr>
          <w:rFonts w:ascii="Times New Roman" w:hAnsi="Times New Roman" w:cs="Times New Roman"/>
          <w:color w:val="000000"/>
          <w:sz w:val="24"/>
          <w:szCs w:val="24"/>
        </w:rPr>
        <w:t>a</w:t>
      </w:r>
      <w:r w:rsidRPr="0012657C">
        <w:rPr>
          <w:rFonts w:ascii="Times New Roman" w:hAnsi="Times New Roman" w:cs="Times New Roman"/>
          <w:color w:val="000000"/>
          <w:sz w:val="24"/>
          <w:szCs w:val="24"/>
        </w:rPr>
        <w:t xml:space="preserve"> zgod</w:t>
      </w:r>
      <w:r w:rsidR="0012657C">
        <w:rPr>
          <w:rFonts w:ascii="Times New Roman" w:hAnsi="Times New Roman" w:cs="Times New Roman"/>
          <w:color w:val="000000"/>
          <w:sz w:val="24"/>
          <w:szCs w:val="24"/>
        </w:rPr>
        <w:t>ę</w:t>
      </w:r>
      <w:r w:rsidRPr="0012657C">
        <w:rPr>
          <w:rFonts w:ascii="Times New Roman" w:hAnsi="Times New Roman" w:cs="Times New Roman"/>
          <w:color w:val="000000"/>
          <w:sz w:val="24"/>
          <w:szCs w:val="24"/>
        </w:rPr>
        <w:t xml:space="preserve"> na powyższą sytuację. </w:t>
      </w:r>
    </w:p>
    <w:p w14:paraId="27F91450" w14:textId="77777777"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rPr>
        <w:t>6. Dotyczy Rozdziału II Instrukcji dla Wykonawców par. 3 pkt.10:</w:t>
      </w:r>
    </w:p>
    <w:p w14:paraId="198D19B5"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Wykonawca wnosi o doprecyzowanie zapisu, co Zamawiający rozumie pod stwierdzeniem "określając jednocześnie rodzaj przesyłki oraz znak opłaty".</w:t>
      </w:r>
    </w:p>
    <w:p w14:paraId="551FE3A8" w14:textId="54720F96" w:rsidR="005F7D31" w:rsidRPr="0012657C" w:rsidRDefault="007E19EA" w:rsidP="0012657C">
      <w:pPr>
        <w:jc w:val="both"/>
        <w:rPr>
          <w:rFonts w:ascii="Times New Roman" w:hAnsi="Times New Roman" w:cs="Times New Roman"/>
          <w:sz w:val="24"/>
          <w:szCs w:val="24"/>
          <w:u w:val="single"/>
        </w:rPr>
      </w:pPr>
      <w:r w:rsidRPr="0012657C">
        <w:rPr>
          <w:rFonts w:ascii="Times New Roman" w:hAnsi="Times New Roman" w:cs="Times New Roman"/>
          <w:color w:val="000000"/>
          <w:sz w:val="24"/>
          <w:szCs w:val="24"/>
        </w:rPr>
        <w:t>ODPOWIEDŹ: Zamawiający</w:t>
      </w:r>
      <w:r>
        <w:rPr>
          <w:rFonts w:ascii="Times New Roman" w:hAnsi="Times New Roman" w:cs="Times New Roman"/>
          <w:color w:val="000000"/>
          <w:sz w:val="24"/>
          <w:szCs w:val="24"/>
        </w:rPr>
        <w:t xml:space="preserve"> wymaga, aby na </w:t>
      </w:r>
      <w:r w:rsidR="007E1503">
        <w:rPr>
          <w:rFonts w:ascii="Times New Roman" w:hAnsi="Times New Roman" w:cs="Times New Roman"/>
          <w:color w:val="000000"/>
          <w:sz w:val="24"/>
          <w:szCs w:val="24"/>
        </w:rPr>
        <w:t xml:space="preserve">doręczanych </w:t>
      </w:r>
      <w:r>
        <w:rPr>
          <w:rFonts w:ascii="Times New Roman" w:hAnsi="Times New Roman" w:cs="Times New Roman"/>
          <w:color w:val="000000"/>
          <w:sz w:val="24"/>
          <w:szCs w:val="24"/>
        </w:rPr>
        <w:t xml:space="preserve">przesyłkach </w:t>
      </w:r>
      <w:r w:rsidR="007E1503">
        <w:rPr>
          <w:rFonts w:ascii="Times New Roman" w:hAnsi="Times New Roman" w:cs="Times New Roman"/>
          <w:color w:val="000000"/>
          <w:sz w:val="24"/>
          <w:szCs w:val="24"/>
        </w:rPr>
        <w:t>zamieszczana była informacja o rodzaju przesyłki (np. list polecony) oraz informacja wskazująca, że opłata za przesyłkę została pobrana.</w:t>
      </w:r>
    </w:p>
    <w:p w14:paraId="436D98FF" w14:textId="77777777" w:rsidR="005F7D31" w:rsidRPr="0012657C" w:rsidRDefault="005F7D31" w:rsidP="0012657C">
      <w:pPr>
        <w:jc w:val="both"/>
        <w:rPr>
          <w:rFonts w:ascii="Times New Roman" w:hAnsi="Times New Roman" w:cs="Times New Roman"/>
          <w:b/>
          <w:bCs/>
          <w:color w:val="000000"/>
          <w:sz w:val="24"/>
          <w:szCs w:val="24"/>
          <w:u w:val="single"/>
        </w:rPr>
      </w:pPr>
      <w:r w:rsidRPr="0012657C">
        <w:rPr>
          <w:rFonts w:ascii="Times New Roman" w:hAnsi="Times New Roman" w:cs="Times New Roman"/>
          <w:b/>
          <w:bCs/>
          <w:color w:val="000000"/>
          <w:sz w:val="24"/>
          <w:szCs w:val="24"/>
          <w:u w:val="single"/>
          <w:shd w:val="clear" w:color="auto" w:fill="FFFFFF"/>
        </w:rPr>
        <w:t xml:space="preserve">7. Dotyczy Rozdziału II Instrukcji dla Wykonawców par. 3 ust.11: </w:t>
      </w:r>
    </w:p>
    <w:p w14:paraId="5E9336DE"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shd w:val="clear" w:color="auto" w:fill="FFFFFF"/>
        </w:rPr>
        <w:t xml:space="preserve">Zamawiający określił, że „nadanie przesyłek pocztowych będzie następować w dniu ich dostarczenia do wykonawcy". </w:t>
      </w:r>
    </w:p>
    <w:p w14:paraId="50ACC062" w14:textId="77777777" w:rsidR="005F7D31" w:rsidRPr="0012657C"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shd w:val="clear" w:color="auto" w:fill="FFFFFF"/>
        </w:rPr>
        <w:t xml:space="preserve">Czy ze względu na wewnętrzne regulacje oraz zapisy regulaminu usługi obowiązującego u Wykonawcy, Zamawiający dopuszcza wprowadzenie wskazanego zapisu w następującym brzmieniu: „nadanie przesyłek objętych przedmiotem zamówienia następować będzie w dniu ich przekazania przez Zamawiającego. W przypadku zastrzeżeń dotyczących odebranych przesyłek, Wykonawca wyjaśnia je z Zamawiającym. Przy braku możliwości ich wyjaśnienia </w:t>
      </w:r>
      <w:r w:rsidRPr="0012657C">
        <w:rPr>
          <w:rFonts w:ascii="Times New Roman" w:hAnsi="Times New Roman" w:cs="Times New Roman"/>
          <w:color w:val="000000"/>
          <w:sz w:val="24"/>
          <w:szCs w:val="24"/>
          <w:shd w:val="clear" w:color="auto" w:fill="FFFFFF"/>
        </w:rPr>
        <w:lastRenderedPageBreak/>
        <w:t xml:space="preserve">z Zamawiającym lub ich usunięcia w dniu ich nadania, nadanie takich przesyłek nastąpi w następnym dniu roboczym lub w dniu usunięcia zastrzeżeń"? </w:t>
      </w:r>
    </w:p>
    <w:p w14:paraId="1A76DF9F" w14:textId="75911ACC" w:rsidR="00BC01E3" w:rsidRPr="0012657C" w:rsidRDefault="00F539A0" w:rsidP="00814147">
      <w:pPr>
        <w:pStyle w:val="Default"/>
        <w:spacing w:line="276" w:lineRule="auto"/>
        <w:jc w:val="both"/>
      </w:pPr>
      <w:r w:rsidRPr="0012657C">
        <w:t xml:space="preserve">ODPOWIEDŹ: </w:t>
      </w:r>
      <w:r w:rsidR="00BC01E3" w:rsidRPr="0012657C">
        <w:t>Zamawiający wyraża zgodę na zmianę zapisu w § 3 ust. 11 Instrukcji dla wykonawców zgodnie z wnioskiem W</w:t>
      </w:r>
      <w:r w:rsidR="007E1503">
        <w:t>nioskodawcy</w:t>
      </w:r>
      <w:r w:rsidR="00BC01E3" w:rsidRPr="0012657C">
        <w:t>.</w:t>
      </w:r>
    </w:p>
    <w:p w14:paraId="51A1A933" w14:textId="50160517" w:rsidR="00BC01E3" w:rsidRPr="0012657C" w:rsidRDefault="00BC01E3" w:rsidP="0012657C">
      <w:pPr>
        <w:pStyle w:val="Default"/>
        <w:spacing w:line="276" w:lineRule="auto"/>
        <w:jc w:val="both"/>
        <w:rPr>
          <w:b/>
        </w:rPr>
      </w:pPr>
      <w:r w:rsidRPr="0012657C">
        <w:rPr>
          <w:b/>
        </w:rPr>
        <w:t>Wobec powyższego § 3 ust. 11 Instrukcji dla wykonawców otrzymuje brzmienie:</w:t>
      </w:r>
    </w:p>
    <w:p w14:paraId="30E1340E" w14:textId="06770539" w:rsidR="00F539A0" w:rsidRPr="0012657C" w:rsidRDefault="007E19EA" w:rsidP="0012657C">
      <w:pPr>
        <w:autoSpaceDE w:val="0"/>
        <w:autoSpaceDN w:val="0"/>
        <w:jc w:val="both"/>
        <w:rPr>
          <w:rFonts w:ascii="Times New Roman" w:hAnsi="Times New Roman" w:cs="Times New Roman"/>
          <w:color w:val="000000"/>
          <w:sz w:val="24"/>
          <w:szCs w:val="24"/>
        </w:rPr>
      </w:pPr>
      <w:r w:rsidRPr="007E19EA">
        <w:rPr>
          <w:rFonts w:ascii="Times New Roman" w:hAnsi="Times New Roman" w:cs="Times New Roman"/>
          <w:sz w:val="24"/>
          <w:szCs w:val="18"/>
        </w:rPr>
        <w:t>„11. Nadanie przesyłek</w:t>
      </w:r>
      <w:r w:rsidRPr="007E19EA">
        <w:rPr>
          <w:sz w:val="24"/>
          <w:szCs w:val="18"/>
        </w:rPr>
        <w:t xml:space="preserve"> </w:t>
      </w:r>
      <w:r w:rsidRPr="0012657C">
        <w:rPr>
          <w:rFonts w:ascii="Times New Roman" w:hAnsi="Times New Roman" w:cs="Times New Roman"/>
          <w:color w:val="000000"/>
          <w:sz w:val="24"/>
          <w:szCs w:val="24"/>
          <w:shd w:val="clear" w:color="auto" w:fill="FFFFFF"/>
        </w:rPr>
        <w:t>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Pr>
          <w:rFonts w:ascii="Times New Roman" w:hAnsi="Times New Roman" w:cs="Times New Roman"/>
          <w:color w:val="000000"/>
          <w:sz w:val="24"/>
          <w:szCs w:val="24"/>
          <w:shd w:val="clear" w:color="auto" w:fill="FFFFFF"/>
        </w:rPr>
        <w:t>.”.</w:t>
      </w:r>
    </w:p>
    <w:p w14:paraId="2D2D5656"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b/>
          <w:bCs/>
          <w:color w:val="000000"/>
          <w:sz w:val="24"/>
          <w:szCs w:val="24"/>
          <w:u w:val="single"/>
          <w:shd w:val="clear" w:color="auto" w:fill="FFFFFF"/>
        </w:rPr>
        <w:t>8. Dotyczy Rozdziału II Instrukcji dla Wykonawców par. 3 ust.12</w:t>
      </w:r>
      <w:r w:rsidRPr="0012657C">
        <w:rPr>
          <w:rFonts w:ascii="Times New Roman" w:hAnsi="Times New Roman" w:cs="Times New Roman"/>
          <w:color w:val="000000"/>
          <w:sz w:val="24"/>
          <w:szCs w:val="24"/>
          <w:shd w:val="clear" w:color="auto" w:fill="FFFFFF"/>
        </w:rPr>
        <w:t xml:space="preserve">: </w:t>
      </w:r>
    </w:p>
    <w:p w14:paraId="3F55DC96" w14:textId="77777777" w:rsidR="005F7D31" w:rsidRPr="0012657C" w:rsidRDefault="005F7D31" w:rsidP="0012657C">
      <w:pPr>
        <w:jc w:val="both"/>
        <w:rPr>
          <w:rFonts w:ascii="Times New Roman" w:hAnsi="Times New Roman" w:cs="Times New Roman"/>
          <w:color w:val="002451"/>
          <w:sz w:val="24"/>
          <w:szCs w:val="24"/>
          <w:shd w:val="clear" w:color="auto" w:fill="FF8000"/>
        </w:rPr>
      </w:pPr>
      <w:r w:rsidRPr="0012657C">
        <w:rPr>
          <w:rFonts w:ascii="Times New Roman" w:hAnsi="Times New Roman" w:cs="Times New Roman"/>
          <w:color w:val="000000"/>
          <w:sz w:val="24"/>
          <w:szCs w:val="24"/>
          <w:shd w:val="clear" w:color="auto" w:fill="FFFFFF"/>
        </w:rPr>
        <w:t xml:space="preserve">Zamawiający wymaga, by usługa dostarczania przesyłek świadczona była na całym terytorium Rzeczypospolitej oraz poza jej granicami. </w:t>
      </w:r>
    </w:p>
    <w:p w14:paraId="5BFC3AEF" w14:textId="77777777" w:rsidR="005F7D31" w:rsidRPr="0012657C" w:rsidRDefault="005F7D31" w:rsidP="0012657C">
      <w:pPr>
        <w:jc w:val="both"/>
        <w:rPr>
          <w:rFonts w:ascii="Times New Roman" w:hAnsi="Times New Roman" w:cs="Times New Roman"/>
          <w:color w:val="002451"/>
          <w:sz w:val="24"/>
          <w:szCs w:val="24"/>
          <w:shd w:val="clear" w:color="auto" w:fill="FF8000"/>
        </w:rPr>
      </w:pPr>
      <w:r w:rsidRPr="0012657C">
        <w:rPr>
          <w:rFonts w:ascii="Times New Roman" w:hAnsi="Times New Roman" w:cs="Times New Roman"/>
          <w:color w:val="000000"/>
          <w:sz w:val="24"/>
          <w:szCs w:val="24"/>
          <w:shd w:val="clear" w:color="auto" w:fill="FFFFFF"/>
        </w:rPr>
        <w:t>Wykonawca wnosi o rozszerzenie zapisu o treść: „... z uwzględnieniem ograniczeń w obrocie z poszczególnymi krajami”.</w:t>
      </w:r>
    </w:p>
    <w:p w14:paraId="32839E6D" w14:textId="5D8D1382" w:rsidR="00BC01E3" w:rsidRPr="0012657C" w:rsidRDefault="00BC01E3" w:rsidP="00814147">
      <w:pPr>
        <w:pStyle w:val="Default"/>
        <w:spacing w:line="276" w:lineRule="auto"/>
        <w:jc w:val="both"/>
      </w:pPr>
      <w:r w:rsidRPr="0012657C">
        <w:t>ODPOWIEDŹ: Zamawiający wyraża zgodę na zmianę zapisu w § 3 ust. 12 Instrukcji dla wykonawców zgodnie z wnioskiem W</w:t>
      </w:r>
      <w:r w:rsidR="007E1503">
        <w:t>nioskodawcy</w:t>
      </w:r>
      <w:r w:rsidRPr="0012657C">
        <w:t>.</w:t>
      </w:r>
    </w:p>
    <w:p w14:paraId="7F500B22" w14:textId="08833B9D" w:rsidR="00BC01E3" w:rsidRPr="0012657C" w:rsidRDefault="00BC01E3" w:rsidP="0012657C">
      <w:pPr>
        <w:pStyle w:val="Default"/>
        <w:spacing w:line="276" w:lineRule="auto"/>
        <w:jc w:val="both"/>
        <w:rPr>
          <w:b/>
        </w:rPr>
      </w:pPr>
      <w:r w:rsidRPr="0012657C">
        <w:rPr>
          <w:b/>
        </w:rPr>
        <w:t>Wobec powyższego § 3 ust. 12 Instrukcji dla wykonawców otrzymuje brzmienie:</w:t>
      </w:r>
    </w:p>
    <w:p w14:paraId="766DD7DC" w14:textId="20183B38" w:rsidR="005F7D31" w:rsidRPr="00814147" w:rsidRDefault="00814147" w:rsidP="0012657C">
      <w:pPr>
        <w:jc w:val="both"/>
        <w:rPr>
          <w:rFonts w:ascii="Times New Roman" w:hAnsi="Times New Roman" w:cs="Times New Roman"/>
          <w:sz w:val="24"/>
          <w:szCs w:val="24"/>
          <w:u w:val="single"/>
        </w:rPr>
      </w:pPr>
      <w:r w:rsidRPr="00814147">
        <w:rPr>
          <w:rFonts w:ascii="Times New Roman" w:hAnsi="Times New Roman" w:cs="Times New Roman"/>
          <w:sz w:val="24"/>
          <w:szCs w:val="24"/>
        </w:rPr>
        <w:t xml:space="preserve">„12. Wykonawca zapewni doręczanie przesyłek pocztowych Zamawiającego na całym terytorium Rzeczypospolitej oraz poza jej granicami </w:t>
      </w:r>
      <w:r w:rsidRPr="00814147">
        <w:rPr>
          <w:rFonts w:ascii="Times New Roman" w:hAnsi="Times New Roman" w:cs="Times New Roman"/>
          <w:color w:val="000000"/>
          <w:sz w:val="24"/>
          <w:szCs w:val="24"/>
          <w:shd w:val="clear" w:color="auto" w:fill="FFFFFF"/>
        </w:rPr>
        <w:t>z uwzględnieniem ograniczeń w obrocie z poszczególnymi krajami</w:t>
      </w:r>
      <w:r>
        <w:rPr>
          <w:rFonts w:ascii="Times New Roman" w:hAnsi="Times New Roman" w:cs="Times New Roman"/>
          <w:color w:val="000000"/>
          <w:sz w:val="24"/>
          <w:szCs w:val="24"/>
          <w:shd w:val="clear" w:color="auto" w:fill="FFFFFF"/>
        </w:rPr>
        <w:t>.”.</w:t>
      </w:r>
    </w:p>
    <w:p w14:paraId="6EFF087B" w14:textId="77777777" w:rsidR="005F7D31" w:rsidRPr="0012657C" w:rsidRDefault="005F7D31" w:rsidP="0012657C">
      <w:pPr>
        <w:jc w:val="both"/>
        <w:rPr>
          <w:rFonts w:ascii="Times New Roman" w:hAnsi="Times New Roman" w:cs="Times New Roman"/>
          <w:b/>
          <w:bCs/>
          <w:color w:val="000000"/>
          <w:sz w:val="24"/>
          <w:szCs w:val="24"/>
          <w:u w:val="single"/>
          <w:shd w:val="clear" w:color="auto" w:fill="FFFFFF"/>
        </w:rPr>
      </w:pPr>
      <w:r w:rsidRPr="0012657C">
        <w:rPr>
          <w:rFonts w:ascii="Times New Roman" w:hAnsi="Times New Roman" w:cs="Times New Roman"/>
          <w:b/>
          <w:bCs/>
          <w:color w:val="000000"/>
          <w:sz w:val="24"/>
          <w:szCs w:val="24"/>
          <w:u w:val="single"/>
          <w:shd w:val="clear" w:color="auto" w:fill="FFFFFF"/>
        </w:rPr>
        <w:t>9. Dotyczy Rozdziału II Instrukcji dla Wykonawców par. 3 pkt.15:</w:t>
      </w:r>
    </w:p>
    <w:p w14:paraId="48F556BC"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Wnioskodawca zapytuje, jaki procent całości wolumenu przesyłek Zamawiający przewiduje nadać w trybie Kodeksu postępowania administracyjnego?</w:t>
      </w:r>
    </w:p>
    <w:p w14:paraId="070D5479"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 xml:space="preserve">Wykonawca wnosi o potwierdzenie, iż w druki potwierdzenia odbioru dla przesyłek nadawanych przez Zamawiającego w trybie postępowania administracyjnego, Zamawiający będzie zaopatrywał się we własnym zakresie i że będą one zgodne z Polską Normą PN-T-85005 z grudnia 2000 r. </w:t>
      </w:r>
    </w:p>
    <w:p w14:paraId="256E6832"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W związku z powyższym druki potwierdzenia odbioru, w tym także druki potwierdzenia odbioru wytwarzane przez Zamawiającego w wewnętrznym obiegu winny być z przywołaną Polską Normą zgodne, tj.:</w:t>
      </w:r>
    </w:p>
    <w:p w14:paraId="17A00F86"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1) gramatura papieru: papier offsetowy BD 140 – 200 g/m2</w:t>
      </w:r>
    </w:p>
    <w:p w14:paraId="7280347C"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2) wymiar druku: minimum 90 x 140 mm (część środkowa, bez listew bocznych)</w:t>
      </w:r>
    </w:p>
    <w:p w14:paraId="3B6A6AB7"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optymalne wymiary:</w:t>
      </w:r>
    </w:p>
    <w:p w14:paraId="7C8CB715"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a) część środkowa, bez listew bocznych - 100 x 140 mm,</w:t>
      </w:r>
    </w:p>
    <w:p w14:paraId="3D58A135"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lastRenderedPageBreak/>
        <w:t>b) całość druku, tj. część środkowa + listwy boczne - 100 x 160 mm,</w:t>
      </w:r>
    </w:p>
    <w:p w14:paraId="0C2D3C68"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wszystkie wymiary przyjmuje się z tolerancją 2 mm</w:t>
      </w:r>
    </w:p>
    <w:p w14:paraId="3E732691"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3) listwy po obu stronach, perforacja pionowa pozwalająca na wyrwanie środkowej części druku bez jego uszkodzenia,</w:t>
      </w:r>
    </w:p>
    <w:p w14:paraId="629B58C6"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4) co najmniej  5 mm  pasek kleju  gwarantujący przyczepność  do różnego  rodzaju podłoża w zróżnicowanym zakresie temperatur zabezpieczony osłoną.</w:t>
      </w:r>
    </w:p>
    <w:p w14:paraId="7CA9846F"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 xml:space="preserve">Adres nadawcy przesyłki naniesiony w strefie prostokątnej na stronie przedniej  druku (awers) w dolnej prawej części </w:t>
      </w:r>
    </w:p>
    <w:p w14:paraId="0E4A94BB"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w minimalnej odległości:</w:t>
      </w:r>
    </w:p>
    <w:p w14:paraId="5E388DE4"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1) 40 mm od górnego brzegu,</w:t>
      </w:r>
    </w:p>
    <w:p w14:paraId="3AA85A5E"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2)   5 mm od prawego brzegu,</w:t>
      </w:r>
    </w:p>
    <w:p w14:paraId="679F8942"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3) 15 mm od dolnego brzegu.</w:t>
      </w:r>
    </w:p>
    <w:p w14:paraId="6E61A342"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Adres adresata przesyłki naniesiony w strefie prostokątnej na stronie przedniej druku (awers) w górnej lewej części.</w:t>
      </w:r>
    </w:p>
    <w:p w14:paraId="32C1059A"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W pasie 15 mm powyżej dolnej krawędzi strony przedniej druku (awers) oraz z prawej strony danych adresowych nadawcy nie można umieszczać żadnych napisów/nadruków.</w:t>
      </w:r>
    </w:p>
    <w:p w14:paraId="3200AAB4" w14:textId="6F87C1E8" w:rsidR="005F7D31" w:rsidRPr="0012657C" w:rsidRDefault="001A751B" w:rsidP="0012657C">
      <w:pPr>
        <w:spacing w:after="0"/>
        <w:jc w:val="both"/>
        <w:rPr>
          <w:rFonts w:ascii="Times New Roman" w:hAnsi="Times New Roman" w:cs="Times New Roman"/>
          <w:sz w:val="24"/>
          <w:szCs w:val="24"/>
        </w:rPr>
      </w:pPr>
      <w:r w:rsidRPr="0012657C">
        <w:rPr>
          <w:rFonts w:ascii="Times New Roman" w:hAnsi="Times New Roman" w:cs="Times New Roman"/>
          <w:sz w:val="24"/>
          <w:szCs w:val="24"/>
        </w:rPr>
        <w:t xml:space="preserve">ODPOWIEDŹ: Zamawiający przewiduje nadać w </w:t>
      </w:r>
      <w:r w:rsidR="00661E00" w:rsidRPr="0012657C">
        <w:rPr>
          <w:rFonts w:ascii="Times New Roman" w:hAnsi="Times New Roman" w:cs="Times New Roman"/>
          <w:sz w:val="24"/>
          <w:szCs w:val="24"/>
        </w:rPr>
        <w:t xml:space="preserve">trybie Kodeksu postępowania administracyjnego </w:t>
      </w:r>
      <w:r w:rsidR="007E1503">
        <w:rPr>
          <w:rFonts w:ascii="Times New Roman" w:hAnsi="Times New Roman" w:cs="Times New Roman"/>
          <w:sz w:val="24"/>
          <w:szCs w:val="24"/>
        </w:rPr>
        <w:t>ok. 40</w:t>
      </w:r>
      <w:r w:rsidR="00661E00" w:rsidRPr="0012657C">
        <w:rPr>
          <w:rFonts w:ascii="Times New Roman" w:hAnsi="Times New Roman" w:cs="Times New Roman"/>
          <w:sz w:val="24"/>
          <w:szCs w:val="24"/>
        </w:rPr>
        <w:t>% całości wolumenu.</w:t>
      </w:r>
    </w:p>
    <w:p w14:paraId="0013FFCB" w14:textId="6B645DEC" w:rsidR="00661E00" w:rsidRPr="0012657C" w:rsidRDefault="00661E00" w:rsidP="0012657C">
      <w:pPr>
        <w:jc w:val="both"/>
        <w:rPr>
          <w:rFonts w:ascii="Times New Roman" w:hAnsi="Times New Roman" w:cs="Times New Roman"/>
          <w:sz w:val="24"/>
          <w:szCs w:val="24"/>
        </w:rPr>
      </w:pPr>
      <w:r w:rsidRPr="0012657C">
        <w:rPr>
          <w:rFonts w:ascii="Times New Roman" w:hAnsi="Times New Roman" w:cs="Times New Roman"/>
          <w:sz w:val="24"/>
          <w:szCs w:val="24"/>
        </w:rPr>
        <w:t xml:space="preserve">Zamawiający potwierdza, że będzie zaopatrywał </w:t>
      </w:r>
      <w:r w:rsidR="0012657C" w:rsidRPr="0012657C">
        <w:rPr>
          <w:rFonts w:ascii="Times New Roman" w:hAnsi="Times New Roman" w:cs="Times New Roman"/>
          <w:color w:val="000000"/>
          <w:sz w:val="24"/>
          <w:szCs w:val="24"/>
          <w:shd w:val="clear" w:color="auto" w:fill="FFFFFF"/>
        </w:rPr>
        <w:t>się we własnym zakresie i że będą one zgodne z Polską Normą PN-T-85005 z grudnia 2000 r.</w:t>
      </w:r>
    </w:p>
    <w:p w14:paraId="5EA19959" w14:textId="77777777" w:rsidR="005F7D31" w:rsidRPr="0012657C" w:rsidRDefault="005F7D31" w:rsidP="0012657C">
      <w:pPr>
        <w:ind w:right="6"/>
        <w:jc w:val="both"/>
        <w:rPr>
          <w:rFonts w:ascii="Times New Roman" w:hAnsi="Times New Roman" w:cs="Times New Roman"/>
          <w:sz w:val="24"/>
          <w:szCs w:val="24"/>
        </w:rPr>
      </w:pPr>
      <w:r w:rsidRPr="0012657C">
        <w:rPr>
          <w:rFonts w:ascii="Times New Roman" w:hAnsi="Times New Roman" w:cs="Times New Roman"/>
          <w:b/>
          <w:bCs/>
          <w:color w:val="000000"/>
          <w:sz w:val="24"/>
          <w:szCs w:val="24"/>
          <w:u w:val="single"/>
          <w:shd w:val="clear" w:color="auto" w:fill="FFFFFF"/>
        </w:rPr>
        <w:t>10. Skoro Zamawiający zgodnie z Rozdziałem II Instrukcji dla Wykonawców par 3 ust. 25</w:t>
      </w:r>
      <w:r w:rsidRPr="0012657C">
        <w:rPr>
          <w:rFonts w:ascii="Times New Roman" w:hAnsi="Times New Roman" w:cs="Times New Roman"/>
          <w:color w:val="000000"/>
          <w:sz w:val="24"/>
          <w:szCs w:val="24"/>
          <w:shd w:val="clear" w:color="auto" w:fill="FFFFFF"/>
        </w:rPr>
        <w:t xml:space="preserve"> dopuszcza możliwość dokonania zmiany postanowień umowy w stosunku do treści oferty w związku z cenami jednostkowymi, to zapis Rozdziału II Instrukcji dla Wykonawców par 20 ust.2 jest niekonsekwencją powyższego zapisu i Wykonawca wnosi o jego wykreślenie, bowiem </w:t>
      </w:r>
      <w:r w:rsidRPr="0012657C">
        <w:rPr>
          <w:rFonts w:ascii="Times New Roman" w:hAnsi="Times New Roman" w:cs="Times New Roman"/>
          <w:sz w:val="24"/>
          <w:szCs w:val="24"/>
        </w:rPr>
        <w:t xml:space="preserve">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 </w:t>
      </w:r>
    </w:p>
    <w:p w14:paraId="7884E2FD" w14:textId="77777777" w:rsidR="005F7D31" w:rsidRPr="0012657C" w:rsidRDefault="005F7D31" w:rsidP="0012657C">
      <w:pPr>
        <w:ind w:right="6"/>
        <w:jc w:val="both"/>
        <w:rPr>
          <w:rFonts w:ascii="Times New Roman" w:hAnsi="Times New Roman" w:cs="Times New Roman"/>
          <w:sz w:val="24"/>
          <w:szCs w:val="24"/>
        </w:rPr>
      </w:pPr>
      <w:r w:rsidRPr="0012657C">
        <w:rPr>
          <w:rFonts w:ascii="Times New Roman" w:hAnsi="Times New Roman" w:cs="Times New Roman"/>
          <w:sz w:val="24"/>
          <w:szCs w:val="24"/>
        </w:rPr>
        <w:t xml:space="preserve">Zatem w przypadku zmian cen w trakcie wykonywania umowy zawartej w wyniku rozstrzygnięcia przedmiotowego postępowania Wykonawca realizując zamówienie w cenach wynikających z formularza,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t>
      </w:r>
      <w:r w:rsidRPr="0012657C">
        <w:rPr>
          <w:rFonts w:ascii="Times New Roman" w:hAnsi="Times New Roman" w:cs="Times New Roman"/>
          <w:sz w:val="24"/>
          <w:szCs w:val="24"/>
        </w:rPr>
        <w:lastRenderedPageBreak/>
        <w:t>wyznaczonym, jak również ze względu na narażenie Wykonawcy na odpowiedzialność odszkodowawczą, której zakres trudno nawet przewidzieć.</w:t>
      </w:r>
    </w:p>
    <w:p w14:paraId="1D050730" w14:textId="77777777" w:rsidR="005F7D31" w:rsidRPr="0012657C" w:rsidRDefault="005F7D31" w:rsidP="0012657C">
      <w:pPr>
        <w:ind w:right="6"/>
        <w:jc w:val="both"/>
        <w:rPr>
          <w:rFonts w:ascii="Times New Roman" w:hAnsi="Times New Roman" w:cs="Times New Roman"/>
          <w:sz w:val="24"/>
          <w:szCs w:val="24"/>
        </w:rPr>
      </w:pPr>
      <w:r w:rsidRPr="0012657C">
        <w:rPr>
          <w:rFonts w:ascii="Times New Roman" w:hAnsi="Times New Roman" w:cs="Times New Roman"/>
          <w:sz w:val="24"/>
          <w:szCs w:val="24"/>
        </w:rPr>
        <w:t>Ponadto zauważyć należy, iż Wykonawca zawierając umowę musi uwzględnić obowiązującą aktualnie stawkę podatku VAT. Natomiast wystawiając fakturę VAT za wykonane zamówienie publiczne musi naliczyć podatek w wysokości obowiązującej w dacie wystawienia faktury, a nie w dacie podpisywania umowy czy też składania oferty. W efekcie w przypadku ustawowej zmiany przepisów w zakresie podatków, w tym w szczególności skutkującej objęciem podatkiem VAT usług dotychczas nieopodatkowanych lub zmiany stawek podatku VAT, wykonawca zamówienia publicznego będzie musiał zmniejszyć kwotę należnego wynagrodzenia netto.</w:t>
      </w:r>
    </w:p>
    <w:p w14:paraId="64F178E7" w14:textId="77777777" w:rsidR="005F7D31" w:rsidRPr="0012657C" w:rsidRDefault="005F7D31" w:rsidP="0012657C">
      <w:pPr>
        <w:ind w:right="6"/>
        <w:jc w:val="both"/>
        <w:rPr>
          <w:rFonts w:ascii="Times New Roman" w:hAnsi="Times New Roman" w:cs="Times New Roman"/>
          <w:sz w:val="24"/>
          <w:szCs w:val="24"/>
        </w:rPr>
      </w:pPr>
      <w:r w:rsidRPr="0012657C">
        <w:rPr>
          <w:rFonts w:ascii="Times New Roman" w:hAnsi="Times New Roman" w:cs="Times New Roman"/>
          <w:sz w:val="24"/>
          <w:szCs w:val="24"/>
        </w:rPr>
        <w:t>W przypadku Wykonawcy jako operatora wyznaczonego, zobowiązanego do świadczenia powszechnych usług pocztowych, w przypadku zmiany przepisów w zakresie podatku VAT doszłoby do sytuacji świadczenia tych usług w wysokości niższej aniżeli obowiązujące opłaty.</w:t>
      </w:r>
    </w:p>
    <w:p w14:paraId="1EB8262A" w14:textId="365056F6" w:rsidR="005F7D31" w:rsidRDefault="0012657C" w:rsidP="00814147">
      <w:pPr>
        <w:spacing w:after="0"/>
        <w:jc w:val="both"/>
        <w:rPr>
          <w:rFonts w:ascii="Times New Roman" w:hAnsi="Times New Roman" w:cs="Times New Roman"/>
          <w:color w:val="000000"/>
          <w:sz w:val="24"/>
          <w:szCs w:val="24"/>
          <w:shd w:val="clear" w:color="auto" w:fill="FFFFFF"/>
        </w:rPr>
      </w:pPr>
      <w:r w:rsidRPr="0012657C">
        <w:rPr>
          <w:rFonts w:ascii="Times New Roman" w:hAnsi="Times New Roman" w:cs="Times New Roman"/>
          <w:sz w:val="24"/>
          <w:szCs w:val="24"/>
        </w:rPr>
        <w:t xml:space="preserve">ODPOWIEDŹ: </w:t>
      </w:r>
      <w:r w:rsidR="00147435" w:rsidRPr="0012657C">
        <w:rPr>
          <w:rFonts w:ascii="Times New Roman" w:hAnsi="Times New Roman" w:cs="Times New Roman"/>
          <w:sz w:val="24"/>
          <w:szCs w:val="24"/>
        </w:rPr>
        <w:t xml:space="preserve">Zamawiający wyraża zgodę na zmianę zapisu </w:t>
      </w:r>
      <w:r w:rsidR="00147435">
        <w:rPr>
          <w:rFonts w:ascii="Times New Roman" w:hAnsi="Times New Roman" w:cs="Times New Roman"/>
          <w:color w:val="000000"/>
          <w:sz w:val="24"/>
          <w:szCs w:val="24"/>
          <w:shd w:val="clear" w:color="auto" w:fill="FFFFFF"/>
        </w:rPr>
        <w:t xml:space="preserve">§ </w:t>
      </w:r>
      <w:r w:rsidR="00147435" w:rsidRPr="0012657C">
        <w:rPr>
          <w:rFonts w:ascii="Times New Roman" w:hAnsi="Times New Roman" w:cs="Times New Roman"/>
          <w:color w:val="000000"/>
          <w:sz w:val="24"/>
          <w:szCs w:val="24"/>
          <w:shd w:val="clear" w:color="auto" w:fill="FFFFFF"/>
        </w:rPr>
        <w:t>20 ust.</w:t>
      </w:r>
      <w:r w:rsidR="00147435">
        <w:rPr>
          <w:rFonts w:ascii="Times New Roman" w:hAnsi="Times New Roman" w:cs="Times New Roman"/>
          <w:color w:val="000000"/>
          <w:sz w:val="24"/>
          <w:szCs w:val="24"/>
          <w:shd w:val="clear" w:color="auto" w:fill="FFFFFF"/>
        </w:rPr>
        <w:t xml:space="preserve"> </w:t>
      </w:r>
      <w:r w:rsidR="00147435" w:rsidRPr="0012657C">
        <w:rPr>
          <w:rFonts w:ascii="Times New Roman" w:hAnsi="Times New Roman" w:cs="Times New Roman"/>
          <w:color w:val="000000"/>
          <w:sz w:val="24"/>
          <w:szCs w:val="24"/>
          <w:shd w:val="clear" w:color="auto" w:fill="FFFFFF"/>
        </w:rPr>
        <w:t>2</w:t>
      </w:r>
      <w:r w:rsidR="00147435">
        <w:rPr>
          <w:rFonts w:ascii="Times New Roman" w:hAnsi="Times New Roman" w:cs="Times New Roman"/>
          <w:color w:val="000000"/>
          <w:sz w:val="24"/>
          <w:szCs w:val="24"/>
          <w:shd w:val="clear" w:color="auto" w:fill="FFFFFF"/>
        </w:rPr>
        <w:t xml:space="preserve">, zgodnie z wnioskiem Wykonawcy. </w:t>
      </w:r>
    </w:p>
    <w:p w14:paraId="7975BFBA" w14:textId="26761845" w:rsidR="00147435" w:rsidRDefault="00147435" w:rsidP="00147435">
      <w:pPr>
        <w:pStyle w:val="Default"/>
        <w:spacing w:line="276" w:lineRule="auto"/>
        <w:jc w:val="both"/>
        <w:rPr>
          <w:b/>
        </w:rPr>
      </w:pPr>
      <w:r w:rsidRPr="0012657C">
        <w:rPr>
          <w:b/>
        </w:rPr>
        <w:t xml:space="preserve">Wobec powyższego § </w:t>
      </w:r>
      <w:r w:rsidR="00814147">
        <w:rPr>
          <w:b/>
        </w:rPr>
        <w:t>20</w:t>
      </w:r>
      <w:r w:rsidRPr="0012657C">
        <w:rPr>
          <w:b/>
        </w:rPr>
        <w:t xml:space="preserve"> Instrukcji dla wykonawców otrzymuje brzmienie:</w:t>
      </w:r>
    </w:p>
    <w:p w14:paraId="316E749A" w14:textId="6DF62C8C" w:rsidR="00814147" w:rsidRPr="00814147" w:rsidRDefault="00814147" w:rsidP="00814147">
      <w:pPr>
        <w:autoSpaceDE w:val="0"/>
        <w:autoSpaceDN w:val="0"/>
        <w:adjustRightInd w:val="0"/>
        <w:spacing w:after="0"/>
        <w:jc w:val="both"/>
        <w:rPr>
          <w:rFonts w:ascii="Times New Roman" w:hAnsi="Times New Roman" w:cs="Times New Roman"/>
          <w:b/>
          <w:smallCaps/>
          <w:sz w:val="24"/>
          <w:szCs w:val="24"/>
        </w:rPr>
      </w:pPr>
      <w:r w:rsidRPr="00814147">
        <w:rPr>
          <w:rFonts w:ascii="Times New Roman" w:hAnsi="Times New Roman" w:cs="Times New Roman"/>
          <w:b/>
          <w:smallCaps/>
          <w:sz w:val="24"/>
          <w:szCs w:val="24"/>
        </w:rPr>
        <w:t>„§ 20. Uwagi końcowe</w:t>
      </w:r>
    </w:p>
    <w:p w14:paraId="757C1753" w14:textId="77777777" w:rsidR="00814147" w:rsidRPr="00814147" w:rsidRDefault="00814147" w:rsidP="00814147">
      <w:pPr>
        <w:numPr>
          <w:ilvl w:val="0"/>
          <w:numId w:val="6"/>
        </w:numPr>
        <w:tabs>
          <w:tab w:val="clear" w:pos="720"/>
          <w:tab w:val="num" w:pos="360"/>
        </w:tabs>
        <w:suppressAutoHyphens/>
        <w:spacing w:after="0"/>
        <w:ind w:left="360"/>
        <w:jc w:val="both"/>
        <w:rPr>
          <w:rFonts w:ascii="Times New Roman" w:hAnsi="Times New Roman" w:cs="Times New Roman"/>
          <w:sz w:val="24"/>
          <w:szCs w:val="24"/>
        </w:rPr>
      </w:pPr>
      <w:r w:rsidRPr="00814147">
        <w:rPr>
          <w:rFonts w:ascii="Times New Roman" w:hAnsi="Times New Roman" w:cs="Times New Roman"/>
          <w:sz w:val="24"/>
          <w:szCs w:val="24"/>
        </w:rPr>
        <w:t>Zamawiający dopuszcza możliwość zmian istotnych postanowień umowy w zakresie rezygnacji ze świadczenia niektórych usług z przyczyn niezależnych od Zamawiającego.</w:t>
      </w:r>
    </w:p>
    <w:p w14:paraId="215C1B92" w14:textId="7EEB65B8" w:rsidR="00814147" w:rsidRPr="00814147" w:rsidRDefault="007E1503" w:rsidP="00E0279D">
      <w:pPr>
        <w:numPr>
          <w:ilvl w:val="0"/>
          <w:numId w:val="6"/>
        </w:numPr>
        <w:tabs>
          <w:tab w:val="clear" w:pos="720"/>
          <w:tab w:val="num" w:pos="360"/>
        </w:tabs>
        <w:suppressAutoHyphens/>
        <w:spacing w:after="0"/>
        <w:ind w:left="360"/>
        <w:jc w:val="both"/>
        <w:rPr>
          <w:rFonts w:ascii="Times New Roman" w:hAnsi="Times New Roman" w:cs="Times New Roman"/>
          <w:b/>
          <w:sz w:val="24"/>
          <w:szCs w:val="24"/>
        </w:rPr>
      </w:pPr>
      <w:r>
        <w:rPr>
          <w:rFonts w:ascii="Times New Roman" w:hAnsi="Times New Roman" w:cs="Times New Roman"/>
          <w:b/>
          <w:sz w:val="24"/>
          <w:szCs w:val="24"/>
        </w:rPr>
        <w:t>s</w:t>
      </w:r>
      <w:r w:rsidR="00814147" w:rsidRPr="00814147">
        <w:rPr>
          <w:rFonts w:ascii="Times New Roman" w:hAnsi="Times New Roman" w:cs="Times New Roman"/>
          <w:b/>
          <w:sz w:val="24"/>
          <w:szCs w:val="24"/>
        </w:rPr>
        <w:t>kreślony</w:t>
      </w:r>
    </w:p>
    <w:p w14:paraId="1B8DD1D4" w14:textId="12DD6B3F" w:rsidR="00814147" w:rsidRPr="00814147" w:rsidRDefault="00814147" w:rsidP="00E0279D">
      <w:pPr>
        <w:numPr>
          <w:ilvl w:val="0"/>
          <w:numId w:val="6"/>
        </w:numPr>
        <w:tabs>
          <w:tab w:val="clear" w:pos="720"/>
          <w:tab w:val="num" w:pos="360"/>
        </w:tabs>
        <w:suppressAutoHyphens/>
        <w:spacing w:after="0"/>
        <w:ind w:left="360"/>
        <w:jc w:val="both"/>
        <w:rPr>
          <w:rFonts w:ascii="Times New Roman" w:hAnsi="Times New Roman" w:cs="Times New Roman"/>
          <w:b/>
          <w:sz w:val="24"/>
          <w:szCs w:val="24"/>
        </w:rPr>
      </w:pPr>
      <w:r w:rsidRPr="00814147">
        <w:rPr>
          <w:rFonts w:ascii="Times New Roman" w:eastAsia="CIDFont+F1" w:hAnsi="Times New Roman" w:cs="Times New Roman"/>
          <w:sz w:val="24"/>
          <w:szCs w:val="24"/>
        </w:rPr>
        <w:t>Sprawy nie objęte Instrukcją reguluje ustawa Pzp z przepisami wykonawczymi oraz Kodeks Cywilny.”.</w:t>
      </w:r>
    </w:p>
    <w:p w14:paraId="4324E519" w14:textId="77777777" w:rsidR="00147435" w:rsidRPr="0012657C" w:rsidRDefault="00147435" w:rsidP="0012657C">
      <w:pPr>
        <w:jc w:val="both"/>
        <w:rPr>
          <w:rFonts w:ascii="Times New Roman" w:hAnsi="Times New Roman" w:cs="Times New Roman"/>
          <w:color w:val="000000"/>
          <w:sz w:val="24"/>
          <w:szCs w:val="24"/>
          <w:shd w:val="clear" w:color="auto" w:fill="FFFFFF"/>
        </w:rPr>
      </w:pPr>
    </w:p>
    <w:p w14:paraId="199CD07C" w14:textId="77777777" w:rsidR="005F7D31" w:rsidRPr="0012657C" w:rsidRDefault="005F7D31" w:rsidP="0012657C">
      <w:pPr>
        <w:jc w:val="both"/>
        <w:rPr>
          <w:rFonts w:ascii="Times New Roman" w:hAnsi="Times New Roman" w:cs="Times New Roman"/>
          <w:b/>
          <w:bCs/>
          <w:color w:val="000000"/>
          <w:sz w:val="24"/>
          <w:szCs w:val="24"/>
          <w:u w:val="single"/>
          <w:shd w:val="clear" w:color="auto" w:fill="FFFFFF"/>
        </w:rPr>
      </w:pPr>
      <w:r w:rsidRPr="0012657C">
        <w:rPr>
          <w:rFonts w:ascii="Times New Roman" w:hAnsi="Times New Roman" w:cs="Times New Roman"/>
          <w:b/>
          <w:bCs/>
          <w:color w:val="000000"/>
          <w:sz w:val="24"/>
          <w:szCs w:val="24"/>
          <w:u w:val="single"/>
          <w:shd w:val="clear" w:color="auto" w:fill="FFFFFF"/>
        </w:rPr>
        <w:t>11. Dotyczy Rozdziału II Instrukcji dla Wykonawców par. 6 ust. 10:</w:t>
      </w:r>
    </w:p>
    <w:p w14:paraId="2FF6D381"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 xml:space="preserve">Zamawiający określa, że w terminie 3 dni od opublikowania przez Zamawiającego na swojej stronie internetowej informacji z otwarcia ofert, Wykonawca zobowiązany jest do przekazania Zamawiającemu oświadczenia o przynależności lub braku przynależności do grupy kapitałowej - wg załącznika nr 3 do Instrukcji dla Wykonawców. </w:t>
      </w:r>
    </w:p>
    <w:p w14:paraId="2B1CC705" w14:textId="77777777" w:rsidR="005F7D31" w:rsidRPr="0012657C" w:rsidRDefault="005F7D31" w:rsidP="0012657C">
      <w:pPr>
        <w:jc w:val="both"/>
        <w:rPr>
          <w:rFonts w:ascii="Times New Roman" w:hAnsi="Times New Roman" w:cs="Times New Roman"/>
          <w:color w:val="000000"/>
          <w:sz w:val="24"/>
          <w:szCs w:val="24"/>
          <w:shd w:val="clear" w:color="auto" w:fill="FFFFFF"/>
        </w:rPr>
      </w:pPr>
      <w:r w:rsidRPr="0012657C">
        <w:rPr>
          <w:rFonts w:ascii="Times New Roman" w:hAnsi="Times New Roman" w:cs="Times New Roman"/>
          <w:color w:val="000000"/>
          <w:sz w:val="24"/>
          <w:szCs w:val="24"/>
          <w:shd w:val="clear" w:color="auto" w:fill="FFFFFF"/>
        </w:rPr>
        <w:t>Czy Zamawiający dopuszcza zmianę zapisu na możliwość dołączenia niniejszego załącznika do oferty Wykonawcy?</w:t>
      </w:r>
    </w:p>
    <w:p w14:paraId="0A0BC56A" w14:textId="1FAF9B18" w:rsidR="005F7D31" w:rsidRPr="0012657C" w:rsidRDefault="00147435" w:rsidP="0012657C">
      <w:pPr>
        <w:jc w:val="both"/>
        <w:rPr>
          <w:rFonts w:ascii="Times New Roman" w:hAnsi="Times New Roman" w:cs="Times New Roman"/>
          <w:sz w:val="24"/>
          <w:szCs w:val="24"/>
          <w:u w:val="single"/>
        </w:rPr>
      </w:pPr>
      <w:r w:rsidRPr="0012657C">
        <w:rPr>
          <w:rFonts w:ascii="Times New Roman" w:hAnsi="Times New Roman" w:cs="Times New Roman"/>
          <w:sz w:val="24"/>
          <w:szCs w:val="24"/>
        </w:rPr>
        <w:t>ODPOWIEDŹ: Zamawiający wyraża zgodę</w:t>
      </w:r>
      <w:r>
        <w:rPr>
          <w:rFonts w:ascii="Times New Roman" w:hAnsi="Times New Roman" w:cs="Times New Roman"/>
          <w:sz w:val="24"/>
          <w:szCs w:val="24"/>
        </w:rPr>
        <w:t xml:space="preserve"> </w:t>
      </w:r>
      <w:r w:rsidRPr="0012657C">
        <w:rPr>
          <w:rFonts w:ascii="Times New Roman" w:hAnsi="Times New Roman" w:cs="Times New Roman"/>
          <w:color w:val="000000"/>
          <w:sz w:val="24"/>
          <w:szCs w:val="24"/>
          <w:shd w:val="clear" w:color="auto" w:fill="FFFFFF"/>
        </w:rPr>
        <w:t>na dołączeni</w:t>
      </w:r>
      <w:r>
        <w:rPr>
          <w:rFonts w:ascii="Times New Roman" w:hAnsi="Times New Roman" w:cs="Times New Roman"/>
          <w:color w:val="000000"/>
          <w:sz w:val="24"/>
          <w:szCs w:val="24"/>
          <w:shd w:val="clear" w:color="auto" w:fill="FFFFFF"/>
        </w:rPr>
        <w:t>e</w:t>
      </w:r>
      <w:r w:rsidRPr="0012657C">
        <w:rPr>
          <w:rFonts w:ascii="Times New Roman" w:hAnsi="Times New Roman" w:cs="Times New Roman"/>
          <w:color w:val="000000"/>
          <w:sz w:val="24"/>
          <w:szCs w:val="24"/>
          <w:shd w:val="clear" w:color="auto" w:fill="FFFFFF"/>
        </w:rPr>
        <w:t xml:space="preserve"> niniejszego załącznika </w:t>
      </w:r>
      <w:r>
        <w:rPr>
          <w:rFonts w:ascii="Times New Roman" w:hAnsi="Times New Roman" w:cs="Times New Roman"/>
          <w:color w:val="000000"/>
          <w:sz w:val="24"/>
          <w:szCs w:val="24"/>
          <w:shd w:val="clear" w:color="auto" w:fill="FFFFFF"/>
        </w:rPr>
        <w:t xml:space="preserve">nr 3 </w:t>
      </w:r>
      <w:r w:rsidRPr="0012657C">
        <w:rPr>
          <w:rFonts w:ascii="Times New Roman" w:hAnsi="Times New Roman" w:cs="Times New Roman"/>
          <w:color w:val="000000"/>
          <w:sz w:val="24"/>
          <w:szCs w:val="24"/>
          <w:shd w:val="clear" w:color="auto" w:fill="FFFFFF"/>
        </w:rPr>
        <w:t>do Instrukcji dla Wykonawców do oferty Wykonawcy</w:t>
      </w:r>
      <w:r>
        <w:rPr>
          <w:rFonts w:ascii="Times New Roman" w:hAnsi="Times New Roman" w:cs="Times New Roman"/>
          <w:color w:val="000000"/>
          <w:sz w:val="24"/>
          <w:szCs w:val="24"/>
          <w:shd w:val="clear" w:color="auto" w:fill="FFFFFF"/>
        </w:rPr>
        <w:t>.</w:t>
      </w:r>
    </w:p>
    <w:p w14:paraId="41A0A060" w14:textId="77777777" w:rsidR="005F7D31" w:rsidRPr="0012657C" w:rsidRDefault="005F7D31" w:rsidP="0012657C">
      <w:pPr>
        <w:jc w:val="both"/>
        <w:rPr>
          <w:rFonts w:ascii="Times New Roman" w:hAnsi="Times New Roman" w:cs="Times New Roman"/>
          <w:b/>
          <w:bCs/>
          <w:color w:val="000000"/>
          <w:sz w:val="24"/>
          <w:szCs w:val="24"/>
          <w:u w:val="single"/>
          <w:shd w:val="clear" w:color="auto" w:fill="FFFFFF"/>
        </w:rPr>
      </w:pPr>
      <w:r w:rsidRPr="0012657C">
        <w:rPr>
          <w:rFonts w:ascii="Times New Roman" w:hAnsi="Times New Roman" w:cs="Times New Roman"/>
          <w:b/>
          <w:bCs/>
          <w:color w:val="000000"/>
          <w:sz w:val="24"/>
          <w:szCs w:val="24"/>
          <w:u w:val="single"/>
        </w:rPr>
        <w:t>12.</w:t>
      </w:r>
      <w:r w:rsidRPr="0012657C">
        <w:rPr>
          <w:rFonts w:ascii="Times New Roman" w:hAnsi="Times New Roman" w:cs="Times New Roman"/>
          <w:color w:val="000000"/>
          <w:sz w:val="24"/>
          <w:szCs w:val="24"/>
        </w:rPr>
        <w:t xml:space="preserve"> </w:t>
      </w:r>
      <w:r w:rsidRPr="0012657C">
        <w:rPr>
          <w:rFonts w:ascii="Times New Roman" w:hAnsi="Times New Roman" w:cs="Times New Roman"/>
          <w:b/>
          <w:bCs/>
          <w:color w:val="000000"/>
          <w:sz w:val="24"/>
          <w:szCs w:val="24"/>
          <w:u w:val="single"/>
          <w:shd w:val="clear" w:color="auto" w:fill="FFFFFF"/>
        </w:rPr>
        <w:t>Dotyczy Rozdziału II Instrukcji dla Wykonawców par. 14:</w:t>
      </w:r>
    </w:p>
    <w:p w14:paraId="4A354E54" w14:textId="2EDDBB1E" w:rsidR="005F7D31" w:rsidRDefault="005F7D31" w:rsidP="0012657C">
      <w:pPr>
        <w:jc w:val="both"/>
        <w:rPr>
          <w:rFonts w:ascii="Times New Roman" w:hAnsi="Times New Roman" w:cs="Times New Roman"/>
          <w:color w:val="000000"/>
          <w:sz w:val="24"/>
          <w:szCs w:val="24"/>
        </w:rPr>
      </w:pPr>
      <w:r w:rsidRPr="0012657C">
        <w:rPr>
          <w:rFonts w:ascii="Times New Roman" w:hAnsi="Times New Roman" w:cs="Times New Roman"/>
          <w:color w:val="000000"/>
          <w:sz w:val="24"/>
          <w:szCs w:val="24"/>
        </w:rPr>
        <w:t xml:space="preserve">Panująca obecnie sytuacja pandemiczna (czerwona strefa na terenie całego kraju) uniemożliwia Zleceniobiorcy bezpośrednie złożenie oferty, ponadto ze względu na rozprzestrzeniającego się wirusa Covi-19 również na przesyłkach listowych, Zleceniobiorca wnioskuje o dopuszczenie do złożenia oferty w bezpieczny sposób, bez możliwości </w:t>
      </w:r>
      <w:r w:rsidRPr="0012657C">
        <w:rPr>
          <w:rFonts w:ascii="Times New Roman" w:hAnsi="Times New Roman" w:cs="Times New Roman"/>
          <w:color w:val="000000"/>
          <w:sz w:val="24"/>
          <w:szCs w:val="24"/>
        </w:rPr>
        <w:lastRenderedPageBreak/>
        <w:t>zainfekowania w formie elektronicznej z wykorzystaniem elektronicznego podpisu kwalifikowanego w zaszyfrowanym pliku .pdf?</w:t>
      </w:r>
    </w:p>
    <w:p w14:paraId="0B6027BF" w14:textId="57D565FD" w:rsidR="00147435" w:rsidRDefault="00147435" w:rsidP="0012657C">
      <w:pPr>
        <w:jc w:val="both"/>
        <w:rPr>
          <w:rFonts w:ascii="Times New Roman" w:hAnsi="Times New Roman" w:cs="Times New Roman"/>
          <w:color w:val="000000"/>
          <w:sz w:val="24"/>
          <w:szCs w:val="24"/>
        </w:rPr>
      </w:pPr>
      <w:r w:rsidRPr="0012657C">
        <w:rPr>
          <w:rFonts w:ascii="Times New Roman" w:hAnsi="Times New Roman" w:cs="Times New Roman"/>
          <w:sz w:val="24"/>
          <w:szCs w:val="24"/>
        </w:rPr>
        <w:t>ODPOWIEDŹ: Zamawiający wyraża zgodę</w:t>
      </w:r>
      <w:r>
        <w:rPr>
          <w:rFonts w:ascii="Times New Roman" w:hAnsi="Times New Roman" w:cs="Times New Roman"/>
          <w:sz w:val="24"/>
          <w:szCs w:val="24"/>
        </w:rPr>
        <w:t xml:space="preserve"> na </w:t>
      </w:r>
      <w:r w:rsidRPr="0012657C">
        <w:rPr>
          <w:rFonts w:ascii="Times New Roman" w:hAnsi="Times New Roman" w:cs="Times New Roman"/>
          <w:color w:val="000000"/>
          <w:sz w:val="24"/>
          <w:szCs w:val="24"/>
        </w:rPr>
        <w:t>złożeni</w:t>
      </w:r>
      <w:r>
        <w:rPr>
          <w:rFonts w:ascii="Times New Roman" w:hAnsi="Times New Roman" w:cs="Times New Roman"/>
          <w:color w:val="000000"/>
          <w:sz w:val="24"/>
          <w:szCs w:val="24"/>
        </w:rPr>
        <w:t>e</w:t>
      </w:r>
      <w:r w:rsidRPr="0012657C">
        <w:rPr>
          <w:rFonts w:ascii="Times New Roman" w:hAnsi="Times New Roman" w:cs="Times New Roman"/>
          <w:color w:val="000000"/>
          <w:sz w:val="24"/>
          <w:szCs w:val="24"/>
        </w:rPr>
        <w:t xml:space="preserve"> oferty </w:t>
      </w:r>
      <w:r w:rsidR="007E11F4">
        <w:rPr>
          <w:rFonts w:ascii="Times New Roman" w:hAnsi="Times New Roman" w:cs="Times New Roman"/>
          <w:color w:val="000000"/>
          <w:sz w:val="24"/>
          <w:szCs w:val="24"/>
        </w:rPr>
        <w:t xml:space="preserve">w formie elektronicznej </w:t>
      </w:r>
      <w:r w:rsidR="007E11F4">
        <w:rPr>
          <w:rFonts w:ascii="Times New Roman" w:hAnsi="Times New Roman" w:cs="Times New Roman"/>
          <w:color w:val="000000"/>
          <w:sz w:val="24"/>
          <w:szCs w:val="24"/>
        </w:rPr>
        <w:br/>
      </w:r>
      <w:r w:rsidRPr="0012657C">
        <w:rPr>
          <w:rFonts w:ascii="Times New Roman" w:hAnsi="Times New Roman" w:cs="Times New Roman"/>
          <w:color w:val="000000"/>
          <w:sz w:val="24"/>
          <w:szCs w:val="24"/>
        </w:rPr>
        <w:t>z wykorzystaniem elektronicznego podpisu kwalifikowanego w zaszyfrowanym pliku .pdf</w:t>
      </w:r>
      <w:r>
        <w:rPr>
          <w:rFonts w:ascii="Times New Roman" w:hAnsi="Times New Roman" w:cs="Times New Roman"/>
          <w:color w:val="000000"/>
          <w:sz w:val="24"/>
          <w:szCs w:val="24"/>
        </w:rPr>
        <w:t xml:space="preserve">. </w:t>
      </w:r>
    </w:p>
    <w:p w14:paraId="0F8C7F77" w14:textId="77777777" w:rsidR="007E11F4" w:rsidRDefault="007E11F4" w:rsidP="007E11F4">
      <w:pPr>
        <w:pStyle w:val="Default"/>
        <w:spacing w:line="276" w:lineRule="auto"/>
        <w:jc w:val="both"/>
        <w:rPr>
          <w:b/>
        </w:rPr>
      </w:pPr>
      <w:r w:rsidRPr="0012657C">
        <w:rPr>
          <w:b/>
        </w:rPr>
        <w:t>Wobec powyższego</w:t>
      </w:r>
      <w:r>
        <w:rPr>
          <w:b/>
        </w:rPr>
        <w:t>:</w:t>
      </w:r>
    </w:p>
    <w:p w14:paraId="546E4618" w14:textId="1C02BC91" w:rsidR="007E11F4" w:rsidRPr="0012657C" w:rsidRDefault="007E11F4" w:rsidP="007E11F4">
      <w:pPr>
        <w:pStyle w:val="Default"/>
        <w:numPr>
          <w:ilvl w:val="0"/>
          <w:numId w:val="3"/>
        </w:numPr>
        <w:spacing w:line="276" w:lineRule="auto"/>
        <w:jc w:val="both"/>
        <w:rPr>
          <w:b/>
        </w:rPr>
      </w:pPr>
      <w:r w:rsidRPr="0012657C">
        <w:rPr>
          <w:b/>
        </w:rPr>
        <w:t xml:space="preserve">§ </w:t>
      </w:r>
      <w:r>
        <w:rPr>
          <w:b/>
        </w:rPr>
        <w:t>9</w:t>
      </w:r>
      <w:r w:rsidRPr="0012657C">
        <w:rPr>
          <w:b/>
        </w:rPr>
        <w:t xml:space="preserve"> ust. </w:t>
      </w:r>
      <w:r>
        <w:rPr>
          <w:b/>
        </w:rPr>
        <w:t>3</w:t>
      </w:r>
      <w:r w:rsidRPr="0012657C">
        <w:rPr>
          <w:b/>
        </w:rPr>
        <w:t xml:space="preserve"> Instrukcji dla wykonawców otrzymuje brzmienie:</w:t>
      </w:r>
    </w:p>
    <w:p w14:paraId="15D54DC7" w14:textId="71547559" w:rsidR="007E11F4" w:rsidRDefault="007E11F4" w:rsidP="007E11F4">
      <w:pPr>
        <w:suppressAutoHyphens/>
        <w:jc w:val="both"/>
        <w:rPr>
          <w:rFonts w:ascii="Times New Roman" w:hAnsi="Times New Roman" w:cs="Times New Roman"/>
          <w:color w:val="000000"/>
          <w:sz w:val="24"/>
          <w:szCs w:val="24"/>
        </w:rPr>
      </w:pPr>
      <w:r w:rsidRPr="007E11F4">
        <w:rPr>
          <w:rFonts w:ascii="Times New Roman" w:hAnsi="Times New Roman"/>
          <w:sz w:val="24"/>
          <w:szCs w:val="24"/>
        </w:rPr>
        <w:t xml:space="preserve">„3. Ofertę, umowę oraz oświadczenia i dokumenty wymienione w §6 niniejszej Instrukcji (również w przypadku ich złożenia w wyniku wezwania, o którym mowa w art. 26 ust. 3 ustawy Pzp) wykonawca składa w formie pisemnej. Zamawiający dopuszcza złożenie wymienionych dokumentów </w:t>
      </w:r>
      <w:r w:rsidRPr="007E11F4">
        <w:rPr>
          <w:rFonts w:ascii="Times New Roman" w:hAnsi="Times New Roman" w:cs="Times New Roman"/>
          <w:color w:val="000000"/>
          <w:sz w:val="24"/>
          <w:szCs w:val="24"/>
        </w:rPr>
        <w:t>w formie elektronicznej z wykorzystaniem elektronicznego podpisu kwalifikowanego w zaszyfrowanym pliku .pdf.”</w:t>
      </w:r>
      <w:r>
        <w:rPr>
          <w:rFonts w:ascii="Times New Roman" w:hAnsi="Times New Roman" w:cs="Times New Roman"/>
          <w:color w:val="000000"/>
          <w:sz w:val="24"/>
          <w:szCs w:val="24"/>
        </w:rPr>
        <w:t>;</w:t>
      </w:r>
    </w:p>
    <w:p w14:paraId="5026C89F" w14:textId="404CF00F" w:rsidR="007E11F4" w:rsidRPr="007E11F4" w:rsidRDefault="007E11F4" w:rsidP="007E11F4">
      <w:pPr>
        <w:pStyle w:val="Akapitzlist"/>
        <w:numPr>
          <w:ilvl w:val="0"/>
          <w:numId w:val="3"/>
        </w:numPr>
        <w:suppressAutoHyphens/>
        <w:jc w:val="both"/>
        <w:rPr>
          <w:rFonts w:ascii="Times New Roman" w:hAnsi="Times New Roman"/>
          <w:sz w:val="24"/>
          <w:szCs w:val="24"/>
        </w:rPr>
      </w:pPr>
      <w:r w:rsidRPr="007E11F4">
        <w:rPr>
          <w:rFonts w:ascii="Times New Roman" w:hAnsi="Times New Roman"/>
          <w:b/>
          <w:bCs/>
          <w:sz w:val="24"/>
          <w:szCs w:val="24"/>
        </w:rPr>
        <w:t xml:space="preserve">§ 13 ust. 4 </w:t>
      </w:r>
      <w:r w:rsidRPr="0012657C">
        <w:rPr>
          <w:rFonts w:ascii="Times New Roman" w:hAnsi="Times New Roman"/>
          <w:b/>
          <w:sz w:val="24"/>
          <w:szCs w:val="24"/>
        </w:rPr>
        <w:t>Instrukcji dla wykonawców otrzymuje brzmienie:</w:t>
      </w:r>
    </w:p>
    <w:p w14:paraId="62A23FC5" w14:textId="146CAA3E" w:rsidR="007E11F4" w:rsidRDefault="007E11F4" w:rsidP="007E11F4">
      <w:pPr>
        <w:suppressAutoHyphens/>
        <w:jc w:val="both"/>
        <w:rPr>
          <w:rFonts w:ascii="Times New Roman" w:hAnsi="Times New Roman" w:cs="Times New Roman"/>
          <w:color w:val="000000"/>
          <w:sz w:val="24"/>
          <w:szCs w:val="24"/>
        </w:rPr>
      </w:pPr>
      <w:r w:rsidRPr="007E11F4">
        <w:rPr>
          <w:rFonts w:ascii="Times New Roman" w:hAnsi="Times New Roman"/>
          <w:sz w:val="24"/>
          <w:szCs w:val="24"/>
        </w:rPr>
        <w:t xml:space="preserve">„4. Oferta powinna zawierać wszystkie dokumenty i oświadczenia wymagane w § 6 niniejszej Instrukcji, w formie oryginału lub kserokopii potwierdzonych „za zgodność z oryginałem” przez wykonawcę, a dokumenty złożone w formie elektronicznej powinny być poświadczone z </w:t>
      </w:r>
      <w:r w:rsidRPr="007E11F4">
        <w:rPr>
          <w:rFonts w:ascii="Times New Roman" w:hAnsi="Times New Roman" w:cs="Times New Roman"/>
          <w:color w:val="000000"/>
          <w:sz w:val="24"/>
          <w:szCs w:val="24"/>
        </w:rPr>
        <w:t>wykorzystaniem elektronicznego podpisu kwalifikowanego.”;</w:t>
      </w:r>
    </w:p>
    <w:p w14:paraId="27CBCB2A" w14:textId="06908930" w:rsidR="007E11F4" w:rsidRPr="00670E49" w:rsidRDefault="00670E49" w:rsidP="00670E49">
      <w:pPr>
        <w:pStyle w:val="Akapitzlist"/>
        <w:numPr>
          <w:ilvl w:val="0"/>
          <w:numId w:val="3"/>
        </w:numPr>
        <w:suppressAutoHyphens/>
        <w:jc w:val="both"/>
        <w:rPr>
          <w:rFonts w:ascii="Times New Roman" w:hAnsi="Times New Roman"/>
          <w:sz w:val="24"/>
          <w:szCs w:val="24"/>
        </w:rPr>
      </w:pPr>
      <w:r w:rsidRPr="00670E49">
        <w:rPr>
          <w:rFonts w:ascii="Times New Roman" w:hAnsi="Times New Roman"/>
          <w:b/>
          <w:bCs/>
          <w:sz w:val="24"/>
          <w:szCs w:val="24"/>
        </w:rPr>
        <w:t>§ 14 ust. 1</w:t>
      </w:r>
      <w:r>
        <w:rPr>
          <w:rFonts w:ascii="Times New Roman" w:hAnsi="Times New Roman"/>
          <w:sz w:val="24"/>
          <w:szCs w:val="24"/>
        </w:rPr>
        <w:t xml:space="preserve"> </w:t>
      </w:r>
      <w:r w:rsidRPr="00670E49">
        <w:rPr>
          <w:rFonts w:ascii="Times New Roman" w:hAnsi="Times New Roman"/>
          <w:b/>
          <w:bCs/>
          <w:sz w:val="24"/>
          <w:szCs w:val="24"/>
        </w:rPr>
        <w:t>i ust. 3</w:t>
      </w:r>
      <w:r>
        <w:rPr>
          <w:rFonts w:ascii="Times New Roman" w:hAnsi="Times New Roman"/>
          <w:sz w:val="24"/>
          <w:szCs w:val="24"/>
        </w:rPr>
        <w:t xml:space="preserve"> </w:t>
      </w:r>
      <w:r w:rsidRPr="0012657C">
        <w:rPr>
          <w:rFonts w:ascii="Times New Roman" w:hAnsi="Times New Roman"/>
          <w:b/>
          <w:sz w:val="24"/>
          <w:szCs w:val="24"/>
        </w:rPr>
        <w:t>Instrukcji dla wykonawców otrzymuj</w:t>
      </w:r>
      <w:r>
        <w:rPr>
          <w:rFonts w:ascii="Times New Roman" w:hAnsi="Times New Roman"/>
          <w:b/>
          <w:sz w:val="24"/>
          <w:szCs w:val="24"/>
        </w:rPr>
        <w:t>ą</w:t>
      </w:r>
      <w:r w:rsidRPr="0012657C">
        <w:rPr>
          <w:rFonts w:ascii="Times New Roman" w:hAnsi="Times New Roman"/>
          <w:b/>
          <w:sz w:val="24"/>
          <w:szCs w:val="24"/>
        </w:rPr>
        <w:t xml:space="preserve"> brzmienie:</w:t>
      </w:r>
    </w:p>
    <w:p w14:paraId="15CA50FB" w14:textId="012FDB6B" w:rsidR="00670E49" w:rsidRDefault="00670E49" w:rsidP="00670E49">
      <w:pPr>
        <w:autoSpaceDE w:val="0"/>
        <w:autoSpaceDN w:val="0"/>
        <w:adjustRightInd w:val="0"/>
        <w:spacing w:after="0"/>
        <w:jc w:val="both"/>
        <w:rPr>
          <w:rFonts w:ascii="Times New Roman" w:hAnsi="Times New Roman"/>
          <w:color w:val="000000"/>
          <w:sz w:val="24"/>
          <w:szCs w:val="24"/>
        </w:rPr>
      </w:pPr>
      <w:r w:rsidRPr="00670E49">
        <w:rPr>
          <w:rFonts w:ascii="Times New Roman" w:hAnsi="Times New Roman"/>
          <w:sz w:val="24"/>
          <w:szCs w:val="24"/>
        </w:rPr>
        <w:t>„1. Koperty z ofertami (wraz z wymaganymi dokumentami) należy złożyć w Miejskim Ośrodku Pomocy Społecznej w Legnicy przy ul. Poselskiej 13, pok. 26 do dnia 8 grudnia 2020 r. do godz. 8</w:t>
      </w:r>
      <w:r w:rsidRPr="00670E49">
        <w:rPr>
          <w:rFonts w:ascii="Times New Roman" w:hAnsi="Times New Roman"/>
          <w:sz w:val="24"/>
          <w:szCs w:val="24"/>
          <w:vertAlign w:val="superscript"/>
        </w:rPr>
        <w:t>30</w:t>
      </w:r>
      <w:r w:rsidRPr="00670E49">
        <w:rPr>
          <w:rFonts w:ascii="Times New Roman" w:hAnsi="Times New Roman"/>
          <w:sz w:val="24"/>
          <w:szCs w:val="24"/>
        </w:rPr>
        <w:t xml:space="preserve">. Oferty w formie elektronicznej </w:t>
      </w:r>
      <w:r w:rsidRPr="00670E49">
        <w:rPr>
          <w:rFonts w:ascii="Times New Roman" w:hAnsi="Times New Roman"/>
          <w:color w:val="000000"/>
          <w:sz w:val="24"/>
          <w:szCs w:val="24"/>
        </w:rPr>
        <w:t>z wykorzystaniem elektronicznego podpisu kwalifikowanego w zaszyfrowanym pliku .pdf w wymaganych terminie należy przesłać na adres poczty elektronicznej Zamawiającego mopslegnica@mopslegnica.pl</w:t>
      </w:r>
      <w:r>
        <w:rPr>
          <w:rFonts w:ascii="Times New Roman" w:hAnsi="Times New Roman"/>
          <w:color w:val="000000"/>
          <w:sz w:val="24"/>
          <w:szCs w:val="24"/>
        </w:rPr>
        <w:t>.”;</w:t>
      </w:r>
    </w:p>
    <w:p w14:paraId="584519B7" w14:textId="240138B1" w:rsidR="00670E49" w:rsidRDefault="00670E49" w:rsidP="00670E49">
      <w:pPr>
        <w:autoSpaceDE w:val="0"/>
        <w:autoSpaceDN w:val="0"/>
        <w:adjustRightInd w:val="0"/>
        <w:spacing w:after="0"/>
        <w:jc w:val="both"/>
        <w:rPr>
          <w:rFonts w:ascii="Times New Roman" w:hAnsi="Times New Roman" w:cs="Times New Roman"/>
          <w:sz w:val="24"/>
          <w:szCs w:val="24"/>
        </w:rPr>
      </w:pPr>
    </w:p>
    <w:p w14:paraId="7209124A" w14:textId="1FA5E9E2" w:rsidR="00670E49" w:rsidRPr="00670E49" w:rsidRDefault="00670E49" w:rsidP="00670E49">
      <w:pPr>
        <w:suppressAutoHyphens/>
        <w:spacing w:after="0"/>
        <w:jc w:val="both"/>
        <w:rPr>
          <w:rFonts w:ascii="Times New Roman" w:hAnsi="Times New Roman" w:cs="Times New Roman"/>
          <w:sz w:val="24"/>
          <w:szCs w:val="24"/>
        </w:rPr>
      </w:pPr>
      <w:r w:rsidRPr="00670E49">
        <w:rPr>
          <w:rFonts w:ascii="Times New Roman" w:hAnsi="Times New Roman" w:cs="Times New Roman"/>
          <w:sz w:val="24"/>
          <w:szCs w:val="24"/>
        </w:rPr>
        <w:t xml:space="preserve">„3. Koperty wraz z ofertami </w:t>
      </w:r>
      <w:r>
        <w:rPr>
          <w:rFonts w:ascii="Times New Roman" w:hAnsi="Times New Roman" w:cs="Times New Roman"/>
          <w:sz w:val="24"/>
          <w:szCs w:val="24"/>
        </w:rPr>
        <w:t xml:space="preserve">oraz oferty </w:t>
      </w:r>
      <w:r w:rsidR="00814147">
        <w:rPr>
          <w:rFonts w:ascii="Times New Roman" w:hAnsi="Times New Roman" w:cs="Times New Roman"/>
          <w:sz w:val="24"/>
          <w:szCs w:val="24"/>
        </w:rPr>
        <w:t xml:space="preserve">złożone w formie elektronicznej </w:t>
      </w:r>
      <w:r w:rsidRPr="00670E49">
        <w:rPr>
          <w:rFonts w:ascii="Times New Roman" w:hAnsi="Times New Roman" w:cs="Times New Roman"/>
          <w:sz w:val="24"/>
          <w:szCs w:val="24"/>
        </w:rPr>
        <w:t>otwarte zostaną w siedzibie Zamawiającego - pok. 23 w dniu 8 grudnia 2020 r. o godz. 9</w:t>
      </w:r>
      <w:r w:rsidRPr="00670E49">
        <w:rPr>
          <w:rFonts w:ascii="Times New Roman" w:hAnsi="Times New Roman" w:cs="Times New Roman"/>
          <w:sz w:val="24"/>
          <w:szCs w:val="24"/>
          <w:vertAlign w:val="superscript"/>
        </w:rPr>
        <w:t>00</w:t>
      </w:r>
      <w:r w:rsidRPr="00670E49">
        <w:rPr>
          <w:rFonts w:ascii="Times New Roman" w:hAnsi="Times New Roman" w:cs="Times New Roman"/>
          <w:sz w:val="24"/>
          <w:szCs w:val="24"/>
        </w:rPr>
        <w:t>.</w:t>
      </w:r>
      <w:r w:rsidR="00814147">
        <w:rPr>
          <w:rFonts w:ascii="Times New Roman" w:hAnsi="Times New Roman" w:cs="Times New Roman"/>
          <w:sz w:val="24"/>
          <w:szCs w:val="24"/>
        </w:rPr>
        <w:t>”.</w:t>
      </w:r>
    </w:p>
    <w:p w14:paraId="5DE8A735" w14:textId="610F8B0E" w:rsidR="00670E49" w:rsidRPr="00670E49" w:rsidRDefault="00670E49" w:rsidP="00670E49">
      <w:pPr>
        <w:autoSpaceDE w:val="0"/>
        <w:autoSpaceDN w:val="0"/>
        <w:adjustRightInd w:val="0"/>
        <w:spacing w:after="0"/>
        <w:jc w:val="both"/>
        <w:rPr>
          <w:rFonts w:ascii="Times New Roman" w:hAnsi="Times New Roman" w:cs="Times New Roman"/>
          <w:sz w:val="24"/>
          <w:szCs w:val="24"/>
        </w:rPr>
      </w:pPr>
    </w:p>
    <w:p w14:paraId="0B97A452" w14:textId="7AA7716D" w:rsidR="00670E49" w:rsidRPr="00670E49" w:rsidRDefault="00670E49" w:rsidP="00670E49">
      <w:pPr>
        <w:suppressAutoHyphens/>
        <w:jc w:val="both"/>
        <w:rPr>
          <w:rFonts w:ascii="Times New Roman" w:hAnsi="Times New Roman" w:cs="Times New Roman"/>
          <w:sz w:val="24"/>
          <w:szCs w:val="24"/>
        </w:rPr>
      </w:pPr>
    </w:p>
    <w:p w14:paraId="30B690B3" w14:textId="52D80D0E" w:rsidR="007E11F4" w:rsidRPr="0012657C" w:rsidRDefault="007E11F4" w:rsidP="0012657C">
      <w:pPr>
        <w:jc w:val="both"/>
        <w:rPr>
          <w:rFonts w:ascii="Times New Roman" w:hAnsi="Times New Roman" w:cs="Times New Roman"/>
          <w:color w:val="000000"/>
          <w:sz w:val="24"/>
          <w:szCs w:val="24"/>
        </w:rPr>
      </w:pPr>
    </w:p>
    <w:p w14:paraId="51B792A7" w14:textId="7A0ACE72" w:rsidR="005F7D31" w:rsidRPr="0012657C" w:rsidRDefault="005F7D31" w:rsidP="0012657C">
      <w:pPr>
        <w:spacing w:after="0"/>
        <w:jc w:val="both"/>
        <w:rPr>
          <w:rFonts w:ascii="Times New Roman" w:hAnsi="Times New Roman" w:cs="Times New Roman"/>
          <w:sz w:val="24"/>
          <w:szCs w:val="24"/>
        </w:rPr>
      </w:pPr>
    </w:p>
    <w:sectPr w:rsidR="005F7D31" w:rsidRPr="001265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A0345" w14:textId="77777777" w:rsidR="00A83E0E" w:rsidRDefault="00A83E0E" w:rsidP="00945426">
      <w:pPr>
        <w:spacing w:after="0" w:line="240" w:lineRule="auto"/>
      </w:pPr>
      <w:r>
        <w:separator/>
      </w:r>
    </w:p>
  </w:endnote>
  <w:endnote w:type="continuationSeparator" w:id="0">
    <w:p w14:paraId="30F038AE" w14:textId="77777777" w:rsidR="00A83E0E" w:rsidRDefault="00A83E0E" w:rsidP="009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7A41" w14:textId="77777777" w:rsidR="00A83E0E" w:rsidRDefault="00A83E0E" w:rsidP="00945426">
      <w:pPr>
        <w:spacing w:after="0" w:line="240" w:lineRule="auto"/>
      </w:pPr>
      <w:r>
        <w:separator/>
      </w:r>
    </w:p>
  </w:footnote>
  <w:footnote w:type="continuationSeparator" w:id="0">
    <w:p w14:paraId="21E7206E" w14:textId="77777777" w:rsidR="00A83E0E" w:rsidRDefault="00A83E0E" w:rsidP="00945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0262E78"/>
    <w:name w:val="WW8Num6"/>
    <w:lvl w:ilvl="0">
      <w:start w:val="1"/>
      <w:numFmt w:val="decimal"/>
      <w:lvlText w:val="%1."/>
      <w:lvlJc w:val="left"/>
      <w:pPr>
        <w:tabs>
          <w:tab w:val="num" w:pos="720"/>
        </w:tabs>
        <w:ind w:left="720" w:hanging="360"/>
      </w:pPr>
      <w:rPr>
        <w:b w:val="0"/>
        <w:bCs w:val="0"/>
      </w:rPr>
    </w:lvl>
  </w:abstractNum>
  <w:abstractNum w:abstractNumId="1">
    <w:nsid w:val="2BD12114"/>
    <w:multiLevelType w:val="multilevel"/>
    <w:tmpl w:val="30C2EE06"/>
    <w:lvl w:ilvl="0">
      <w:start w:val="1"/>
      <w:numFmt w:val="decimal"/>
      <w:lvlText w:val="%1."/>
      <w:lvlJc w:val="left"/>
      <w:pPr>
        <w:ind w:left="284" w:hanging="284"/>
      </w:pPr>
      <w:rPr>
        <w:rFonts w:ascii="Times New Roman" w:hAnsi="Times New Roman" w:cs="Times New Roman" w:hint="default"/>
        <w:b w:val="0"/>
        <w:i w:val="0"/>
        <w:color w:val="auto"/>
        <w:sz w:val="22"/>
        <w:szCs w:val="18"/>
      </w:rPr>
    </w:lvl>
    <w:lvl w:ilvl="1">
      <w:start w:val="1"/>
      <w:numFmt w:val="decimal"/>
      <w:lvlText w:val="%2)"/>
      <w:lvlJc w:val="left"/>
      <w:pPr>
        <w:ind w:left="681" w:hanging="397"/>
      </w:pPr>
      <w:rPr>
        <w:rFonts w:hint="default"/>
        <w:sz w:val="24"/>
      </w:rPr>
    </w:lvl>
    <w:lvl w:ilvl="2">
      <w:start w:val="1"/>
      <w:numFmt w:val="decimal"/>
      <w:lvlText w:val="%3)"/>
      <w:lvlJc w:val="left"/>
      <w:pPr>
        <w:ind w:left="1134" w:hanging="398"/>
      </w:pPr>
      <w:rPr>
        <w:rFonts w:ascii="Times New Roman" w:hAnsi="Times New Roman" w:hint="default"/>
        <w:sz w:val="24"/>
      </w:rPr>
    </w:lvl>
    <w:lvl w:ilvl="3">
      <w:start w:val="1"/>
      <w:numFmt w:val="lowerLetter"/>
      <w:lvlText w:val="%4)"/>
      <w:lvlJc w:val="left"/>
      <w:pPr>
        <w:ind w:left="1645" w:hanging="454"/>
      </w:pPr>
      <w:rPr>
        <w:rFonts w:hint="default"/>
      </w:rPr>
    </w:lvl>
    <w:lvl w:ilvl="4">
      <w:start w:val="1"/>
      <w:numFmt w:val="bullet"/>
      <w:lvlText w:val=""/>
      <w:lvlJc w:val="left"/>
      <w:pPr>
        <w:ind w:left="2155" w:hanging="397"/>
      </w:pPr>
      <w:rPr>
        <w:rFonts w:ascii="Symbol" w:hAnsi="Symbol" w:hint="default"/>
      </w:rPr>
    </w:lvl>
    <w:lvl w:ilvl="5">
      <w:start w:val="1"/>
      <w:numFmt w:val="bullet"/>
      <w:lvlText w:val=""/>
      <w:lvlJc w:val="left"/>
      <w:pPr>
        <w:ind w:left="2665" w:hanging="567"/>
      </w:pPr>
      <w:rPr>
        <w:rFonts w:ascii="Symbol" w:hAnsi="Symbol" w:hint="default"/>
      </w:rPr>
    </w:lvl>
    <w:lvl w:ilvl="6">
      <w:start w:val="1"/>
      <w:numFmt w:val="decimal"/>
      <w:lvlText w:val="%7."/>
      <w:lvlJc w:val="left"/>
      <w:pPr>
        <w:ind w:left="4708" w:hanging="360"/>
      </w:pPr>
      <w:rPr>
        <w:rFonts w:hint="default"/>
      </w:rPr>
    </w:lvl>
    <w:lvl w:ilvl="7">
      <w:start w:val="1"/>
      <w:numFmt w:val="lowerLetter"/>
      <w:lvlText w:val="%8."/>
      <w:lvlJc w:val="left"/>
      <w:pPr>
        <w:ind w:left="5428" w:hanging="360"/>
      </w:pPr>
      <w:rPr>
        <w:rFonts w:hint="default"/>
      </w:rPr>
    </w:lvl>
    <w:lvl w:ilvl="8">
      <w:start w:val="1"/>
      <w:numFmt w:val="lowerRoman"/>
      <w:lvlText w:val="%9."/>
      <w:lvlJc w:val="right"/>
      <w:pPr>
        <w:ind w:left="6148" w:hanging="180"/>
      </w:pPr>
      <w:rPr>
        <w:rFonts w:hint="default"/>
      </w:rPr>
    </w:lvl>
  </w:abstractNum>
  <w:abstractNum w:abstractNumId="2">
    <w:nsid w:val="3D7A25BD"/>
    <w:multiLevelType w:val="hybridMultilevel"/>
    <w:tmpl w:val="D1CE5942"/>
    <w:lvl w:ilvl="0" w:tplc="98C404F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A44403"/>
    <w:multiLevelType w:val="hybridMultilevel"/>
    <w:tmpl w:val="B28ACF5E"/>
    <w:lvl w:ilvl="0" w:tplc="002A91D8">
      <w:start w:val="1"/>
      <w:numFmt w:val="decimal"/>
      <w:lvlText w:val="%1)"/>
      <w:lvlJc w:val="left"/>
      <w:pPr>
        <w:ind w:left="720" w:hanging="360"/>
      </w:pPr>
      <w:rPr>
        <w:rFonts w:ascii="Times New Roman" w:eastAsia="CIDFont+F1"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FE0824"/>
    <w:multiLevelType w:val="hybridMultilevel"/>
    <w:tmpl w:val="8B3CF7A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666BAB"/>
    <w:multiLevelType w:val="hybridMultilevel"/>
    <w:tmpl w:val="DB6C7918"/>
    <w:lvl w:ilvl="0" w:tplc="65BA16D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31"/>
    <w:rsid w:val="000C7EC6"/>
    <w:rsid w:val="000D09ED"/>
    <w:rsid w:val="0010264C"/>
    <w:rsid w:val="0012657C"/>
    <w:rsid w:val="00147435"/>
    <w:rsid w:val="001A751B"/>
    <w:rsid w:val="001E6A74"/>
    <w:rsid w:val="002A442E"/>
    <w:rsid w:val="002D3A4D"/>
    <w:rsid w:val="00433075"/>
    <w:rsid w:val="004C73F4"/>
    <w:rsid w:val="005A3555"/>
    <w:rsid w:val="005A4141"/>
    <w:rsid w:val="005F7D31"/>
    <w:rsid w:val="00661E00"/>
    <w:rsid w:val="00670E49"/>
    <w:rsid w:val="00790700"/>
    <w:rsid w:val="007E11F4"/>
    <w:rsid w:val="007E1503"/>
    <w:rsid w:val="007E19EA"/>
    <w:rsid w:val="00814147"/>
    <w:rsid w:val="00834FA0"/>
    <w:rsid w:val="008C3122"/>
    <w:rsid w:val="00945426"/>
    <w:rsid w:val="00A83E0E"/>
    <w:rsid w:val="00BC01E3"/>
    <w:rsid w:val="00C70469"/>
    <w:rsid w:val="00E3384A"/>
    <w:rsid w:val="00F53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9A0"/>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F7D31"/>
    <w:rPr>
      <w:b/>
      <w:bCs/>
    </w:rPr>
  </w:style>
  <w:style w:type="paragraph" w:customStyle="1" w:styleId="Nagwek1">
    <w:name w:val="Nagłówek1"/>
    <w:basedOn w:val="Normalny"/>
    <w:next w:val="Tekstpodstawowy"/>
    <w:uiPriority w:val="99"/>
    <w:rsid w:val="005F7D31"/>
    <w:pPr>
      <w:suppressAutoHyphens/>
      <w:spacing w:after="0" w:line="240" w:lineRule="auto"/>
      <w:jc w:val="center"/>
    </w:pPr>
    <w:rPr>
      <w:rFonts w:ascii="Arial" w:eastAsia="Times New Roman" w:hAnsi="Arial" w:cs="Arial"/>
      <w:b/>
      <w:sz w:val="36"/>
      <w:szCs w:val="20"/>
      <w:lang w:eastAsia="zh-CN"/>
    </w:rPr>
  </w:style>
  <w:style w:type="paragraph" w:styleId="Tekstpodstawowy">
    <w:name w:val="Body Text"/>
    <w:basedOn w:val="Normalny"/>
    <w:link w:val="TekstpodstawowyZnak"/>
    <w:uiPriority w:val="99"/>
    <w:semiHidden/>
    <w:unhideWhenUsed/>
    <w:rsid w:val="005F7D31"/>
    <w:pPr>
      <w:spacing w:after="120"/>
    </w:pPr>
  </w:style>
  <w:style w:type="character" w:customStyle="1" w:styleId="TekstpodstawowyZnak">
    <w:name w:val="Tekst podstawowy Znak"/>
    <w:basedOn w:val="Domylnaczcionkaakapitu"/>
    <w:link w:val="Tekstpodstawowy"/>
    <w:uiPriority w:val="99"/>
    <w:semiHidden/>
    <w:rsid w:val="005F7D31"/>
    <w:rPr>
      <w:rFonts w:asciiTheme="minorHAnsi" w:hAnsiTheme="minorHAnsi"/>
      <w:sz w:val="22"/>
    </w:rPr>
  </w:style>
  <w:style w:type="character" w:styleId="Hipercze">
    <w:name w:val="Hyperlink"/>
    <w:basedOn w:val="Domylnaczcionkaakapitu"/>
    <w:uiPriority w:val="99"/>
    <w:unhideWhenUsed/>
    <w:rsid w:val="005F7D31"/>
    <w:rPr>
      <w:color w:val="0563C1"/>
      <w:u w:val="single"/>
    </w:rPr>
  </w:style>
  <w:style w:type="paragraph" w:styleId="Tekstprzypisukocowego">
    <w:name w:val="endnote text"/>
    <w:basedOn w:val="Normalny"/>
    <w:link w:val="TekstprzypisukocowegoZnak"/>
    <w:uiPriority w:val="99"/>
    <w:semiHidden/>
    <w:unhideWhenUsed/>
    <w:rsid w:val="009454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5426"/>
    <w:rPr>
      <w:rFonts w:asciiTheme="minorHAnsi" w:hAnsiTheme="minorHAnsi"/>
      <w:sz w:val="20"/>
      <w:szCs w:val="20"/>
    </w:rPr>
  </w:style>
  <w:style w:type="character" w:styleId="Odwoanieprzypisukocowego">
    <w:name w:val="endnote reference"/>
    <w:basedOn w:val="Domylnaczcionkaakapitu"/>
    <w:uiPriority w:val="99"/>
    <w:semiHidden/>
    <w:unhideWhenUsed/>
    <w:rsid w:val="00945426"/>
    <w:rPr>
      <w:vertAlign w:val="superscript"/>
    </w:rPr>
  </w:style>
  <w:style w:type="paragraph" w:customStyle="1" w:styleId="Default">
    <w:name w:val="Default"/>
    <w:basedOn w:val="Normalny"/>
    <w:rsid w:val="00BC01E3"/>
    <w:pPr>
      <w:autoSpaceDE w:val="0"/>
      <w:autoSpaceDN w:val="0"/>
      <w:spacing w:after="0" w:line="240" w:lineRule="auto"/>
    </w:pPr>
    <w:rPr>
      <w:rFonts w:ascii="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7E11F4"/>
    <w:pPr>
      <w:spacing w:after="160" w:line="259" w:lineRule="auto"/>
      <w:ind w:left="720"/>
      <w:contextualSpacing/>
    </w:pPr>
    <w:rPr>
      <w:rFonts w:ascii="Calibri" w:eastAsia="Times New Roman" w:hAnsi="Calibri" w:cs="Times New Roman"/>
    </w:rPr>
  </w:style>
  <w:style w:type="character" w:customStyle="1" w:styleId="AkapitzlistZnak">
    <w:name w:val="Akapit z listą Znak"/>
    <w:basedOn w:val="Domylnaczcionkaakapitu"/>
    <w:link w:val="Akapitzlist"/>
    <w:uiPriority w:val="34"/>
    <w:locked/>
    <w:rsid w:val="007E11F4"/>
    <w:rPr>
      <w:rFonts w:ascii="Calibri" w:eastAsia="Times New Roman" w:hAnsi="Calibri" w:cs="Times New Roman"/>
      <w:sz w:val="22"/>
    </w:rPr>
  </w:style>
  <w:style w:type="character" w:customStyle="1" w:styleId="UnresolvedMention">
    <w:name w:val="Unresolved Mention"/>
    <w:basedOn w:val="Domylnaczcionkaakapitu"/>
    <w:uiPriority w:val="99"/>
    <w:semiHidden/>
    <w:unhideWhenUsed/>
    <w:rsid w:val="00670E49"/>
    <w:rPr>
      <w:color w:val="605E5C"/>
      <w:shd w:val="clear" w:color="auto" w:fill="E1DFDD"/>
    </w:rPr>
  </w:style>
  <w:style w:type="paragraph" w:customStyle="1" w:styleId="Zawartotabeli">
    <w:name w:val="Zawartość tabeli"/>
    <w:basedOn w:val="Normalny"/>
    <w:rsid w:val="000D09ED"/>
    <w:pPr>
      <w:suppressLineNumbers/>
      <w:suppressAutoHyphens/>
      <w:spacing w:after="0" w:line="240" w:lineRule="auto"/>
    </w:pPr>
    <w:rPr>
      <w:rFonts w:ascii="Times New Roman" w:eastAsia="SimSun" w:hAnsi="Times New Roman" w:cs="Arial"/>
      <w:kern w:val="2"/>
      <w:sz w:val="24"/>
      <w:szCs w:val="24"/>
      <w:lang w:eastAsia="zh-CN" w:bidi="hi-IN"/>
    </w:rPr>
  </w:style>
  <w:style w:type="paragraph" w:styleId="Tekstdymka">
    <w:name w:val="Balloon Text"/>
    <w:basedOn w:val="Normalny"/>
    <w:link w:val="TekstdymkaZnak"/>
    <w:uiPriority w:val="99"/>
    <w:semiHidden/>
    <w:unhideWhenUsed/>
    <w:rsid w:val="00102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6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9A0"/>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F7D31"/>
    <w:rPr>
      <w:b/>
      <w:bCs/>
    </w:rPr>
  </w:style>
  <w:style w:type="paragraph" w:customStyle="1" w:styleId="Nagwek1">
    <w:name w:val="Nagłówek1"/>
    <w:basedOn w:val="Normalny"/>
    <w:next w:val="Tekstpodstawowy"/>
    <w:uiPriority w:val="99"/>
    <w:rsid w:val="005F7D31"/>
    <w:pPr>
      <w:suppressAutoHyphens/>
      <w:spacing w:after="0" w:line="240" w:lineRule="auto"/>
      <w:jc w:val="center"/>
    </w:pPr>
    <w:rPr>
      <w:rFonts w:ascii="Arial" w:eastAsia="Times New Roman" w:hAnsi="Arial" w:cs="Arial"/>
      <w:b/>
      <w:sz w:val="36"/>
      <w:szCs w:val="20"/>
      <w:lang w:eastAsia="zh-CN"/>
    </w:rPr>
  </w:style>
  <w:style w:type="paragraph" w:styleId="Tekstpodstawowy">
    <w:name w:val="Body Text"/>
    <w:basedOn w:val="Normalny"/>
    <w:link w:val="TekstpodstawowyZnak"/>
    <w:uiPriority w:val="99"/>
    <w:semiHidden/>
    <w:unhideWhenUsed/>
    <w:rsid w:val="005F7D31"/>
    <w:pPr>
      <w:spacing w:after="120"/>
    </w:pPr>
  </w:style>
  <w:style w:type="character" w:customStyle="1" w:styleId="TekstpodstawowyZnak">
    <w:name w:val="Tekst podstawowy Znak"/>
    <w:basedOn w:val="Domylnaczcionkaakapitu"/>
    <w:link w:val="Tekstpodstawowy"/>
    <w:uiPriority w:val="99"/>
    <w:semiHidden/>
    <w:rsid w:val="005F7D31"/>
    <w:rPr>
      <w:rFonts w:asciiTheme="minorHAnsi" w:hAnsiTheme="minorHAnsi"/>
      <w:sz w:val="22"/>
    </w:rPr>
  </w:style>
  <w:style w:type="character" w:styleId="Hipercze">
    <w:name w:val="Hyperlink"/>
    <w:basedOn w:val="Domylnaczcionkaakapitu"/>
    <w:uiPriority w:val="99"/>
    <w:unhideWhenUsed/>
    <w:rsid w:val="005F7D31"/>
    <w:rPr>
      <w:color w:val="0563C1"/>
      <w:u w:val="single"/>
    </w:rPr>
  </w:style>
  <w:style w:type="paragraph" w:styleId="Tekstprzypisukocowego">
    <w:name w:val="endnote text"/>
    <w:basedOn w:val="Normalny"/>
    <w:link w:val="TekstprzypisukocowegoZnak"/>
    <w:uiPriority w:val="99"/>
    <w:semiHidden/>
    <w:unhideWhenUsed/>
    <w:rsid w:val="009454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5426"/>
    <w:rPr>
      <w:rFonts w:asciiTheme="minorHAnsi" w:hAnsiTheme="minorHAnsi"/>
      <w:sz w:val="20"/>
      <w:szCs w:val="20"/>
    </w:rPr>
  </w:style>
  <w:style w:type="character" w:styleId="Odwoanieprzypisukocowego">
    <w:name w:val="endnote reference"/>
    <w:basedOn w:val="Domylnaczcionkaakapitu"/>
    <w:uiPriority w:val="99"/>
    <w:semiHidden/>
    <w:unhideWhenUsed/>
    <w:rsid w:val="00945426"/>
    <w:rPr>
      <w:vertAlign w:val="superscript"/>
    </w:rPr>
  </w:style>
  <w:style w:type="paragraph" w:customStyle="1" w:styleId="Default">
    <w:name w:val="Default"/>
    <w:basedOn w:val="Normalny"/>
    <w:rsid w:val="00BC01E3"/>
    <w:pPr>
      <w:autoSpaceDE w:val="0"/>
      <w:autoSpaceDN w:val="0"/>
      <w:spacing w:after="0" w:line="240" w:lineRule="auto"/>
    </w:pPr>
    <w:rPr>
      <w:rFonts w:ascii="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7E11F4"/>
    <w:pPr>
      <w:spacing w:after="160" w:line="259" w:lineRule="auto"/>
      <w:ind w:left="720"/>
      <w:contextualSpacing/>
    </w:pPr>
    <w:rPr>
      <w:rFonts w:ascii="Calibri" w:eastAsia="Times New Roman" w:hAnsi="Calibri" w:cs="Times New Roman"/>
    </w:rPr>
  </w:style>
  <w:style w:type="character" w:customStyle="1" w:styleId="AkapitzlistZnak">
    <w:name w:val="Akapit z listą Znak"/>
    <w:basedOn w:val="Domylnaczcionkaakapitu"/>
    <w:link w:val="Akapitzlist"/>
    <w:uiPriority w:val="34"/>
    <w:locked/>
    <w:rsid w:val="007E11F4"/>
    <w:rPr>
      <w:rFonts w:ascii="Calibri" w:eastAsia="Times New Roman" w:hAnsi="Calibri" w:cs="Times New Roman"/>
      <w:sz w:val="22"/>
    </w:rPr>
  </w:style>
  <w:style w:type="character" w:customStyle="1" w:styleId="UnresolvedMention">
    <w:name w:val="Unresolved Mention"/>
    <w:basedOn w:val="Domylnaczcionkaakapitu"/>
    <w:uiPriority w:val="99"/>
    <w:semiHidden/>
    <w:unhideWhenUsed/>
    <w:rsid w:val="00670E49"/>
    <w:rPr>
      <w:color w:val="605E5C"/>
      <w:shd w:val="clear" w:color="auto" w:fill="E1DFDD"/>
    </w:rPr>
  </w:style>
  <w:style w:type="paragraph" w:customStyle="1" w:styleId="Zawartotabeli">
    <w:name w:val="Zawartość tabeli"/>
    <w:basedOn w:val="Normalny"/>
    <w:rsid w:val="000D09ED"/>
    <w:pPr>
      <w:suppressLineNumbers/>
      <w:suppressAutoHyphens/>
      <w:spacing w:after="0" w:line="240" w:lineRule="auto"/>
    </w:pPr>
    <w:rPr>
      <w:rFonts w:ascii="Times New Roman" w:eastAsia="SimSun" w:hAnsi="Times New Roman" w:cs="Arial"/>
      <w:kern w:val="2"/>
      <w:sz w:val="24"/>
      <w:szCs w:val="24"/>
      <w:lang w:eastAsia="zh-CN" w:bidi="hi-IN"/>
    </w:rPr>
  </w:style>
  <w:style w:type="paragraph" w:styleId="Tekstdymka">
    <w:name w:val="Balloon Text"/>
    <w:basedOn w:val="Normalny"/>
    <w:link w:val="TekstdymkaZnak"/>
    <w:uiPriority w:val="99"/>
    <w:semiHidden/>
    <w:unhideWhenUsed/>
    <w:rsid w:val="00102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11241">
      <w:bodyDiv w:val="1"/>
      <w:marLeft w:val="0"/>
      <w:marRight w:val="0"/>
      <w:marTop w:val="0"/>
      <w:marBottom w:val="0"/>
      <w:divBdr>
        <w:top w:val="none" w:sz="0" w:space="0" w:color="auto"/>
        <w:left w:val="none" w:sz="0" w:space="0" w:color="auto"/>
        <w:bottom w:val="none" w:sz="0" w:space="0" w:color="auto"/>
        <w:right w:val="none" w:sz="0" w:space="0" w:color="auto"/>
      </w:divBdr>
    </w:div>
    <w:div w:id="15687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3133</Words>
  <Characters>18802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Piotr Lach</cp:lastModifiedBy>
  <cp:revision>2</cp:revision>
  <cp:lastPrinted>2020-12-08T13:03:00Z</cp:lastPrinted>
  <dcterms:created xsi:type="dcterms:W3CDTF">2020-12-09T06:42:00Z</dcterms:created>
  <dcterms:modified xsi:type="dcterms:W3CDTF">2020-12-09T06:42:00Z</dcterms:modified>
</cp:coreProperties>
</file>