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798" w14:textId="77777777" w:rsidR="00434A0C" w:rsidRPr="00AA6100" w:rsidRDefault="00434A0C" w:rsidP="00434A0C">
      <w:pPr>
        <w:spacing w:after="60" w:line="240" w:lineRule="auto"/>
        <w:ind w:left="5954"/>
        <w:rPr>
          <w:rStyle w:val="ADRES"/>
          <w:rFonts w:asciiTheme="minorHAnsi" w:hAnsiTheme="minorHAnsi"/>
          <w:b w:val="0"/>
          <w:sz w:val="16"/>
          <w:szCs w:val="16"/>
        </w:rPr>
      </w:pPr>
    </w:p>
    <w:p w14:paraId="722CF44C" w14:textId="44B82484" w:rsidR="00434A0C" w:rsidRPr="00E021A9" w:rsidRDefault="00434A0C" w:rsidP="00434A0C">
      <w:pPr>
        <w:tabs>
          <w:tab w:val="right" w:pos="9638"/>
        </w:tabs>
        <w:jc w:val="right"/>
        <w:rPr>
          <w:rFonts w:asciiTheme="minorHAnsi" w:hAnsiTheme="minorHAnsi" w:cs="Calibri"/>
          <w:sz w:val="22"/>
          <w:szCs w:val="24"/>
        </w:rPr>
      </w:pPr>
      <w:r w:rsidRPr="00E021A9">
        <w:rPr>
          <w:sz w:val="22"/>
        </w:rPr>
        <w:t>L. Dz. G</w:t>
      </w:r>
      <w:r w:rsidRPr="00E021A9">
        <w:rPr>
          <w:rFonts w:asciiTheme="minorHAnsi" w:hAnsiTheme="minorHAnsi" w:cs="Calibri"/>
          <w:sz w:val="22"/>
        </w:rPr>
        <w:t>Z/</w:t>
      </w:r>
      <w:r>
        <w:rPr>
          <w:rFonts w:asciiTheme="minorHAnsi" w:hAnsiTheme="minorHAnsi" w:cs="Calibri"/>
          <w:color w:val="000000" w:themeColor="text1"/>
          <w:sz w:val="22"/>
        </w:rPr>
        <w:t>AS</w:t>
      </w:r>
      <w:r w:rsidRPr="00201818">
        <w:rPr>
          <w:rFonts w:asciiTheme="minorHAnsi" w:hAnsiTheme="minorHAnsi" w:cs="Calibri"/>
          <w:color w:val="000000" w:themeColor="text1"/>
          <w:sz w:val="22"/>
        </w:rPr>
        <w:t>/</w:t>
      </w:r>
      <w:r>
        <w:rPr>
          <w:rFonts w:asciiTheme="minorHAnsi" w:hAnsiTheme="minorHAnsi" w:cs="Calibri"/>
          <w:color w:val="000000" w:themeColor="text1"/>
          <w:sz w:val="22"/>
        </w:rPr>
        <w:t xml:space="preserve">              </w:t>
      </w:r>
      <w:r w:rsidRPr="00201818">
        <w:rPr>
          <w:rFonts w:asciiTheme="minorHAnsi" w:hAnsiTheme="minorHAnsi" w:cs="Calibri"/>
          <w:color w:val="000000" w:themeColor="text1"/>
          <w:sz w:val="22"/>
        </w:rPr>
        <w:t>/202</w:t>
      </w:r>
      <w:r>
        <w:rPr>
          <w:rFonts w:asciiTheme="minorHAnsi" w:hAnsiTheme="minorHAnsi" w:cs="Calibri"/>
          <w:color w:val="000000" w:themeColor="text1"/>
          <w:sz w:val="22"/>
        </w:rPr>
        <w:t>3</w:t>
      </w:r>
      <w:r w:rsidRPr="00E021A9">
        <w:rPr>
          <w:rFonts w:asciiTheme="minorHAnsi" w:hAnsiTheme="minorHAnsi" w:cs="Calibri"/>
          <w:sz w:val="22"/>
        </w:rPr>
        <w:tab/>
      </w:r>
      <w:r w:rsidR="00AA167E" w:rsidRPr="00AA167E">
        <w:rPr>
          <w:rFonts w:asciiTheme="minorHAnsi" w:hAnsiTheme="minorHAnsi" w:cs="Calibri"/>
          <w:sz w:val="22"/>
          <w:szCs w:val="24"/>
        </w:rPr>
        <w:t>Bydgoszcz, on …. February 2023</w:t>
      </w:r>
    </w:p>
    <w:p w14:paraId="41A4FEE5" w14:textId="1E3B095E" w:rsidR="00434A0C" w:rsidRDefault="00434A0C" w:rsidP="00434A0C">
      <w:bookmarkStart w:id="0" w:name="_Hlk97640200"/>
      <w:r>
        <w:t>N</w:t>
      </w:r>
      <w:r w:rsidR="00AA167E">
        <w:t>o</w:t>
      </w:r>
      <w:r>
        <w:t>. MKUO ProNatura/ZO/18/23</w:t>
      </w:r>
    </w:p>
    <w:p w14:paraId="59E312D2" w14:textId="74C79BDB" w:rsidR="00F34B07" w:rsidRDefault="00F34B07" w:rsidP="00434A0C"/>
    <w:p w14:paraId="28B30BC8" w14:textId="77777777" w:rsidR="00F34B07" w:rsidRDefault="00F34B07" w:rsidP="00434A0C">
      <w:pPr>
        <w:rPr>
          <w:rFonts w:asciiTheme="minorHAnsi" w:hAnsiTheme="minorHAnsi" w:cs="Calibri"/>
          <w:sz w:val="22"/>
        </w:rPr>
      </w:pPr>
    </w:p>
    <w:bookmarkEnd w:id="0"/>
    <w:p w14:paraId="71D3779F" w14:textId="57536B95" w:rsidR="00434A0C" w:rsidRDefault="00AA167E" w:rsidP="00434A0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A167E">
        <w:rPr>
          <w:rFonts w:asciiTheme="minorHAnsi" w:hAnsiTheme="minorHAnsi" w:cs="Calibri"/>
          <w:b/>
          <w:sz w:val="24"/>
          <w:szCs w:val="24"/>
        </w:rPr>
        <w:t>INQUIRY</w:t>
      </w:r>
    </w:p>
    <w:p w14:paraId="62B618AA" w14:textId="2E8F3074" w:rsidR="00AA167E" w:rsidRPr="00AA167E" w:rsidRDefault="00AA167E" w:rsidP="00AA167E">
      <w:pPr>
        <w:spacing w:after="0" w:line="276" w:lineRule="auto"/>
        <w:rPr>
          <w:rFonts w:cs="Calibri"/>
          <w:sz w:val="22"/>
        </w:rPr>
      </w:pPr>
    </w:p>
    <w:p w14:paraId="7EDD17BB" w14:textId="3DC4F34F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>
        <w:rPr>
          <w:rFonts w:cs="Calibri"/>
          <w:sz w:val="22"/>
        </w:rPr>
        <w:t>Międzygminny Kompleks Unieszkodliwiania Odpadów Komunalnych</w:t>
      </w:r>
      <w:r w:rsidRPr="00AA167E">
        <w:rPr>
          <w:rFonts w:cs="Calibri"/>
          <w:sz w:val="22"/>
        </w:rPr>
        <w:t xml:space="preserve"> ProNatura Sp. z o. o. in Bydgoszcz</w:t>
      </w:r>
    </w:p>
    <w:p w14:paraId="02E4694F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>kindly asks for a price offer, taking into account the following requirements:</w:t>
      </w:r>
    </w:p>
    <w:p w14:paraId="0FA89F4B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</w:p>
    <w:p w14:paraId="52F3BE70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1. Subject of the order:</w:t>
      </w:r>
    </w:p>
    <w:p w14:paraId="6BDDB663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>"Supply of sodium hydroxide pumps"</w:t>
      </w:r>
    </w:p>
    <w:p w14:paraId="33AADCCA" w14:textId="77777777" w:rsidR="00AA167E" w:rsidRPr="00AA167E" w:rsidRDefault="00AA167E" w:rsidP="00515B5F">
      <w:pPr>
        <w:spacing w:after="0" w:line="360" w:lineRule="auto"/>
        <w:rPr>
          <w:rFonts w:cs="Calibri"/>
          <w:b/>
          <w:bCs/>
          <w:sz w:val="22"/>
        </w:rPr>
      </w:pPr>
      <w:r w:rsidRPr="00AA167E">
        <w:rPr>
          <w:rFonts w:cs="Calibri"/>
          <w:b/>
          <w:bCs/>
          <w:sz w:val="22"/>
        </w:rPr>
        <w:t>2. Conditions required from Contractors:</w:t>
      </w:r>
    </w:p>
    <w:p w14:paraId="3CE50FB8" w14:textId="1533D0B3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>The subject of the procedure is to select a supplier of 2 pcs of pumps manufactured by "Pompe CUCCHI", type MX</w:t>
      </w:r>
      <w:r w:rsidR="00562759">
        <w:rPr>
          <w:rFonts w:cs="Calibri"/>
          <w:sz w:val="22"/>
        </w:rPr>
        <w:t>0</w:t>
      </w:r>
      <w:r w:rsidRPr="00AA167E">
        <w:rPr>
          <w:rFonts w:cs="Calibri"/>
          <w:sz w:val="22"/>
        </w:rPr>
        <w:t>50, with a magnetic coupling</w:t>
      </w:r>
      <w:r w:rsidR="00674A84">
        <w:rPr>
          <w:rFonts w:cs="Calibri"/>
          <w:sz w:val="22"/>
        </w:rPr>
        <w:t>, without motor and assembly frame</w:t>
      </w:r>
      <w:r w:rsidRPr="00AA167E">
        <w:rPr>
          <w:rFonts w:cs="Calibri"/>
          <w:sz w:val="22"/>
        </w:rPr>
        <w:t>. The pump is used to pump 30% NaOH solution. The mechanical and hydraulic parameters must be identical to those of the pump whose nameplate is shown in the attached photo.</w:t>
      </w:r>
      <w:r w:rsidR="00674A84">
        <w:rPr>
          <w:rFonts w:cs="Calibri"/>
          <w:sz w:val="22"/>
        </w:rPr>
        <w:t xml:space="preserve"> The M050XXKTN0000 pump</w:t>
      </w:r>
      <w:r w:rsidR="00B25761">
        <w:rPr>
          <w:rFonts w:cs="Calibri"/>
          <w:sz w:val="22"/>
        </w:rPr>
        <w:t>s</w:t>
      </w:r>
      <w:r w:rsidR="00674A84">
        <w:rPr>
          <w:rFonts w:cs="Calibri"/>
          <w:sz w:val="22"/>
        </w:rPr>
        <w:t xml:space="preserve"> delivery is accepted.</w:t>
      </w:r>
    </w:p>
    <w:p w14:paraId="3A98D39F" w14:textId="25F757A9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Warranty:</w:t>
      </w:r>
      <w:r w:rsidRPr="00AA167E">
        <w:rPr>
          <w:rFonts w:cs="Calibri"/>
          <w:sz w:val="22"/>
        </w:rPr>
        <w:t xml:space="preserve"> </w:t>
      </w:r>
      <w:r w:rsidR="00562759" w:rsidRPr="00562759">
        <w:rPr>
          <w:rStyle w:val="rynqvb"/>
          <w:sz w:val="22"/>
          <w:lang w:val="en"/>
        </w:rPr>
        <w:t>12 months from the date of installation, no more than 18 months from delivery</w:t>
      </w:r>
      <w:r w:rsidRPr="00562759">
        <w:rPr>
          <w:rFonts w:cs="Calibri"/>
          <w:sz w:val="22"/>
        </w:rPr>
        <w:t>.</w:t>
      </w:r>
    </w:p>
    <w:p w14:paraId="13FB4312" w14:textId="77777777" w:rsidR="00AA167E" w:rsidRPr="00AA167E" w:rsidRDefault="00AA167E" w:rsidP="00515B5F">
      <w:pPr>
        <w:spacing w:after="0" w:line="360" w:lineRule="auto"/>
        <w:rPr>
          <w:rFonts w:cs="Calibri"/>
          <w:b/>
          <w:bCs/>
          <w:sz w:val="22"/>
        </w:rPr>
      </w:pPr>
      <w:r w:rsidRPr="00AA167E">
        <w:rPr>
          <w:rFonts w:cs="Calibri"/>
          <w:b/>
          <w:bCs/>
          <w:sz w:val="22"/>
        </w:rPr>
        <w:t>Attention!</w:t>
      </w:r>
    </w:p>
    <w:p w14:paraId="2948C7E2" w14:textId="6B0D0246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 xml:space="preserve">When submitting an offer, catalog cards of the offered </w:t>
      </w:r>
      <w:r w:rsidR="00562759">
        <w:rPr>
          <w:rFonts w:cs="Calibri"/>
          <w:sz w:val="22"/>
        </w:rPr>
        <w:t xml:space="preserve">pumps </w:t>
      </w:r>
      <w:r w:rsidRPr="00AA167E">
        <w:rPr>
          <w:rFonts w:cs="Calibri"/>
          <w:sz w:val="22"/>
        </w:rPr>
        <w:t>should be attached in the form of a PDF file.</w:t>
      </w:r>
    </w:p>
    <w:p w14:paraId="6828E15F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3. Order completion date:</w:t>
      </w:r>
      <w:r w:rsidRPr="00AA167E">
        <w:rPr>
          <w:rFonts w:cs="Calibri"/>
          <w:sz w:val="22"/>
        </w:rPr>
        <w:t xml:space="preserve"> up to 6 weeks from awarding the order.</w:t>
      </w:r>
    </w:p>
    <w:p w14:paraId="035AE32A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4. Offer evaluation criterion:</w:t>
      </w:r>
      <w:r w:rsidRPr="00AA167E">
        <w:rPr>
          <w:rFonts w:cs="Calibri"/>
          <w:sz w:val="22"/>
        </w:rPr>
        <w:t xml:space="preserve"> 100% price, the offer price should include all delivery costs.</w:t>
      </w:r>
    </w:p>
    <w:p w14:paraId="50C97A14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5. Payment deadline:</w:t>
      </w:r>
      <w:r w:rsidRPr="00AA167E">
        <w:rPr>
          <w:rFonts w:cs="Calibri"/>
          <w:sz w:val="22"/>
        </w:rPr>
        <w:t xml:space="preserve"> 30 days from the date of receipt of a properly issued invoice, based on the acceptance protocol signed by the Parties.</w:t>
      </w:r>
    </w:p>
    <w:p w14:paraId="5C5D3777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6. Person authorized to contact the Contractors:</w:t>
      </w:r>
      <w:r w:rsidRPr="00AA167E">
        <w:rPr>
          <w:rFonts w:cs="Calibri"/>
          <w:sz w:val="22"/>
        </w:rPr>
        <w:t xml:space="preserve"> Stanisław Zwierzyński - Maintenance Manager.</w:t>
      </w:r>
    </w:p>
    <w:p w14:paraId="7F25C723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>For additional information, please communicate via the purchasing platform.</w:t>
      </w:r>
    </w:p>
    <w:p w14:paraId="591CDCBC" w14:textId="14E4C736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7. Please submit your offer by:</w:t>
      </w:r>
      <w:r w:rsidRPr="00AA167E">
        <w:rPr>
          <w:rFonts w:cs="Calibri"/>
          <w:sz w:val="22"/>
        </w:rPr>
        <w:t xml:space="preserve"> March </w:t>
      </w:r>
      <w:r w:rsidR="009849DB">
        <w:rPr>
          <w:rFonts w:cs="Calibri"/>
          <w:sz w:val="22"/>
        </w:rPr>
        <w:t>7</w:t>
      </w:r>
      <w:r w:rsidRPr="00AA167E">
        <w:rPr>
          <w:rFonts w:cs="Calibri"/>
          <w:sz w:val="22"/>
        </w:rPr>
        <w:t>, 2023</w:t>
      </w:r>
    </w:p>
    <w:p w14:paraId="434CEC5E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sz w:val="22"/>
        </w:rPr>
        <w:t>on the Purchaser's purchasing platform: https://platformazakupowa.pl/mkuo_pronatura/aukcje</w:t>
      </w:r>
    </w:p>
    <w:p w14:paraId="27F1A7C6" w14:textId="02E865A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lastRenderedPageBreak/>
        <w:t>8.</w:t>
      </w:r>
      <w:r w:rsidRPr="00AA167E">
        <w:rPr>
          <w:rFonts w:cs="Calibri"/>
          <w:sz w:val="22"/>
        </w:rPr>
        <w:t xml:space="preserve"> The contracting authority excludes from participation in the procedure and rejects tenders submitted by entities</w:t>
      </w:r>
      <w:r>
        <w:rPr>
          <w:rFonts w:cs="Calibri"/>
          <w:sz w:val="22"/>
        </w:rPr>
        <w:t xml:space="preserve"> </w:t>
      </w:r>
      <w:r w:rsidRPr="00AA167E">
        <w:rPr>
          <w:rFonts w:cs="Calibri"/>
          <w:sz w:val="22"/>
        </w:rPr>
        <w:t>to which the provision of art. 7 of the Act of April 13, 2022 on special solutions to counteract the support of aggression against Ukraine and to protect national security (Journal of Laws of 2022, item 835).</w:t>
      </w:r>
    </w:p>
    <w:p w14:paraId="27114ADC" w14:textId="478468A1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  <w:r w:rsidRPr="00AA167E">
        <w:rPr>
          <w:rFonts w:cs="Calibri"/>
          <w:b/>
          <w:bCs/>
          <w:sz w:val="22"/>
        </w:rPr>
        <w:t>9.</w:t>
      </w:r>
      <w:r w:rsidRPr="00AA167E">
        <w:rPr>
          <w:rFonts w:cs="Calibri"/>
          <w:sz w:val="22"/>
        </w:rPr>
        <w:t xml:space="preserve"> The contracting authority may cancel this </w:t>
      </w:r>
      <w:r w:rsidR="00674A84">
        <w:rPr>
          <w:rFonts w:cs="Calibri"/>
          <w:sz w:val="22"/>
        </w:rPr>
        <w:t>procurment</w:t>
      </w:r>
      <w:r w:rsidRPr="00AA167E">
        <w:rPr>
          <w:rFonts w:cs="Calibri"/>
          <w:sz w:val="22"/>
        </w:rPr>
        <w:t xml:space="preserve"> at any time without giving any reason, if circumstances have occurred which make further conduct of the procedure or the award and performance of the contract impossible</w:t>
      </w:r>
      <w:r>
        <w:rPr>
          <w:rFonts w:cs="Calibri"/>
          <w:sz w:val="22"/>
        </w:rPr>
        <w:t xml:space="preserve"> </w:t>
      </w:r>
      <w:r w:rsidRPr="00AA167E">
        <w:rPr>
          <w:rFonts w:cs="Calibri"/>
          <w:sz w:val="22"/>
        </w:rPr>
        <w:t>is unreasonable or not in the public interest, which could not have been foreseen in advance.</w:t>
      </w:r>
    </w:p>
    <w:p w14:paraId="5D71B3C2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</w:p>
    <w:p w14:paraId="6E0A1182" w14:textId="77777777" w:rsidR="00AA167E" w:rsidRPr="00AA167E" w:rsidRDefault="00AA167E" w:rsidP="00515B5F">
      <w:pPr>
        <w:spacing w:after="0" w:line="360" w:lineRule="auto"/>
        <w:rPr>
          <w:rFonts w:cs="Calibri"/>
          <w:sz w:val="22"/>
        </w:rPr>
      </w:pPr>
    </w:p>
    <w:p w14:paraId="134EA7FB" w14:textId="77777777" w:rsidR="00AA167E" w:rsidRP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  <w:r w:rsidRPr="00AA167E">
        <w:rPr>
          <w:rFonts w:cs="Calibri"/>
          <w:sz w:val="22"/>
        </w:rPr>
        <w:t>Approved:</w:t>
      </w:r>
    </w:p>
    <w:p w14:paraId="0A840395" w14:textId="77777777" w:rsid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</w:p>
    <w:p w14:paraId="1DAB3EA8" w14:textId="77777777" w:rsid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</w:p>
    <w:p w14:paraId="145338C2" w14:textId="77777777" w:rsid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</w:p>
    <w:p w14:paraId="5DE881AB" w14:textId="77777777" w:rsid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  <w:r w:rsidRPr="00AA167E">
        <w:rPr>
          <w:rFonts w:cs="Calibri"/>
          <w:sz w:val="22"/>
        </w:rPr>
        <w:t xml:space="preserve">………………………………………… </w:t>
      </w:r>
    </w:p>
    <w:p w14:paraId="7997567D" w14:textId="77777777" w:rsidR="00AA167E" w:rsidRPr="00AA167E" w:rsidRDefault="00AA167E" w:rsidP="006640C8">
      <w:pPr>
        <w:spacing w:after="0" w:line="360" w:lineRule="auto"/>
        <w:ind w:left="6379"/>
        <w:rPr>
          <w:rFonts w:cs="Calibri"/>
          <w:sz w:val="22"/>
        </w:rPr>
      </w:pPr>
      <w:r w:rsidRPr="00AA167E">
        <w:rPr>
          <w:rFonts w:cs="Calibri"/>
          <w:sz w:val="22"/>
        </w:rPr>
        <w:t>(Management)</w:t>
      </w:r>
    </w:p>
    <w:p w14:paraId="11AE5F64" w14:textId="3DDDF0EC" w:rsidR="00D67DFA" w:rsidRPr="00434A0C" w:rsidRDefault="00D67DFA" w:rsidP="006640C8">
      <w:pPr>
        <w:spacing w:after="0" w:line="360" w:lineRule="auto"/>
        <w:ind w:left="6379"/>
      </w:pPr>
    </w:p>
    <w:sectPr w:rsidR="00D67DFA" w:rsidRPr="00434A0C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A994" w14:textId="77777777" w:rsidR="00367F4F" w:rsidRDefault="00367F4F" w:rsidP="00B23657">
      <w:pPr>
        <w:spacing w:after="0" w:line="240" w:lineRule="auto"/>
      </w:pPr>
      <w:r>
        <w:separator/>
      </w:r>
    </w:p>
  </w:endnote>
  <w:endnote w:type="continuationSeparator" w:id="0">
    <w:p w14:paraId="4A85DC45" w14:textId="77777777" w:rsidR="00367F4F" w:rsidRDefault="00367F4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ProNatura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ProNatura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7980" w14:textId="77777777" w:rsidR="00367F4F" w:rsidRDefault="00367F4F" w:rsidP="00B23657">
      <w:pPr>
        <w:spacing w:after="0" w:line="240" w:lineRule="auto"/>
      </w:pPr>
      <w:r>
        <w:separator/>
      </w:r>
    </w:p>
  </w:footnote>
  <w:footnote w:type="continuationSeparator" w:id="0">
    <w:p w14:paraId="6287EDC6" w14:textId="77777777" w:rsidR="00367F4F" w:rsidRDefault="00367F4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 Petersona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 Petersona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29B8D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58D"/>
    <w:multiLevelType w:val="hybridMultilevel"/>
    <w:tmpl w:val="531CCD12"/>
    <w:lvl w:ilvl="0" w:tplc="2530EDF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2"/>
  </w:num>
  <w:num w:numId="4" w16cid:durableId="787430069">
    <w:abstractNumId w:val="3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0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2FEF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5049C"/>
    <w:rsid w:val="00153638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F744B"/>
    <w:rsid w:val="001F7846"/>
    <w:rsid w:val="002200E4"/>
    <w:rsid w:val="00221D72"/>
    <w:rsid w:val="00225F84"/>
    <w:rsid w:val="00237A4C"/>
    <w:rsid w:val="0025145C"/>
    <w:rsid w:val="00255D38"/>
    <w:rsid w:val="00263CBC"/>
    <w:rsid w:val="00295B6C"/>
    <w:rsid w:val="002A79FF"/>
    <w:rsid w:val="002B35CC"/>
    <w:rsid w:val="002C69C0"/>
    <w:rsid w:val="002D75D1"/>
    <w:rsid w:val="002F2B93"/>
    <w:rsid w:val="002F5359"/>
    <w:rsid w:val="00300B13"/>
    <w:rsid w:val="00302CBF"/>
    <w:rsid w:val="00310B60"/>
    <w:rsid w:val="00313468"/>
    <w:rsid w:val="00332247"/>
    <w:rsid w:val="00353C4C"/>
    <w:rsid w:val="00360793"/>
    <w:rsid w:val="00361389"/>
    <w:rsid w:val="00367F4F"/>
    <w:rsid w:val="003818EB"/>
    <w:rsid w:val="00391CFB"/>
    <w:rsid w:val="003D07E3"/>
    <w:rsid w:val="003F7B9C"/>
    <w:rsid w:val="00403672"/>
    <w:rsid w:val="0040409F"/>
    <w:rsid w:val="00404632"/>
    <w:rsid w:val="00407F47"/>
    <w:rsid w:val="00412C8D"/>
    <w:rsid w:val="00415AE8"/>
    <w:rsid w:val="00434A0C"/>
    <w:rsid w:val="004548CA"/>
    <w:rsid w:val="0046705F"/>
    <w:rsid w:val="00484734"/>
    <w:rsid w:val="00490171"/>
    <w:rsid w:val="004A3186"/>
    <w:rsid w:val="004B6C40"/>
    <w:rsid w:val="004D088D"/>
    <w:rsid w:val="004D1D8C"/>
    <w:rsid w:val="004D5D30"/>
    <w:rsid w:val="004D6E54"/>
    <w:rsid w:val="004D7D4C"/>
    <w:rsid w:val="004E7035"/>
    <w:rsid w:val="004F4C14"/>
    <w:rsid w:val="0051494D"/>
    <w:rsid w:val="00515B5F"/>
    <w:rsid w:val="00531ECD"/>
    <w:rsid w:val="005358E2"/>
    <w:rsid w:val="005444D9"/>
    <w:rsid w:val="00547674"/>
    <w:rsid w:val="00555FBB"/>
    <w:rsid w:val="00557185"/>
    <w:rsid w:val="00562759"/>
    <w:rsid w:val="005647AB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4084"/>
    <w:rsid w:val="00636B3B"/>
    <w:rsid w:val="00642D00"/>
    <w:rsid w:val="006460FA"/>
    <w:rsid w:val="00650CE8"/>
    <w:rsid w:val="006640C8"/>
    <w:rsid w:val="00674A84"/>
    <w:rsid w:val="00690993"/>
    <w:rsid w:val="006F4169"/>
    <w:rsid w:val="006F58BD"/>
    <w:rsid w:val="0070587C"/>
    <w:rsid w:val="00710321"/>
    <w:rsid w:val="00727DA6"/>
    <w:rsid w:val="00740E92"/>
    <w:rsid w:val="00742606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7052"/>
    <w:rsid w:val="00941D45"/>
    <w:rsid w:val="0094280E"/>
    <w:rsid w:val="00954754"/>
    <w:rsid w:val="00955B35"/>
    <w:rsid w:val="00957061"/>
    <w:rsid w:val="00972356"/>
    <w:rsid w:val="00977A0A"/>
    <w:rsid w:val="009849DB"/>
    <w:rsid w:val="00984D60"/>
    <w:rsid w:val="00985F53"/>
    <w:rsid w:val="009958DC"/>
    <w:rsid w:val="009B383D"/>
    <w:rsid w:val="009B4366"/>
    <w:rsid w:val="00A0035B"/>
    <w:rsid w:val="00A11500"/>
    <w:rsid w:val="00A116A0"/>
    <w:rsid w:val="00A1724C"/>
    <w:rsid w:val="00A26A5D"/>
    <w:rsid w:val="00A30A68"/>
    <w:rsid w:val="00A43986"/>
    <w:rsid w:val="00A52DC6"/>
    <w:rsid w:val="00A55928"/>
    <w:rsid w:val="00A569BB"/>
    <w:rsid w:val="00A6185D"/>
    <w:rsid w:val="00A82093"/>
    <w:rsid w:val="00A9129B"/>
    <w:rsid w:val="00AA0173"/>
    <w:rsid w:val="00AA167E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25761"/>
    <w:rsid w:val="00B368C4"/>
    <w:rsid w:val="00B369C6"/>
    <w:rsid w:val="00B46431"/>
    <w:rsid w:val="00B53820"/>
    <w:rsid w:val="00B540AC"/>
    <w:rsid w:val="00B66400"/>
    <w:rsid w:val="00B67BF1"/>
    <w:rsid w:val="00B910C8"/>
    <w:rsid w:val="00BA06F2"/>
    <w:rsid w:val="00BA5D44"/>
    <w:rsid w:val="00BA6490"/>
    <w:rsid w:val="00BC267F"/>
    <w:rsid w:val="00BD0056"/>
    <w:rsid w:val="00BD21EB"/>
    <w:rsid w:val="00BF305F"/>
    <w:rsid w:val="00C03B2B"/>
    <w:rsid w:val="00C13A52"/>
    <w:rsid w:val="00C13EB9"/>
    <w:rsid w:val="00C21D6B"/>
    <w:rsid w:val="00C3161B"/>
    <w:rsid w:val="00C3297C"/>
    <w:rsid w:val="00C36228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05F2"/>
    <w:rsid w:val="00D5376F"/>
    <w:rsid w:val="00D67DFA"/>
    <w:rsid w:val="00D845D3"/>
    <w:rsid w:val="00D93076"/>
    <w:rsid w:val="00DA00C1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34B07"/>
    <w:rsid w:val="00F40990"/>
    <w:rsid w:val="00F42478"/>
    <w:rsid w:val="00F45E27"/>
    <w:rsid w:val="00F46925"/>
    <w:rsid w:val="00F75DE5"/>
    <w:rsid w:val="00F84EA4"/>
    <w:rsid w:val="00F85C92"/>
    <w:rsid w:val="00F91FE6"/>
    <w:rsid w:val="00FB4F6F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Exact">
    <w:name w:val="Body text (2) Exact"/>
    <w:rsid w:val="00D50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link w:val="Bodytext8"/>
    <w:rsid w:val="00D505F2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D505F2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paragraph" w:customStyle="1" w:styleId="Default">
    <w:name w:val="Default"/>
    <w:rsid w:val="00454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2 Znak,Akapit z listą1 Znak,Normal Znak,Akapit z listą3 Znak,Akapit z listą31 Znak,CW_Lista Znak,Obiekt Znak,List Paragraph1 Znak,BulletC Znak,normalny tekst Znak,Numerowanie Znak,L1 Znak,ASIA Znak"/>
    <w:link w:val="Akapitzlist"/>
    <w:uiPriority w:val="34"/>
    <w:qFormat/>
    <w:locked/>
    <w:rsid w:val="00434A0C"/>
    <w:rPr>
      <w:szCs w:val="22"/>
      <w:lang w:eastAsia="en-US"/>
    </w:rPr>
  </w:style>
  <w:style w:type="character" w:customStyle="1" w:styleId="rynqvb">
    <w:name w:val="rynqvb"/>
    <w:basedOn w:val="Domylnaczcionkaakapitu"/>
    <w:rsid w:val="005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Alicja Stępniewska</cp:lastModifiedBy>
  <cp:revision>3</cp:revision>
  <cp:lastPrinted>2022-05-11T09:53:00Z</cp:lastPrinted>
  <dcterms:created xsi:type="dcterms:W3CDTF">2023-02-23T08:27:00Z</dcterms:created>
  <dcterms:modified xsi:type="dcterms:W3CDTF">2023-02-27T10:51:00Z</dcterms:modified>
</cp:coreProperties>
</file>