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0A" w:rsidRDefault="00E8600A" w:rsidP="00E8600A">
      <w:pPr>
        <w:rPr>
          <w:rFonts w:ascii="Ubuntu Light" w:hAnsi="Ubuntu Light" w:cs="Tunga"/>
        </w:rPr>
      </w:pPr>
      <w:bookmarkStart w:id="0" w:name="_GoBack"/>
      <w:bookmarkEnd w:id="0"/>
    </w:p>
    <w:p w:rsidR="00924981" w:rsidRPr="00E07B98" w:rsidRDefault="00E8600A" w:rsidP="00E8600A">
      <w:pPr>
        <w:tabs>
          <w:tab w:val="left" w:pos="6261"/>
        </w:tabs>
        <w:jc w:val="right"/>
        <w:rPr>
          <w:rFonts w:ascii="Ubuntu Light" w:hAnsi="Ubuntu Light" w:cs="Arial"/>
          <w:b/>
          <w:color w:val="FF0000"/>
        </w:rPr>
      </w:pPr>
      <w:r>
        <w:rPr>
          <w:rFonts w:ascii="Ubuntu Light" w:hAnsi="Ubuntu Light" w:cs="Tunga"/>
        </w:rPr>
        <w:tab/>
      </w:r>
      <w:r w:rsidR="00E07B98" w:rsidRPr="00E07B98">
        <w:rPr>
          <w:rFonts w:ascii="Ubuntu Light" w:hAnsi="Ubuntu Light" w:cs="Arial"/>
          <w:b/>
          <w:color w:val="FF0000"/>
        </w:rPr>
        <w:t xml:space="preserve">Zmodyfikowany </w:t>
      </w:r>
      <w:r w:rsidR="00924981" w:rsidRPr="00E07B98">
        <w:rPr>
          <w:rFonts w:ascii="Ubuntu Light" w:hAnsi="Ubuntu Light" w:cs="Arial"/>
          <w:b/>
          <w:color w:val="FF0000"/>
        </w:rPr>
        <w:t xml:space="preserve">Załącznik nr 1 do SIWZ </w:t>
      </w:r>
    </w:p>
    <w:p w:rsidR="00924981" w:rsidRDefault="00924981" w:rsidP="00924981">
      <w:pPr>
        <w:jc w:val="center"/>
        <w:rPr>
          <w:rFonts w:ascii="Ubuntu Light" w:hAnsi="Ubuntu Light" w:cs="Arial"/>
          <w:b/>
        </w:rPr>
      </w:pPr>
      <w:r w:rsidRPr="00E45231">
        <w:rPr>
          <w:rFonts w:ascii="Ubuntu Light" w:hAnsi="Ubuntu Light" w:cs="Arial"/>
          <w:b/>
        </w:rPr>
        <w:t>FORMULARZ ASORTYMENTOWO – CENOWY</w:t>
      </w:r>
    </w:p>
    <w:p w:rsidR="00924981" w:rsidRPr="00E45231" w:rsidRDefault="00924981" w:rsidP="00924981">
      <w:pPr>
        <w:jc w:val="center"/>
        <w:rPr>
          <w:rFonts w:ascii="Ubuntu Light" w:hAnsi="Ubuntu Light" w:cs="Arial"/>
          <w:b/>
        </w:rPr>
      </w:pPr>
    </w:p>
    <w:p w:rsidR="00924981" w:rsidRPr="000777CF" w:rsidRDefault="00924981" w:rsidP="00924981">
      <w:pPr>
        <w:widowControl w:val="0"/>
        <w:suppressLineNumbers/>
        <w:tabs>
          <w:tab w:val="center" w:pos="7285"/>
          <w:tab w:val="right" w:pos="14570"/>
        </w:tabs>
        <w:autoSpaceDN w:val="0"/>
        <w:textAlignment w:val="baseline"/>
        <w:rPr>
          <w:rFonts w:ascii="Ubuntu Light" w:eastAsia="SimSun" w:hAnsi="Ubuntu Light" w:cs="Mangal"/>
          <w:b/>
          <w:bCs/>
          <w:kern w:val="3"/>
          <w:lang w:eastAsia="zh-CN" w:bidi="hi-IN"/>
        </w:rPr>
      </w:pPr>
      <w:r w:rsidRPr="000777CF">
        <w:rPr>
          <w:rFonts w:ascii="Ubuntu Light" w:eastAsia="SimSun" w:hAnsi="Ubuntu Light" w:cs="Mangal"/>
          <w:b/>
          <w:bCs/>
          <w:kern w:val="3"/>
          <w:lang w:eastAsia="zh-CN" w:bidi="hi-IN"/>
        </w:rPr>
        <w:t xml:space="preserve">Pakiet 1   Materiały eksploatacyjne - kontrola i monitorowanie procesu sterylizacji   </w:t>
      </w: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4444"/>
        <w:gridCol w:w="992"/>
        <w:gridCol w:w="1276"/>
        <w:gridCol w:w="1134"/>
        <w:gridCol w:w="1276"/>
        <w:gridCol w:w="992"/>
        <w:gridCol w:w="850"/>
        <w:gridCol w:w="851"/>
        <w:gridCol w:w="992"/>
        <w:gridCol w:w="851"/>
        <w:gridCol w:w="992"/>
      </w:tblGrid>
      <w:tr w:rsidR="00924981" w:rsidRPr="000777CF" w:rsidTr="00E35230"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Asortyment-parametry wymagane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Zamawiana ilość sztuk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Oferowana przez Wykonawcę wielkość opakowania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Ilość oferowanych opakowań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Cena jednostkowa netto za opakowanie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Wartość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Wartość VAT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24981" w:rsidRPr="000777CF" w:rsidRDefault="00924981" w:rsidP="00E3523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0777CF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24981" w:rsidRPr="000777CF" w:rsidRDefault="00924981" w:rsidP="00E3523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0777CF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24981" w:rsidRPr="000777CF" w:rsidRDefault="00924981" w:rsidP="00E3523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0777CF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924981" w:rsidRPr="000777CF" w:rsidTr="00E35230"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24981" w:rsidRPr="000777CF" w:rsidRDefault="00924981" w:rsidP="00E3523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24981" w:rsidRPr="000777CF" w:rsidRDefault="00924981" w:rsidP="00E3523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24981" w:rsidRPr="000777CF" w:rsidRDefault="00924981" w:rsidP="00E3523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12</w:t>
            </w:r>
          </w:p>
        </w:tc>
      </w:tr>
      <w:tr w:rsidR="00924981" w:rsidRPr="000777CF" w:rsidTr="00E35230"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Biologiczny zestaw testowy  o szybkim odczycie do tlenku etylenu, symulujący narzędzie rurowe, zawierający wskaźnik biologiczny</w:t>
            </w: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:</w:t>
            </w:r>
          </w:p>
          <w:p w:rsidR="00924981" w:rsidRPr="000777CF" w:rsidRDefault="00924981" w:rsidP="00E35230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Do każdego pojedynczego zestawu dołączony jeden wskaźnik stosowany jako kontrola pozytywna wskaźników. 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38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Wskaźnik biologiczny zapewnia ostateczny odczyt wyniku negatywnego po 4 godzinach inkubacji.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38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Wskaźnik kompatybilny z </w:t>
            </w:r>
            <w:proofErr w:type="spellStart"/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autoczytnikiem</w:t>
            </w:r>
            <w:proofErr w:type="spellEnd"/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posiadanym przez zamawiającego firmy 3M. Wynik in</w:t>
            </w:r>
            <w:r w:rsidR="00CB6AE6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kubacji widoczny na wyświetlaczu</w:t>
            </w: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LCD za pomocą znaku "+" lub "-" oraz sygnału dźwiękowego w przypadku pozytywnego wyniku.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38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Na fiolce </w:t>
            </w:r>
            <w:proofErr w:type="spellStart"/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repozycjonowalna</w:t>
            </w:r>
            <w:proofErr w:type="spellEnd"/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nierwąca się naklejka ze wskaźnikiem chemicznym i miejscem do opisu.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38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Etykieta na wskaźniku łatwa do odklejenia z możliwością ponownego wklejenia do dokumentacji procesowej.</w:t>
            </w:r>
          </w:p>
          <w:p w:rsidR="00924981" w:rsidRDefault="00924981" w:rsidP="00924981">
            <w:pPr>
              <w:widowControl w:val="0"/>
              <w:numPr>
                <w:ilvl w:val="0"/>
                <w:numId w:val="38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Zgodność wskaźnika znajdującego się w zestawie z normą referencyjną potwierdzona certyfikatem niezależnej jednostki notyfikowanej. </w:t>
            </w:r>
          </w:p>
          <w:p w:rsidR="00924981" w:rsidRPr="00865685" w:rsidRDefault="00924981" w:rsidP="00924981">
            <w:pPr>
              <w:widowControl w:val="0"/>
              <w:numPr>
                <w:ilvl w:val="0"/>
                <w:numId w:val="38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  <w:t xml:space="preserve">PREFEROWANA </w:t>
            </w:r>
            <w:r w:rsidRPr="00865685"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  <w:t>WIELKOŚĆ OPAKOWANIA MAX. 50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CC216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CC216F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500 </w:t>
            </w:r>
            <w:proofErr w:type="spellStart"/>
            <w:r w:rsidRPr="00CC216F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924981" w:rsidRPr="000777CF" w:rsidTr="00E35230">
        <w:trPr>
          <w:trHeight w:val="1077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416B04" w:rsidRDefault="00924981" w:rsidP="00E35230">
            <w:pPr>
              <w:widowControl w:val="0"/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Biologiczny zestaw testowy o szybkim odczycie do pary wodnej, symulujący pakiet porowaty, zawierający wskaźnik biologiczny i kartę ze wskaźnikiem chemicznym do opisu cyklu. Do każdego pojedynczego zestawu dołączony jeden wskaźnik stosowany jak</w:t>
            </w: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o kontrola pozytywna wskaźników: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39"/>
              </w:numPr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Wskaźnik biologiczny zapewnia ostateczny odczyt wyniku negatywnego po 3 godzinach inkubacji.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39"/>
              </w:numPr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Wskaźnik kompatybilny z </w:t>
            </w:r>
            <w:proofErr w:type="spellStart"/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autoczytnikiem</w:t>
            </w:r>
            <w:proofErr w:type="spellEnd"/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posiadanym przez zamawiającego firmy 3M.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Wynik inkubacji widoczny na wyświetlaczy LCD za pomocą znaku "+" lub "-" oraz sygnału dźwiękowego w </w:t>
            </w: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lastRenderedPageBreak/>
              <w:t>przypadku pozytywnego wyniku. 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39"/>
              </w:numPr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Na fiolce </w:t>
            </w:r>
            <w:proofErr w:type="spellStart"/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repozycjonowalna</w:t>
            </w:r>
            <w:proofErr w:type="spellEnd"/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nierwąca się naklejka ze wskaźnikiem chemicznym i miejscem do opisu. Etykieta na wskaźniku łatwa do odklejenia z możliwością ponownego wklejenia do dokumentacji procesowej.</w:t>
            </w:r>
          </w:p>
          <w:p w:rsidR="00924981" w:rsidRDefault="00924981" w:rsidP="00924981">
            <w:pPr>
              <w:widowControl w:val="0"/>
              <w:numPr>
                <w:ilvl w:val="0"/>
                <w:numId w:val="39"/>
              </w:numPr>
              <w:autoSpaceDN w:val="0"/>
              <w:spacing w:after="12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Zgodność wskaźnika znajdującego się w zestawie z normą referencyjną potwierdzona certyfikatem niezależnej jednostki notyfikowanej. </w:t>
            </w:r>
          </w:p>
          <w:p w:rsidR="00924981" w:rsidRPr="00865685" w:rsidRDefault="00924981" w:rsidP="00924981">
            <w:pPr>
              <w:widowControl w:val="0"/>
              <w:numPr>
                <w:ilvl w:val="0"/>
                <w:numId w:val="39"/>
              </w:numPr>
              <w:autoSpaceDN w:val="0"/>
              <w:spacing w:after="120"/>
              <w:textAlignment w:val="baseline"/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</w:pPr>
            <w:r w:rsidRPr="00865685"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  <w:t>PREFEROWANA WIELKOŚĆ OPAKOWANIA MAX. 50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CC216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CC216F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lastRenderedPageBreak/>
              <w:t xml:space="preserve">500 </w:t>
            </w:r>
            <w:proofErr w:type="spellStart"/>
            <w:r w:rsidRPr="00CC216F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924981" w:rsidRPr="000777CF" w:rsidTr="00E35230"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1516" w:rsidRDefault="00924981" w:rsidP="00E35230">
            <w:pPr>
              <w:widowControl w:val="0"/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071516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Biologiczny zestaw testowy o szybkim odczycie do pary wodnej, symulujący pakiet porowaty, zawierający wskaźnik biologiczny i kartę ze wskaźni</w:t>
            </w: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kiem chemicznym do opisu cyklu: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0"/>
              </w:numPr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Wskaźnik biologiczny zapewnia ostateczny odczyt wyniku negatywnego po 60 minutach inkubacji. 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0"/>
              </w:numPr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Wskaźnik posiada wewnętrzny system kruszenia ampułki nie wymagający użycia zewnętrznego "</w:t>
            </w:r>
            <w:proofErr w:type="spellStart"/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kruszera</w:t>
            </w:r>
            <w:proofErr w:type="spellEnd"/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"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0"/>
              </w:numPr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wskaźnik kompatybilny z </w:t>
            </w:r>
            <w:proofErr w:type="spellStart"/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autoczytnikiem</w:t>
            </w:r>
            <w:proofErr w:type="spellEnd"/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posiadanym przez zamawiającego firmy 3M.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Wykrycie przez odczyt automatyczny fluorescencji  w </w:t>
            </w:r>
            <w:proofErr w:type="spellStart"/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autoczytniku</w:t>
            </w:r>
            <w:proofErr w:type="spellEnd"/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.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0"/>
              </w:numPr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Na fiolce </w:t>
            </w:r>
            <w:proofErr w:type="spellStart"/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repozycjonowalna</w:t>
            </w:r>
            <w:proofErr w:type="spellEnd"/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nierwąca się naklejka z miejscem do opisu oraz wskaźnik chemiczny. Etykieta wskaźnika łatwa do odklejenia i powtórnego wklejenia w dokumentacje procesową.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0"/>
              </w:numPr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07B98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Opakowanie zawiera  minimum 24 biologiczne zestawy testowe oraz 5 sztuk wskaźników kontrolnych</w:t>
            </w: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.</w:t>
            </w:r>
          </w:p>
          <w:p w:rsidR="00924981" w:rsidRPr="00E07B98" w:rsidRDefault="00924981" w:rsidP="00E07B98">
            <w:pPr>
              <w:widowControl w:val="0"/>
              <w:numPr>
                <w:ilvl w:val="0"/>
                <w:numId w:val="40"/>
              </w:numPr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Zgodność wskaźnika znajdującego się w zestawie z normą referencyjną potwierdzona certyfikatem niezależnej jednostki notyfikowanej.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E07B98" w:rsidRDefault="00E07B98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lang w:eastAsia="zh-CN" w:bidi="hi-IN"/>
              </w:rPr>
            </w:pPr>
            <w:r w:rsidRPr="00E07B98"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lang w:eastAsia="zh-CN" w:bidi="hi-IN"/>
              </w:rP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E07B98" w:rsidRDefault="006E69E7" w:rsidP="006E69E7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lang w:eastAsia="zh-CN" w:bidi="hi-IN"/>
              </w:rPr>
            </w:pPr>
            <w:r w:rsidRPr="006E69E7"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lang w:eastAsia="zh-CN" w:bidi="hi-IN"/>
              </w:rPr>
              <w:t>Opakowanie zawiera  minimum 24 biologiczne zestawy testowe oraz 5 sztuk wskaźników kontrolnych.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E07B98" w:rsidRDefault="00E07B98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lang w:eastAsia="zh-CN" w:bidi="hi-IN"/>
              </w:rPr>
            </w:pPr>
            <w:r w:rsidRPr="00E07B98"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lang w:eastAsia="zh-CN" w:bidi="hi-IN"/>
              </w:rPr>
              <w:t>380 op.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924981" w:rsidRPr="000777CF" w:rsidTr="00E35230"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1516" w:rsidRDefault="00924981" w:rsidP="00E35230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071516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Rejestrator danych do sterylizatorów parowych kompatybilny z posiadanym przez zamawiającego systemem rejestra</w:t>
            </w: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cji parametrów procesu typu ETS: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1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Spełniający wymogi normy PN EN 544, EN ISO 11140-4 (Certyfikat niezależnej jednostki </w:t>
            </w: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lastRenderedPageBreak/>
              <w:t>potwierdzający zgodność)</w:t>
            </w:r>
          </w:p>
          <w:p w:rsidR="00924981" w:rsidRDefault="00924981" w:rsidP="00924981">
            <w:pPr>
              <w:widowControl w:val="0"/>
              <w:numPr>
                <w:ilvl w:val="0"/>
                <w:numId w:val="41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Rejestrator z możliwością wykonania minimum 400 odczytów</w:t>
            </w:r>
          </w:p>
          <w:p w:rsidR="00924981" w:rsidRPr="00865685" w:rsidRDefault="00924981" w:rsidP="00924981">
            <w:pPr>
              <w:widowControl w:val="0"/>
              <w:numPr>
                <w:ilvl w:val="0"/>
                <w:numId w:val="41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</w:pPr>
            <w:r w:rsidRPr="00865685"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  <w:t>PREFEROWANA WIELKOŚĆ OPAKOWANIA MAX. 1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CC216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CC216F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lastRenderedPageBreak/>
              <w:t xml:space="preserve">4 </w:t>
            </w:r>
            <w:proofErr w:type="spellStart"/>
            <w:r w:rsidRPr="00CC216F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924981" w:rsidRPr="000777CF" w:rsidTr="00E35230"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1516" w:rsidRDefault="00924981" w:rsidP="00E35230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071516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Integrator do pary wodnej typ V, zgodny z normą PN </w:t>
            </w: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EN 11140: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2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nie wymagający subiektywnej interpretacji wyniku- posiadający dwa niezależne okienka przesuwu substancji wskaźnikowej.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2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Integrator z możliwością wieloletniej archiwizacji.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2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Substancja wskaźnikowa wędrująca nie imitująca toksycznych substancji.</w:t>
            </w:r>
          </w:p>
          <w:p w:rsidR="00924981" w:rsidRPr="00865685" w:rsidRDefault="00924981" w:rsidP="00924981">
            <w:pPr>
              <w:widowControl w:val="0"/>
              <w:numPr>
                <w:ilvl w:val="0"/>
                <w:numId w:val="42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</w:pPr>
            <w:r w:rsidRPr="00865685"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  <w:t>PREFEROWANA WIELKOŚĆ OPAKOWANIA MAKSYMALNIE PO 250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CC216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CC216F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15 000 </w:t>
            </w:r>
            <w:proofErr w:type="spellStart"/>
            <w:r w:rsidRPr="00CC216F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924981" w:rsidRPr="000777CF" w:rsidTr="00E35230">
        <w:trPr>
          <w:trHeight w:val="3790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1516" w:rsidRDefault="00924981" w:rsidP="00E35230">
            <w:pPr>
              <w:widowControl w:val="0"/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b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071516">
              <w:rPr>
                <w:rFonts w:ascii="Ubuntu Light" w:eastAsia="SimSun" w:hAnsi="Ubuntu Light" w:cs="Mangal"/>
                <w:b/>
                <w:color w:val="000000"/>
                <w:kern w:val="3"/>
                <w:sz w:val="16"/>
                <w:szCs w:val="16"/>
                <w:lang w:eastAsia="zh-CN" w:bidi="hi-IN"/>
              </w:rPr>
              <w:t>Wieloparametrowe wskaźniki chemiczne do pary wodnej - liniowe. Tradycyjne wskaźniki paskowe do kontroli sterylizacji parą wodną we wszystkich dostępnych cyklach: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3"/>
              </w:numPr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color w:val="000000"/>
                <w:kern w:val="3"/>
                <w:sz w:val="16"/>
                <w:szCs w:val="16"/>
                <w:lang w:eastAsia="zh-CN" w:bidi="hi-IN"/>
              </w:rPr>
              <w:t>Wskaźniki spełniają wymogi klasy D wg normy europejskiej  EN 867-1 i klasy 4 wg normy międzynarodowej ISO 11140-1.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3"/>
              </w:numPr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color w:val="000000"/>
                <w:kern w:val="3"/>
                <w:sz w:val="16"/>
                <w:szCs w:val="16"/>
                <w:lang w:eastAsia="zh-CN" w:bidi="hi-IN"/>
              </w:rPr>
              <w:t xml:space="preserve"> Substancja wskaźnikowa  umieszczona na całej długości paska, co umożliwia wykrycie nieodpowiedniej penetracji pary wodnej.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3"/>
              </w:numPr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color w:val="000000"/>
                <w:kern w:val="3"/>
                <w:sz w:val="16"/>
                <w:szCs w:val="16"/>
                <w:lang w:eastAsia="zh-CN" w:bidi="hi-IN"/>
              </w:rPr>
              <w:t xml:space="preserve"> Perforowany pasek umożliwia podział na dwa mniejsze wskaźniki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3"/>
              </w:numPr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color w:val="000000"/>
                <w:kern w:val="3"/>
                <w:sz w:val="16"/>
                <w:szCs w:val="16"/>
                <w:lang w:eastAsia="zh-CN" w:bidi="hi-IN"/>
              </w:rPr>
              <w:t xml:space="preserve"> Możliwość stosowania we wszystkich sterylizatorach parowych.</w:t>
            </w:r>
          </w:p>
          <w:p w:rsidR="00924981" w:rsidRDefault="00924981" w:rsidP="00924981">
            <w:pPr>
              <w:widowControl w:val="0"/>
              <w:numPr>
                <w:ilvl w:val="0"/>
                <w:numId w:val="43"/>
              </w:numPr>
              <w:autoSpaceDN w:val="0"/>
              <w:spacing w:after="120"/>
              <w:ind w:left="714" w:hanging="357"/>
              <w:jc w:val="both"/>
              <w:textAlignment w:val="baseline"/>
              <w:rPr>
                <w:rFonts w:ascii="Ubuntu Light" w:eastAsia="SimSun" w:hAnsi="Ubuntu Light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color w:val="000000"/>
                <w:kern w:val="3"/>
                <w:sz w:val="16"/>
                <w:szCs w:val="16"/>
                <w:lang w:eastAsia="zh-CN" w:bidi="hi-IN"/>
              </w:rPr>
              <w:t>Może być stosowany we wszystkich cyklach sterylizacji .</w:t>
            </w:r>
          </w:p>
          <w:p w:rsidR="00924981" w:rsidRPr="00865685" w:rsidRDefault="00924981" w:rsidP="00924981">
            <w:pPr>
              <w:widowControl w:val="0"/>
              <w:numPr>
                <w:ilvl w:val="0"/>
                <w:numId w:val="43"/>
              </w:numPr>
              <w:autoSpaceDN w:val="0"/>
              <w:spacing w:after="120"/>
              <w:ind w:left="714" w:hanging="357"/>
              <w:jc w:val="both"/>
              <w:textAlignment w:val="baseline"/>
              <w:rPr>
                <w:rFonts w:ascii="Ubuntu Light" w:eastAsia="SimSun" w:hAnsi="Ubuntu Light" w:cs="Mangal"/>
                <w:b/>
                <w:color w:val="000000"/>
                <w:kern w:val="3"/>
                <w:u w:val="single"/>
                <w:lang w:eastAsia="zh-CN" w:bidi="hi-IN"/>
              </w:rPr>
            </w:pPr>
            <w:r w:rsidRPr="00865685">
              <w:rPr>
                <w:rFonts w:ascii="Ubuntu Light" w:eastAsia="SimSun" w:hAnsi="Ubuntu Light" w:cs="Mangal"/>
                <w:b/>
                <w:color w:val="000000"/>
                <w:kern w:val="3"/>
                <w:u w:val="single"/>
                <w:lang w:eastAsia="zh-CN" w:bidi="hi-IN"/>
              </w:rPr>
              <w:t>PREFEROW</w:t>
            </w:r>
            <w:r>
              <w:rPr>
                <w:rFonts w:ascii="Ubuntu Light" w:eastAsia="SimSun" w:hAnsi="Ubuntu Light" w:cs="Mangal"/>
                <w:b/>
                <w:color w:val="000000"/>
                <w:kern w:val="3"/>
                <w:u w:val="single"/>
                <w:lang w:eastAsia="zh-CN" w:bidi="hi-IN"/>
              </w:rPr>
              <w:t>ANA WIELKOŚĆ OPAKOWANIA MAX. 480</w:t>
            </w:r>
            <w:r w:rsidRPr="00865685">
              <w:rPr>
                <w:rFonts w:ascii="Ubuntu Light" w:eastAsia="SimSun" w:hAnsi="Ubuntu Light" w:cs="Mangal"/>
                <w:b/>
                <w:color w:val="000000"/>
                <w:kern w:val="3"/>
                <w:u w:val="single"/>
                <w:lang w:eastAsia="zh-CN" w:bidi="hi-IN"/>
              </w:rPr>
              <w:t xml:space="preserve">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CC216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924981"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lang w:eastAsia="zh-CN" w:bidi="hi-IN"/>
              </w:rPr>
              <w:t xml:space="preserve">10 560 </w:t>
            </w:r>
            <w:proofErr w:type="spellStart"/>
            <w:r w:rsidRPr="00924981"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924981" w:rsidRPr="000777CF" w:rsidTr="00E35230"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515411" w:rsidRDefault="00924981" w:rsidP="00E35230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515411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Wieloparametrowy wskaźnik chemiczny typu  4  do tlenku etylenu: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3"/>
              </w:numPr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color w:val="000000"/>
                <w:kern w:val="3"/>
                <w:sz w:val="16"/>
                <w:szCs w:val="16"/>
                <w:lang w:eastAsia="zh-CN" w:bidi="hi-IN"/>
              </w:rPr>
              <w:t xml:space="preserve"> Substancja wskaźnikowa  umieszczona na całej długości paska min. 6cm, co umożliwia wykrycie nieodpowiedniej penetracji Tlenku etylenu</w:t>
            </w:r>
          </w:p>
          <w:p w:rsidR="00924981" w:rsidRDefault="00924981" w:rsidP="00924981">
            <w:pPr>
              <w:widowControl w:val="0"/>
              <w:numPr>
                <w:ilvl w:val="0"/>
                <w:numId w:val="43"/>
              </w:numPr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color w:val="000000"/>
                <w:kern w:val="3"/>
                <w:sz w:val="16"/>
                <w:szCs w:val="16"/>
                <w:lang w:eastAsia="zh-CN" w:bidi="hi-IN"/>
              </w:rPr>
              <w:t>jednoznaczna zmiana koloru na dwa różne przed procesem i po procesie</w:t>
            </w:r>
          </w:p>
          <w:p w:rsidR="00924981" w:rsidRPr="00865685" w:rsidRDefault="00924981" w:rsidP="00924981">
            <w:pPr>
              <w:widowControl w:val="0"/>
              <w:numPr>
                <w:ilvl w:val="0"/>
                <w:numId w:val="43"/>
              </w:numPr>
              <w:autoSpaceDN w:val="0"/>
              <w:spacing w:after="120"/>
              <w:jc w:val="both"/>
              <w:textAlignment w:val="baseline"/>
              <w:rPr>
                <w:rFonts w:ascii="Ubuntu Light" w:eastAsia="SimSun" w:hAnsi="Ubuntu Light" w:cs="Mangal"/>
                <w:b/>
                <w:color w:val="000000"/>
                <w:kern w:val="3"/>
                <w:u w:val="single"/>
                <w:lang w:eastAsia="zh-CN" w:bidi="hi-IN"/>
              </w:rPr>
            </w:pPr>
            <w:r w:rsidRPr="00865685">
              <w:rPr>
                <w:rFonts w:ascii="Ubuntu Light" w:eastAsia="SimSun" w:hAnsi="Ubuntu Light" w:cs="Mangal"/>
                <w:b/>
                <w:color w:val="000000"/>
                <w:kern w:val="3"/>
                <w:u w:val="single"/>
                <w:lang w:eastAsia="zh-CN" w:bidi="hi-IN"/>
              </w:rPr>
              <w:lastRenderedPageBreak/>
              <w:t>PREFEROW</w:t>
            </w:r>
            <w:r w:rsidR="002D6E40">
              <w:rPr>
                <w:rFonts w:ascii="Ubuntu Light" w:eastAsia="SimSun" w:hAnsi="Ubuntu Light" w:cs="Mangal"/>
                <w:b/>
                <w:color w:val="000000"/>
                <w:kern w:val="3"/>
                <w:u w:val="single"/>
                <w:lang w:eastAsia="zh-CN" w:bidi="hi-IN"/>
              </w:rPr>
              <w:t>ANA WIELKOŚĆ OPAKOWANIA MAX. 480</w:t>
            </w:r>
            <w:r w:rsidRPr="00865685">
              <w:rPr>
                <w:rFonts w:ascii="Ubuntu Light" w:eastAsia="SimSun" w:hAnsi="Ubuntu Light" w:cs="Mangal"/>
                <w:b/>
                <w:color w:val="000000"/>
                <w:kern w:val="3"/>
                <w:u w:val="single"/>
                <w:lang w:eastAsia="zh-CN" w:bidi="hi-IN"/>
              </w:rPr>
              <w:t xml:space="preserve">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CC216F" w:rsidRDefault="002D6E40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D6E40"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lang w:eastAsia="zh-CN" w:bidi="hi-IN"/>
              </w:rPr>
              <w:lastRenderedPageBreak/>
              <w:t>9 6</w:t>
            </w:r>
            <w:r w:rsidR="00924981" w:rsidRPr="002D6E40"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lang w:eastAsia="zh-CN" w:bidi="hi-IN"/>
              </w:rPr>
              <w:t xml:space="preserve">00 </w:t>
            </w:r>
            <w:proofErr w:type="spellStart"/>
            <w:r w:rsidR="00924981" w:rsidRPr="002D6E40"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924981" w:rsidRPr="000777CF" w:rsidTr="00E35230"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1516" w:rsidRDefault="00924981" w:rsidP="00E35230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071516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Jednorazowy pakiet </w:t>
            </w:r>
            <w:proofErr w:type="spellStart"/>
            <w:r w:rsidRPr="00071516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Bowie</w:t>
            </w:r>
            <w:proofErr w:type="spellEnd"/>
            <w:r w:rsidRPr="00071516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Dick w formie gotowego pakietu zgodny z PN EN 11140-1 typ 2: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4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przeznaczony do codziennej kontroli sterylizatorów parowych, ich szczelności i zdolności penetracji parą wodną w sterylizowane materiały,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4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powtarzalność wyniku zapewniająca łatwe wykrycie nieefektywnego procesu.</w:t>
            </w:r>
          </w:p>
          <w:p w:rsidR="00924981" w:rsidRPr="000777CF" w:rsidRDefault="00924981" w:rsidP="00924981">
            <w:pPr>
              <w:widowControl w:val="0"/>
              <w:numPr>
                <w:ilvl w:val="0"/>
                <w:numId w:val="44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wskaźnik o łatwej interpretacji na podstawie oceny jednoznacznej zmiany zabarwienia  arkusza.</w:t>
            </w:r>
          </w:p>
          <w:p w:rsidR="00924981" w:rsidRDefault="00924981" w:rsidP="00924981">
            <w:pPr>
              <w:widowControl w:val="0"/>
              <w:numPr>
                <w:ilvl w:val="0"/>
                <w:numId w:val="44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pakiet kompaktowy, efektywny i łatwy w użyciu, spełniający wymogi PN EN 11140</w:t>
            </w:r>
          </w:p>
          <w:p w:rsidR="00924981" w:rsidRPr="00865685" w:rsidRDefault="00924981" w:rsidP="00924981">
            <w:pPr>
              <w:widowControl w:val="0"/>
              <w:numPr>
                <w:ilvl w:val="0"/>
                <w:numId w:val="44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</w:pPr>
            <w:r w:rsidRPr="00865685"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  <w:t>PREFEROWANA WIELKOŚĆ OPAK</w:t>
            </w:r>
            <w:r w:rsidR="00D66B2D"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  <w:t>OWANIA MAX. 6</w:t>
            </w:r>
            <w:r w:rsidRPr="00865685"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  <w:t xml:space="preserve">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CC216F" w:rsidRDefault="002D6E40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2D6E40"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lang w:eastAsia="zh-CN" w:bidi="hi-IN"/>
              </w:rPr>
              <w:t>522</w:t>
            </w:r>
            <w:r w:rsidR="00924981" w:rsidRPr="002D6E40"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="00924981" w:rsidRPr="002D6E40"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924981" w:rsidRPr="000777CF" w:rsidTr="00E35230"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AE0DE5" w:rsidRDefault="00924981" w:rsidP="00E35230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AE0DE5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Autoczytnik</w:t>
            </w:r>
            <w:proofErr w:type="spellEnd"/>
            <w:r w:rsidRPr="00AE0DE5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do inkubacji wskaźników biologicznych  godzinnych</w:t>
            </w:r>
          </w:p>
          <w:p w:rsidR="00924981" w:rsidRPr="00865685" w:rsidRDefault="00924981" w:rsidP="00924981">
            <w:pPr>
              <w:widowControl w:val="0"/>
              <w:numPr>
                <w:ilvl w:val="0"/>
                <w:numId w:val="44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</w:pPr>
            <w:r w:rsidRPr="00865685"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  <w:t>PREFEROWANA WIELKOŚĆ OPAKOWANIA MAX. 1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CC216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CC216F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1 </w:t>
            </w:r>
            <w:proofErr w:type="spellStart"/>
            <w:r w:rsidRPr="00CC216F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924981" w:rsidRPr="000777CF" w:rsidTr="00E35230"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Default="00924981" w:rsidP="00E35230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AE0DE5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Jednorazowe naboje zawierające 100% Tlenek Etylenu, kompatybilne z urządzeniem sterylizującym posiadanym przez Zamawiającego - </w:t>
            </w:r>
            <w:proofErr w:type="spellStart"/>
            <w:r w:rsidRPr="00AE0DE5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steri</w:t>
            </w:r>
            <w:proofErr w:type="spellEnd"/>
            <w:r w:rsidRPr="00AE0DE5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AE0DE5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Vac</w:t>
            </w:r>
            <w:proofErr w:type="spellEnd"/>
            <w:r w:rsidRPr="00AE0DE5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8XL, wyprodukowanym przez firmę 3M.</w:t>
            </w:r>
          </w:p>
          <w:p w:rsidR="00924981" w:rsidRPr="00865685" w:rsidRDefault="00924981" w:rsidP="00924981">
            <w:pPr>
              <w:widowControl w:val="0"/>
              <w:numPr>
                <w:ilvl w:val="0"/>
                <w:numId w:val="44"/>
              </w:numPr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</w:pPr>
            <w:r w:rsidRPr="00865685">
              <w:rPr>
                <w:rFonts w:ascii="Ubuntu Light" w:eastAsia="SimSun" w:hAnsi="Ubuntu Light" w:cs="Mangal"/>
                <w:b/>
                <w:kern w:val="3"/>
                <w:u w:val="single"/>
                <w:lang w:eastAsia="zh-CN" w:bidi="hi-IN"/>
              </w:rPr>
              <w:t>PREFEROWANA WIELKOŚĆ OPAKOWANIA MAX. 12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CC216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CC216F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528 </w:t>
            </w:r>
            <w:proofErr w:type="spellStart"/>
            <w:r w:rsidRPr="00CC216F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924981" w:rsidRPr="000777CF" w:rsidTr="00E35230">
        <w:trPr>
          <w:trHeight w:val="368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CC216F" w:rsidRDefault="00924981" w:rsidP="00E35230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CC216F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RAZEM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981" w:rsidRPr="000777CF" w:rsidRDefault="00924981" w:rsidP="00E3523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924981" w:rsidRPr="009034F8" w:rsidRDefault="00924981" w:rsidP="00924981">
      <w:pPr>
        <w:widowControl w:val="0"/>
        <w:autoSpaceDN w:val="0"/>
        <w:textAlignment w:val="baseline"/>
        <w:rPr>
          <w:rFonts w:eastAsia="SimSun" w:cs="Mangal"/>
          <w:kern w:val="3"/>
          <w:sz w:val="18"/>
          <w:szCs w:val="18"/>
          <w:lang w:eastAsia="zh-CN" w:bidi="hi-IN"/>
        </w:rPr>
      </w:pPr>
    </w:p>
    <w:p w:rsidR="00924981" w:rsidRPr="00865685" w:rsidRDefault="00924981" w:rsidP="00924981">
      <w:pPr>
        <w:rPr>
          <w:rFonts w:ascii="Ubuntu Light" w:hAnsi="Ubuntu Light" w:cs="Arial"/>
          <w:b/>
          <w:sz w:val="28"/>
          <w:szCs w:val="28"/>
        </w:rPr>
      </w:pPr>
      <w:r w:rsidRPr="00865685">
        <w:rPr>
          <w:rFonts w:ascii="Ubuntu Light" w:hAnsi="Ubuntu Light" w:cs="Arial"/>
          <w:b/>
          <w:sz w:val="28"/>
          <w:szCs w:val="28"/>
        </w:rPr>
        <w:t>UWAGA ! WIELKOŚĆ OFEROWANEGO OPAKOWANIA MUSI BYĆ PODZIELNA PRZEZ ILOŚĆ ZAMAWIANĄ PRZEZ ZAMAWIAJĄCEGO (KOL. 3) BEZ RESZTY.</w:t>
      </w:r>
    </w:p>
    <w:p w:rsidR="00924981" w:rsidRPr="00865685" w:rsidRDefault="00924981" w:rsidP="00924981">
      <w:pPr>
        <w:spacing w:line="288" w:lineRule="auto"/>
        <w:rPr>
          <w:rFonts w:ascii="Ubuntu Light" w:hAnsi="Ubuntu Light" w:cs="Arial"/>
          <w:b/>
          <w:sz w:val="28"/>
          <w:szCs w:val="28"/>
        </w:rPr>
      </w:pPr>
    </w:p>
    <w:p w:rsidR="00924981" w:rsidRPr="00741770" w:rsidRDefault="00924981" w:rsidP="00924981">
      <w:pPr>
        <w:spacing w:line="288" w:lineRule="auto"/>
        <w:ind w:left="720"/>
        <w:rPr>
          <w:rFonts w:ascii="Ubuntu Light" w:hAnsi="Ubuntu Light" w:cs="Arial"/>
          <w:b/>
        </w:rPr>
      </w:pPr>
      <w:r w:rsidRPr="009A7B2E">
        <w:rPr>
          <w:rFonts w:ascii="Ubuntu Light" w:hAnsi="Ubuntu Light" w:cs="Arial"/>
          <w:b/>
        </w:rPr>
        <w:t>PARAMETRY OCENANE W KRYTERIUM JAKOŚĆ</w:t>
      </w: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3"/>
        <w:gridCol w:w="2835"/>
        <w:gridCol w:w="5812"/>
      </w:tblGrid>
      <w:tr w:rsidR="00924981" w:rsidRPr="000777CF" w:rsidTr="00E35230"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924981" w:rsidRPr="000777CF" w:rsidRDefault="00924981" w:rsidP="00E35230">
            <w:pPr>
              <w:jc w:val="center"/>
              <w:rPr>
                <w:rFonts w:ascii="Ubuntu Light" w:hAnsi="Ubuntu Light" w:cs="Arial"/>
                <w:b/>
              </w:rPr>
            </w:pPr>
            <w:proofErr w:type="spellStart"/>
            <w:r w:rsidRPr="000777CF">
              <w:rPr>
                <w:rFonts w:ascii="Ubuntu Light" w:hAnsi="Ubuntu Light" w:cs="Arial"/>
                <w:b/>
              </w:rPr>
              <w:t>Lp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924981" w:rsidRPr="000777CF" w:rsidRDefault="00924981" w:rsidP="00E35230">
            <w:pPr>
              <w:jc w:val="center"/>
              <w:rPr>
                <w:rFonts w:ascii="Ubuntu Light" w:hAnsi="Ubuntu Light" w:cs="Arial"/>
                <w:b/>
              </w:rPr>
            </w:pPr>
          </w:p>
          <w:p w:rsidR="00924981" w:rsidRPr="000777CF" w:rsidRDefault="00924981" w:rsidP="00E35230">
            <w:pPr>
              <w:jc w:val="center"/>
              <w:rPr>
                <w:rFonts w:ascii="Ubuntu Light" w:hAnsi="Ubuntu Light" w:cs="Arial"/>
                <w:b/>
              </w:rPr>
            </w:pPr>
            <w:r w:rsidRPr="000777CF">
              <w:rPr>
                <w:rFonts w:ascii="Ubuntu Light" w:hAnsi="Ubuntu Light" w:cs="Arial"/>
                <w:b/>
              </w:rPr>
              <w:t>PARAMETRY OCENIANE W KRYTERIUM JAKOŚĆ PRZEZ ZAMAWIAJĄCEGO</w:t>
            </w:r>
          </w:p>
          <w:p w:rsidR="00924981" w:rsidRPr="000777CF" w:rsidRDefault="00924981" w:rsidP="00E35230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24981" w:rsidRPr="000777CF" w:rsidRDefault="00924981" w:rsidP="00E35230">
            <w:pPr>
              <w:jc w:val="center"/>
              <w:rPr>
                <w:rFonts w:ascii="Ubuntu Light" w:hAnsi="Ubuntu Light" w:cs="Arial"/>
                <w:b/>
              </w:rPr>
            </w:pPr>
            <w:r w:rsidRPr="000777CF">
              <w:rPr>
                <w:rFonts w:ascii="Ubuntu Light" w:hAnsi="Ubuntu Light" w:cs="Arial"/>
                <w:b/>
              </w:rPr>
              <w:t>PUNKTACJA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24981" w:rsidRPr="000777CF" w:rsidRDefault="00924981" w:rsidP="00E35230">
            <w:pPr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Podać stronę oferty, która zawiera dokument/dokumenty potwierdzający oceniany parametr</w:t>
            </w:r>
          </w:p>
        </w:tc>
      </w:tr>
      <w:tr w:rsidR="00924981" w:rsidRPr="000777CF" w:rsidTr="00E35230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24981" w:rsidRPr="000777CF" w:rsidRDefault="00924981" w:rsidP="00E35230">
            <w:pPr>
              <w:jc w:val="center"/>
              <w:rPr>
                <w:rFonts w:ascii="Ubuntu Light" w:hAnsi="Ubuntu Light"/>
              </w:rPr>
            </w:pPr>
            <w:r w:rsidRPr="000777CF">
              <w:rPr>
                <w:rFonts w:ascii="Ubuntu Light" w:eastAsia="Lucida Sans Unicode" w:hAnsi="Ubuntu Light" w:cs="Mangal"/>
                <w:kern w:val="3"/>
                <w:lang w:eastAsia="zh-CN" w:bidi="hi-IN"/>
              </w:rPr>
              <w:t>dotyczy poz.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4981" w:rsidRPr="000777CF" w:rsidRDefault="00924981" w:rsidP="00E35230">
            <w:pPr>
              <w:jc w:val="center"/>
              <w:rPr>
                <w:rFonts w:ascii="Ubuntu Light" w:hAnsi="Ubuntu Light" w:cs="Arial"/>
              </w:rPr>
            </w:pPr>
            <w:r w:rsidRPr="000777CF">
              <w:rPr>
                <w:rFonts w:ascii="Ubuntu Light" w:hAnsi="Ubuntu Light" w:cs="Arial"/>
              </w:rPr>
              <w:t>Rejestrator posiadający wbudowany system wczesnego ostrzegani</w:t>
            </w:r>
            <w:r>
              <w:rPr>
                <w:rFonts w:ascii="Ubuntu Light" w:hAnsi="Ubuntu Light" w:cs="Arial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1" w:rsidRPr="000777CF" w:rsidRDefault="00924981" w:rsidP="00E35230">
            <w:pPr>
              <w:spacing w:after="120"/>
              <w:jc w:val="center"/>
              <w:rPr>
                <w:rFonts w:ascii="Ubuntu Light" w:hAnsi="Ubuntu Light" w:cs="Arial"/>
              </w:rPr>
            </w:pPr>
            <w:r w:rsidRPr="000777CF">
              <w:rPr>
                <w:rFonts w:ascii="Ubuntu Light" w:hAnsi="Ubuntu Light" w:cs="Arial"/>
              </w:rPr>
              <w:t>Posiada– 40 pkt.;</w:t>
            </w:r>
          </w:p>
          <w:p w:rsidR="00924981" w:rsidRPr="000777CF" w:rsidRDefault="00924981" w:rsidP="00E35230">
            <w:pPr>
              <w:spacing w:after="120"/>
              <w:jc w:val="center"/>
              <w:rPr>
                <w:rFonts w:ascii="Ubuntu Light" w:hAnsi="Ubuntu Light" w:cs="Arial"/>
              </w:rPr>
            </w:pPr>
            <w:r w:rsidRPr="000777CF">
              <w:rPr>
                <w:rFonts w:ascii="Ubuntu Light" w:hAnsi="Ubuntu Light" w:cs="Arial"/>
              </w:rPr>
              <w:t>Nie p</w:t>
            </w:r>
            <w:r>
              <w:rPr>
                <w:rFonts w:ascii="Ubuntu Light" w:hAnsi="Ubuntu Light" w:cs="Arial"/>
              </w:rPr>
              <w:t>osiada– 0 pkt</w:t>
            </w:r>
            <w:r w:rsidRPr="000777CF">
              <w:rPr>
                <w:rFonts w:ascii="Ubuntu Light" w:hAnsi="Ubuntu Light" w:cs="Arial"/>
              </w:rPr>
              <w:t>.;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1" w:rsidRPr="000777CF" w:rsidRDefault="00924981" w:rsidP="00E35230">
            <w:pPr>
              <w:spacing w:after="120"/>
              <w:rPr>
                <w:rFonts w:ascii="Ubuntu Light" w:hAnsi="Ubuntu Light" w:cs="Arial"/>
              </w:rPr>
            </w:pPr>
          </w:p>
        </w:tc>
      </w:tr>
    </w:tbl>
    <w:p w:rsidR="00924981" w:rsidRDefault="00924981" w:rsidP="00924981">
      <w:pPr>
        <w:rPr>
          <w:rFonts w:ascii="Ubuntu Light" w:hAnsi="Ubuntu Light" w:cs="Arial"/>
        </w:rPr>
      </w:pPr>
    </w:p>
    <w:p w:rsidR="00924981" w:rsidRDefault="00924981" w:rsidP="00924981">
      <w:pPr>
        <w:rPr>
          <w:rFonts w:ascii="Ubuntu Light" w:hAnsi="Ubuntu Light" w:cs="Arial"/>
        </w:rPr>
      </w:pPr>
      <w:r w:rsidRPr="009A7B2E">
        <w:rPr>
          <w:rFonts w:ascii="Ubuntu Light" w:hAnsi="Ubuntu Light" w:cs="Arial"/>
        </w:rPr>
        <w:t>*  wypełnia Wykonawca</w:t>
      </w:r>
    </w:p>
    <w:p w:rsidR="00924981" w:rsidRPr="009A7B2E" w:rsidRDefault="00924981" w:rsidP="00924981">
      <w:pPr>
        <w:rPr>
          <w:rFonts w:ascii="Ubuntu Light" w:hAnsi="Ubuntu Light" w:cs="Arial"/>
        </w:rPr>
      </w:pPr>
    </w:p>
    <w:p w:rsidR="00924981" w:rsidRDefault="00924981" w:rsidP="00924981">
      <w:pPr>
        <w:widowControl w:val="0"/>
        <w:autoSpaceDN w:val="0"/>
        <w:jc w:val="both"/>
        <w:textAlignment w:val="baseline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>W</w:t>
      </w:r>
      <w:r w:rsidRPr="000A226B">
        <w:rPr>
          <w:rFonts w:ascii="Ubuntu Light" w:hAnsi="Ubuntu Light" w:cs="Arial"/>
          <w:b/>
        </w:rPr>
        <w:t xml:space="preserve"> celu dokonania oceny parametrów technicznych w kryterium JAKOŚĆ i przyznania punktów, Zamawiający żąda dołączenia </w:t>
      </w:r>
      <w:r w:rsidRPr="000A226B">
        <w:rPr>
          <w:rFonts w:ascii="Ubuntu Light" w:hAnsi="Ubuntu Light" w:cs="Arial"/>
          <w:b/>
          <w:u w:val="single"/>
        </w:rPr>
        <w:t>do oferty</w:t>
      </w:r>
      <w:r w:rsidRPr="000A226B">
        <w:rPr>
          <w:rFonts w:ascii="Ubuntu Light" w:hAnsi="Ubuntu Light" w:cs="Arial"/>
          <w:b/>
        </w:rPr>
        <w:t>: oryginalnej karty katalogowej lub innych dokumentów technicznych producenta wraz z tłumaczeniem na język polski. Treść dołączonego do oferty dokumentu powinien potwierdzać wszystkie dodatkowo oceniane parametry określone w SIWZ. Brak dokumentów w ofercie lub brak potwierdzenia w dostarczonych dokumentach dodatkowo ocenianego parametru będzie skutkowało nie przyznaniem dodatkowych punktów – (0 pkt). Dopiski, uzupełnienia odręczne w dokumentach nie będą brane pod uwagę przez Zamawiającego przy przyznawaniu punktów.</w:t>
      </w:r>
    </w:p>
    <w:p w:rsidR="00924981" w:rsidRPr="00E45231" w:rsidRDefault="00924981" w:rsidP="00924981">
      <w:pPr>
        <w:ind w:right="820"/>
        <w:rPr>
          <w:rFonts w:ascii="Ubuntu Light" w:hAnsi="Ubuntu Light" w:cs="Tunga"/>
        </w:rPr>
      </w:pPr>
    </w:p>
    <w:p w:rsidR="00924981" w:rsidRPr="00E45231" w:rsidRDefault="00924981" w:rsidP="00924981">
      <w:pPr>
        <w:rPr>
          <w:rFonts w:ascii="Ubuntu Light" w:hAnsi="Ubuntu Light" w:cs="Arial"/>
        </w:rPr>
      </w:pPr>
    </w:p>
    <w:p w:rsidR="00924981" w:rsidRPr="00E45231" w:rsidRDefault="00924981" w:rsidP="00924981">
      <w:pPr>
        <w:rPr>
          <w:rFonts w:ascii="Ubuntu Light" w:hAnsi="Ubuntu Light" w:cs="Arial"/>
        </w:rPr>
      </w:pPr>
    </w:p>
    <w:p w:rsidR="00924981" w:rsidRPr="00E45231" w:rsidRDefault="00924981" w:rsidP="00924981">
      <w:pPr>
        <w:rPr>
          <w:rFonts w:ascii="Ubuntu Light" w:hAnsi="Ubuntu Light" w:cs="Arial"/>
        </w:rPr>
      </w:pPr>
      <w:r w:rsidRPr="00E45231">
        <w:rPr>
          <w:rFonts w:ascii="Ubuntu Light" w:hAnsi="Ubuntu Light" w:cs="Arial"/>
        </w:rPr>
        <w:t xml:space="preserve">                                                                                                                                                             ...............................................................................................................</w:t>
      </w:r>
    </w:p>
    <w:p w:rsidR="00924981" w:rsidRPr="00E45231" w:rsidRDefault="00924981" w:rsidP="00924981">
      <w:pPr>
        <w:rPr>
          <w:rFonts w:ascii="Ubuntu Light" w:hAnsi="Ubuntu Light" w:cs="Arial"/>
          <w:sz w:val="18"/>
          <w:szCs w:val="18"/>
        </w:rPr>
      </w:pPr>
      <w:r w:rsidRPr="00E45231">
        <w:rPr>
          <w:rFonts w:ascii="Ubuntu Light" w:hAnsi="Ubuntu Light" w:cs="Arial"/>
        </w:rPr>
        <w:t xml:space="preserve">                                                                                                                                                            </w:t>
      </w:r>
      <w:r w:rsidRPr="00E45231">
        <w:rPr>
          <w:rFonts w:ascii="Ubuntu Light" w:hAnsi="Ubuntu Light" w:cs="Arial"/>
          <w:sz w:val="18"/>
          <w:szCs w:val="18"/>
        </w:rPr>
        <w:t>Własnoręczny czytelny podpis osoby/osób uprawnionej/uprawnionych</w:t>
      </w:r>
    </w:p>
    <w:p w:rsidR="00924981" w:rsidRPr="00E45231" w:rsidRDefault="00924981" w:rsidP="00924981">
      <w:pPr>
        <w:rPr>
          <w:rFonts w:ascii="Ubuntu Light" w:hAnsi="Ubuntu Light" w:cs="Arial"/>
          <w:sz w:val="18"/>
          <w:szCs w:val="18"/>
        </w:rPr>
      </w:pPr>
      <w:r w:rsidRPr="00E45231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do reprezentowania wykonawcy</w:t>
      </w:r>
    </w:p>
    <w:p w:rsidR="00924981" w:rsidRPr="00E45231" w:rsidRDefault="00924981" w:rsidP="00924981">
      <w:pPr>
        <w:ind w:left="11328" w:firstLine="708"/>
        <w:rPr>
          <w:rFonts w:ascii="Ubuntu Light" w:hAnsi="Ubuntu Light" w:cs="Arial"/>
          <w:b/>
        </w:rPr>
      </w:pPr>
    </w:p>
    <w:p w:rsidR="00FA17C8" w:rsidRDefault="00FA17C8" w:rsidP="00DB6846">
      <w:pPr>
        <w:jc w:val="both"/>
        <w:rPr>
          <w:rFonts w:ascii="Ubuntu Light" w:hAnsi="Ubuntu Light" w:cs="Tunga"/>
          <w:u w:val="single"/>
        </w:rPr>
      </w:pPr>
    </w:p>
    <w:sectPr w:rsidR="00FA17C8" w:rsidSect="007138B5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E0" w:rsidRDefault="00B308E0">
      <w:r>
        <w:separator/>
      </w:r>
    </w:p>
  </w:endnote>
  <w:endnote w:type="continuationSeparator" w:id="0">
    <w:p w:rsidR="00B308E0" w:rsidRDefault="00B3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021842"/>
      <w:docPartObj>
        <w:docPartGallery w:val="Page Numbers (Bottom of Page)"/>
        <w:docPartUnique/>
      </w:docPartObj>
    </w:sdtPr>
    <w:sdtEndPr/>
    <w:sdtContent>
      <w:p w:rsidR="0034479B" w:rsidRDefault="0034479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0A">
          <w:rPr>
            <w:noProof/>
          </w:rPr>
          <w:t>5</w:t>
        </w:r>
        <w:r>
          <w:fldChar w:fldCharType="end"/>
        </w:r>
      </w:p>
    </w:sdtContent>
  </w:sdt>
  <w:p w:rsidR="0034479B" w:rsidRDefault="0034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E0" w:rsidRDefault="00B308E0">
      <w:r>
        <w:separator/>
      </w:r>
    </w:p>
  </w:footnote>
  <w:footnote w:type="continuationSeparator" w:id="0">
    <w:p w:rsidR="00B308E0" w:rsidRDefault="00B3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E0" w:rsidRPr="00E913A7" w:rsidRDefault="00B308E0" w:rsidP="00207CBE">
    <w:pPr>
      <w:pStyle w:val="Nagwek"/>
      <w:rPr>
        <w:rFonts w:ascii="Ubuntu Light" w:hAnsi="Ubuntu Light" w:cs="Arial"/>
        <w:b/>
      </w:rPr>
    </w:pPr>
    <w:r w:rsidRPr="00E913A7">
      <w:rPr>
        <w:rFonts w:ascii="Ubuntu Light" w:hAnsi="Ubuntu Light" w:cs="Arial"/>
        <w:b/>
      </w:rPr>
      <w:t>ZP-1</w:t>
    </w:r>
    <w:r w:rsidR="00924981">
      <w:rPr>
        <w:rFonts w:ascii="Ubuntu Light" w:hAnsi="Ubuntu Light" w:cs="Arial"/>
        <w:b/>
      </w:rPr>
      <w:t>9-109BN</w:t>
    </w:r>
  </w:p>
  <w:p w:rsidR="00B308E0" w:rsidRPr="00E913A7" w:rsidRDefault="00B308E0">
    <w:pPr>
      <w:pStyle w:val="Nagwek"/>
      <w:rPr>
        <w:rFonts w:ascii="Ubuntu Light" w:hAnsi="Ubuntu Light" w:cs="Arial"/>
        <w:i/>
        <w:sz w:val="16"/>
        <w:szCs w:val="16"/>
      </w:rPr>
    </w:pPr>
    <w:r w:rsidRPr="00E913A7">
      <w:rPr>
        <w:rFonts w:ascii="Ubuntu Light" w:hAnsi="Ubuntu Light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B308E0" w:rsidRPr="00E913A7" w:rsidRDefault="00B308E0">
    <w:pPr>
      <w:ind w:right="290"/>
      <w:rPr>
        <w:rFonts w:ascii="Ubuntu Light" w:hAnsi="Ubuntu Light" w:cs="Arial"/>
        <w:i/>
        <w:sz w:val="16"/>
        <w:szCs w:val="16"/>
      </w:rPr>
    </w:pPr>
    <w:r w:rsidRPr="00E913A7">
      <w:rPr>
        <w:rFonts w:ascii="Ubuntu Light" w:hAnsi="Ubuntu Light" w:cs="Arial"/>
        <w:i/>
        <w:sz w:val="16"/>
        <w:szCs w:val="16"/>
      </w:rPr>
      <w:t xml:space="preserve">40-027  Katowice ul. Francuska 20-24 </w:t>
    </w:r>
  </w:p>
  <w:p w:rsidR="00B308E0" w:rsidRPr="00E913A7" w:rsidRDefault="00B308E0">
    <w:pPr>
      <w:pStyle w:val="Nagwek"/>
      <w:rPr>
        <w:rFonts w:ascii="Ubuntu Light" w:hAnsi="Ubuntu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F3121"/>
    <w:multiLevelType w:val="multilevel"/>
    <w:tmpl w:val="F20E8D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2BB76E4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307F9F"/>
    <w:multiLevelType w:val="multilevel"/>
    <w:tmpl w:val="887EB0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 w15:restartNumberingAfterBreak="0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A5826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114031"/>
    <w:multiLevelType w:val="hybridMultilevel"/>
    <w:tmpl w:val="E9BEB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161FF"/>
    <w:multiLevelType w:val="hybridMultilevel"/>
    <w:tmpl w:val="C6FC4D7A"/>
    <w:lvl w:ilvl="0" w:tplc="D92E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26427EB2"/>
    <w:multiLevelType w:val="hybridMultilevel"/>
    <w:tmpl w:val="D742A50A"/>
    <w:lvl w:ilvl="0" w:tplc="056E90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D3748"/>
    <w:multiLevelType w:val="multilevel"/>
    <w:tmpl w:val="215ACD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28A157DC"/>
    <w:multiLevelType w:val="multilevel"/>
    <w:tmpl w:val="BA002790"/>
    <w:lvl w:ilvl="0">
      <w:numFmt w:val="bullet"/>
      <w:lvlText w:val="•"/>
      <w:lvlJc w:val="left"/>
      <w:pPr>
        <w:ind w:left="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2CAB52DA"/>
    <w:multiLevelType w:val="hybridMultilevel"/>
    <w:tmpl w:val="7C647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77626"/>
    <w:multiLevelType w:val="hybridMultilevel"/>
    <w:tmpl w:val="6C2C5F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457B"/>
    <w:multiLevelType w:val="multilevel"/>
    <w:tmpl w:val="9FBEC5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BB6677"/>
    <w:multiLevelType w:val="multilevel"/>
    <w:tmpl w:val="6032EA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7182F22"/>
    <w:multiLevelType w:val="hybridMultilevel"/>
    <w:tmpl w:val="C3423BBE"/>
    <w:lvl w:ilvl="0" w:tplc="5694E5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5B54"/>
    <w:multiLevelType w:val="multilevel"/>
    <w:tmpl w:val="D16001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76B70"/>
    <w:multiLevelType w:val="hybridMultilevel"/>
    <w:tmpl w:val="C6FC4D7A"/>
    <w:lvl w:ilvl="0" w:tplc="D92E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E23E2C"/>
    <w:multiLevelType w:val="hybridMultilevel"/>
    <w:tmpl w:val="DA045436"/>
    <w:lvl w:ilvl="0" w:tplc="6C1842B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015B3B"/>
    <w:multiLevelType w:val="multilevel"/>
    <w:tmpl w:val="50E01D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5F517B32"/>
    <w:multiLevelType w:val="multilevel"/>
    <w:tmpl w:val="1B0269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6534369F"/>
    <w:multiLevelType w:val="multilevel"/>
    <w:tmpl w:val="6C58FC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68CB0278"/>
    <w:multiLevelType w:val="hybridMultilevel"/>
    <w:tmpl w:val="E74A96DE"/>
    <w:lvl w:ilvl="0" w:tplc="A8FE85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67601"/>
    <w:multiLevelType w:val="multilevel"/>
    <w:tmpl w:val="BEF0AE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76FD1255"/>
    <w:multiLevelType w:val="multilevel"/>
    <w:tmpl w:val="D6787028"/>
    <w:lvl w:ilvl="0">
      <w:numFmt w:val="bullet"/>
      <w:lvlText w:val="•"/>
      <w:lvlJc w:val="left"/>
      <w:pPr>
        <w:ind w:left="76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2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8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4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0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6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2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8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49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D5DAA"/>
    <w:multiLevelType w:val="hybridMultilevel"/>
    <w:tmpl w:val="FEC0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D5139"/>
    <w:multiLevelType w:val="multilevel"/>
    <w:tmpl w:val="89E0C8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1"/>
  </w:num>
  <w:num w:numId="5">
    <w:abstractNumId w:val="22"/>
  </w:num>
  <w:num w:numId="6">
    <w:abstractNumId w:val="33"/>
  </w:num>
  <w:num w:numId="7">
    <w:abstractNumId w:val="7"/>
  </w:num>
  <w:num w:numId="8">
    <w:abstractNumId w:val="20"/>
  </w:num>
  <w:num w:numId="9">
    <w:abstractNumId w:val="30"/>
  </w:num>
  <w:num w:numId="10">
    <w:abstractNumId w:val="13"/>
  </w:num>
  <w:num w:numId="11">
    <w:abstractNumId w:val="6"/>
  </w:num>
  <w:num w:numId="12">
    <w:abstractNumId w:val="10"/>
  </w:num>
  <w:num w:numId="13">
    <w:abstractNumId w:val="15"/>
  </w:num>
  <w:num w:numId="14">
    <w:abstractNumId w:val="25"/>
  </w:num>
  <w:num w:numId="15">
    <w:abstractNumId w:val="41"/>
  </w:num>
  <w:num w:numId="16">
    <w:abstractNumId w:val="26"/>
  </w:num>
  <w:num w:numId="17">
    <w:abstractNumId w:val="32"/>
  </w:num>
  <w:num w:numId="18">
    <w:abstractNumId w:val="4"/>
  </w:num>
  <w:num w:numId="19">
    <w:abstractNumId w:val="14"/>
  </w:num>
  <w:num w:numId="20">
    <w:abstractNumId w:val="3"/>
  </w:num>
  <w:num w:numId="21">
    <w:abstractNumId w:val="8"/>
  </w:num>
  <w:num w:numId="22">
    <w:abstractNumId w:val="16"/>
  </w:num>
  <w:num w:numId="23">
    <w:abstractNumId w:val="19"/>
  </w:num>
  <w:num w:numId="24">
    <w:abstractNumId w:val="12"/>
  </w:num>
  <w:num w:numId="25">
    <w:abstractNumId w:val="31"/>
  </w:num>
  <w:num w:numId="26">
    <w:abstractNumId w:val="28"/>
  </w:num>
  <w:num w:numId="27">
    <w:abstractNumId w:val="23"/>
  </w:num>
  <w:num w:numId="28">
    <w:abstractNumId w:val="38"/>
  </w:num>
  <w:num w:numId="29">
    <w:abstractNumId w:val="9"/>
  </w:num>
  <w:num w:numId="30">
    <w:abstractNumId w:val="34"/>
  </w:num>
  <w:num w:numId="31">
    <w:abstractNumId w:val="42"/>
  </w:num>
  <w:num w:numId="32">
    <w:abstractNumId w:val="18"/>
  </w:num>
  <w:num w:numId="33">
    <w:abstractNumId w:val="40"/>
  </w:num>
  <w:num w:numId="34">
    <w:abstractNumId w:val="24"/>
  </w:num>
  <w:num w:numId="35">
    <w:abstractNumId w:val="17"/>
  </w:num>
  <w:num w:numId="36">
    <w:abstractNumId w:val="2"/>
  </w:num>
  <w:num w:numId="37">
    <w:abstractNumId w:val="39"/>
  </w:num>
  <w:num w:numId="38">
    <w:abstractNumId w:val="29"/>
  </w:num>
  <w:num w:numId="39">
    <w:abstractNumId w:val="43"/>
  </w:num>
  <w:num w:numId="40">
    <w:abstractNumId w:val="27"/>
  </w:num>
  <w:num w:numId="41">
    <w:abstractNumId w:val="35"/>
  </w:num>
  <w:num w:numId="42">
    <w:abstractNumId w:val="5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8"/>
    <w:rsid w:val="00025404"/>
    <w:rsid w:val="00026E3D"/>
    <w:rsid w:val="00063D92"/>
    <w:rsid w:val="000655CB"/>
    <w:rsid w:val="0007002F"/>
    <w:rsid w:val="00097ED5"/>
    <w:rsid w:val="000A6B31"/>
    <w:rsid w:val="000B31C5"/>
    <w:rsid w:val="000D35D5"/>
    <w:rsid w:val="000E7DC9"/>
    <w:rsid w:val="001158FA"/>
    <w:rsid w:val="00120580"/>
    <w:rsid w:val="00122383"/>
    <w:rsid w:val="001246BD"/>
    <w:rsid w:val="001339E5"/>
    <w:rsid w:val="0015530E"/>
    <w:rsid w:val="00155CDB"/>
    <w:rsid w:val="00162E1B"/>
    <w:rsid w:val="001734BB"/>
    <w:rsid w:val="00182DC6"/>
    <w:rsid w:val="00184013"/>
    <w:rsid w:val="001919AB"/>
    <w:rsid w:val="001939AE"/>
    <w:rsid w:val="001B2F18"/>
    <w:rsid w:val="001C1096"/>
    <w:rsid w:val="001E00B8"/>
    <w:rsid w:val="001E113C"/>
    <w:rsid w:val="001E1EA0"/>
    <w:rsid w:val="001F51FC"/>
    <w:rsid w:val="002021E4"/>
    <w:rsid w:val="00207CBE"/>
    <w:rsid w:val="00212B24"/>
    <w:rsid w:val="00214D1F"/>
    <w:rsid w:val="00230FCF"/>
    <w:rsid w:val="00231552"/>
    <w:rsid w:val="002379EC"/>
    <w:rsid w:val="002417D0"/>
    <w:rsid w:val="00243504"/>
    <w:rsid w:val="0025105B"/>
    <w:rsid w:val="0025364A"/>
    <w:rsid w:val="00255F4D"/>
    <w:rsid w:val="00256DA4"/>
    <w:rsid w:val="00263BDE"/>
    <w:rsid w:val="00271993"/>
    <w:rsid w:val="00276CAD"/>
    <w:rsid w:val="00277B32"/>
    <w:rsid w:val="00287C3D"/>
    <w:rsid w:val="002A48F0"/>
    <w:rsid w:val="002A5AD4"/>
    <w:rsid w:val="002B0040"/>
    <w:rsid w:val="002B2AB0"/>
    <w:rsid w:val="002B2D77"/>
    <w:rsid w:val="002C67DF"/>
    <w:rsid w:val="002D6E40"/>
    <w:rsid w:val="002E6E23"/>
    <w:rsid w:val="00322A50"/>
    <w:rsid w:val="003368A3"/>
    <w:rsid w:val="0034479B"/>
    <w:rsid w:val="0034657E"/>
    <w:rsid w:val="003720BA"/>
    <w:rsid w:val="00372118"/>
    <w:rsid w:val="003832B5"/>
    <w:rsid w:val="00386C0C"/>
    <w:rsid w:val="003872CD"/>
    <w:rsid w:val="003967C1"/>
    <w:rsid w:val="003971D6"/>
    <w:rsid w:val="003A3D5E"/>
    <w:rsid w:val="003A72CF"/>
    <w:rsid w:val="003B287C"/>
    <w:rsid w:val="003B449A"/>
    <w:rsid w:val="003D2CA2"/>
    <w:rsid w:val="003D5010"/>
    <w:rsid w:val="003D5830"/>
    <w:rsid w:val="003F005E"/>
    <w:rsid w:val="004054B6"/>
    <w:rsid w:val="0041229F"/>
    <w:rsid w:val="00412D04"/>
    <w:rsid w:val="004227CA"/>
    <w:rsid w:val="004240EE"/>
    <w:rsid w:val="00430338"/>
    <w:rsid w:val="00430B38"/>
    <w:rsid w:val="0045173B"/>
    <w:rsid w:val="004555D5"/>
    <w:rsid w:val="00455FEE"/>
    <w:rsid w:val="00482230"/>
    <w:rsid w:val="00485476"/>
    <w:rsid w:val="00486224"/>
    <w:rsid w:val="004A4F56"/>
    <w:rsid w:val="004B3185"/>
    <w:rsid w:val="004B4761"/>
    <w:rsid w:val="004D0C0D"/>
    <w:rsid w:val="004D7D14"/>
    <w:rsid w:val="005048A5"/>
    <w:rsid w:val="00505270"/>
    <w:rsid w:val="00511A57"/>
    <w:rsid w:val="00514EE5"/>
    <w:rsid w:val="00524EB7"/>
    <w:rsid w:val="005417F6"/>
    <w:rsid w:val="00543B4D"/>
    <w:rsid w:val="00544E1A"/>
    <w:rsid w:val="00552F8C"/>
    <w:rsid w:val="005564BE"/>
    <w:rsid w:val="0058514D"/>
    <w:rsid w:val="00594CC2"/>
    <w:rsid w:val="005A1F45"/>
    <w:rsid w:val="005A27EF"/>
    <w:rsid w:val="005B2247"/>
    <w:rsid w:val="005C44BE"/>
    <w:rsid w:val="005C5444"/>
    <w:rsid w:val="005E14D7"/>
    <w:rsid w:val="00600946"/>
    <w:rsid w:val="00612566"/>
    <w:rsid w:val="00621549"/>
    <w:rsid w:val="00627037"/>
    <w:rsid w:val="00632376"/>
    <w:rsid w:val="006430E1"/>
    <w:rsid w:val="00643909"/>
    <w:rsid w:val="00651E12"/>
    <w:rsid w:val="00661E7E"/>
    <w:rsid w:val="00684D6C"/>
    <w:rsid w:val="006B2CF7"/>
    <w:rsid w:val="006B6CBE"/>
    <w:rsid w:val="006C21CB"/>
    <w:rsid w:val="006C4559"/>
    <w:rsid w:val="006D2E4A"/>
    <w:rsid w:val="006E2FAF"/>
    <w:rsid w:val="006E69E7"/>
    <w:rsid w:val="007138B5"/>
    <w:rsid w:val="007158AD"/>
    <w:rsid w:val="00782C28"/>
    <w:rsid w:val="00783F78"/>
    <w:rsid w:val="00793C5D"/>
    <w:rsid w:val="00797803"/>
    <w:rsid w:val="007B2374"/>
    <w:rsid w:val="007B4985"/>
    <w:rsid w:val="007F6E42"/>
    <w:rsid w:val="00805257"/>
    <w:rsid w:val="00807C1F"/>
    <w:rsid w:val="0083371E"/>
    <w:rsid w:val="00836A79"/>
    <w:rsid w:val="00844C21"/>
    <w:rsid w:val="0085492C"/>
    <w:rsid w:val="00856980"/>
    <w:rsid w:val="008712B9"/>
    <w:rsid w:val="00876B60"/>
    <w:rsid w:val="008953A6"/>
    <w:rsid w:val="008A0AB9"/>
    <w:rsid w:val="008A4560"/>
    <w:rsid w:val="008A7BB9"/>
    <w:rsid w:val="008B372F"/>
    <w:rsid w:val="008D2280"/>
    <w:rsid w:val="008E2F44"/>
    <w:rsid w:val="008E2F45"/>
    <w:rsid w:val="008E5155"/>
    <w:rsid w:val="008E6610"/>
    <w:rsid w:val="008F1568"/>
    <w:rsid w:val="008F1788"/>
    <w:rsid w:val="008F4D77"/>
    <w:rsid w:val="008F689C"/>
    <w:rsid w:val="00900DAD"/>
    <w:rsid w:val="00903D1F"/>
    <w:rsid w:val="0090402C"/>
    <w:rsid w:val="0091367C"/>
    <w:rsid w:val="009147C2"/>
    <w:rsid w:val="00915091"/>
    <w:rsid w:val="00924981"/>
    <w:rsid w:val="00930FE9"/>
    <w:rsid w:val="00945A21"/>
    <w:rsid w:val="0096305A"/>
    <w:rsid w:val="00970B4D"/>
    <w:rsid w:val="009826C5"/>
    <w:rsid w:val="0098396E"/>
    <w:rsid w:val="009B15F4"/>
    <w:rsid w:val="009B5D08"/>
    <w:rsid w:val="009B70A8"/>
    <w:rsid w:val="009D6E27"/>
    <w:rsid w:val="009E4148"/>
    <w:rsid w:val="009F48A0"/>
    <w:rsid w:val="009F4FCC"/>
    <w:rsid w:val="00A0118F"/>
    <w:rsid w:val="00A040AA"/>
    <w:rsid w:val="00A0440F"/>
    <w:rsid w:val="00A10C20"/>
    <w:rsid w:val="00A17316"/>
    <w:rsid w:val="00A22FC6"/>
    <w:rsid w:val="00A325A8"/>
    <w:rsid w:val="00A32845"/>
    <w:rsid w:val="00A32CBE"/>
    <w:rsid w:val="00A4034B"/>
    <w:rsid w:val="00A40E48"/>
    <w:rsid w:val="00A41B54"/>
    <w:rsid w:val="00A41DE3"/>
    <w:rsid w:val="00A55EF3"/>
    <w:rsid w:val="00A57C86"/>
    <w:rsid w:val="00A6047C"/>
    <w:rsid w:val="00A933C7"/>
    <w:rsid w:val="00A946FC"/>
    <w:rsid w:val="00AA17A0"/>
    <w:rsid w:val="00AA242B"/>
    <w:rsid w:val="00AB145A"/>
    <w:rsid w:val="00AC39FD"/>
    <w:rsid w:val="00AE0107"/>
    <w:rsid w:val="00AE2ECC"/>
    <w:rsid w:val="00AF58C1"/>
    <w:rsid w:val="00B008C3"/>
    <w:rsid w:val="00B21F8F"/>
    <w:rsid w:val="00B266A1"/>
    <w:rsid w:val="00B308E0"/>
    <w:rsid w:val="00B45F96"/>
    <w:rsid w:val="00B64586"/>
    <w:rsid w:val="00B66F40"/>
    <w:rsid w:val="00B73737"/>
    <w:rsid w:val="00B82CE8"/>
    <w:rsid w:val="00B93E55"/>
    <w:rsid w:val="00BB230F"/>
    <w:rsid w:val="00BC45E4"/>
    <w:rsid w:val="00BD75BD"/>
    <w:rsid w:val="00BE4142"/>
    <w:rsid w:val="00BF2E6F"/>
    <w:rsid w:val="00BF5ACE"/>
    <w:rsid w:val="00BF688E"/>
    <w:rsid w:val="00C07F06"/>
    <w:rsid w:val="00C11751"/>
    <w:rsid w:val="00C21532"/>
    <w:rsid w:val="00C22F61"/>
    <w:rsid w:val="00C3333F"/>
    <w:rsid w:val="00C47FFC"/>
    <w:rsid w:val="00C506FB"/>
    <w:rsid w:val="00C61CF5"/>
    <w:rsid w:val="00C70BB4"/>
    <w:rsid w:val="00C8248D"/>
    <w:rsid w:val="00CA06DA"/>
    <w:rsid w:val="00CA203A"/>
    <w:rsid w:val="00CB5340"/>
    <w:rsid w:val="00CB6AE6"/>
    <w:rsid w:val="00CC0904"/>
    <w:rsid w:val="00CC323D"/>
    <w:rsid w:val="00CC507C"/>
    <w:rsid w:val="00CD443B"/>
    <w:rsid w:val="00CE5C79"/>
    <w:rsid w:val="00CF4AA6"/>
    <w:rsid w:val="00CF4BCF"/>
    <w:rsid w:val="00CF70BA"/>
    <w:rsid w:val="00D004A0"/>
    <w:rsid w:val="00D022D8"/>
    <w:rsid w:val="00D21BBD"/>
    <w:rsid w:val="00D30DAE"/>
    <w:rsid w:val="00D45DB0"/>
    <w:rsid w:val="00D65D39"/>
    <w:rsid w:val="00D66B2D"/>
    <w:rsid w:val="00D67955"/>
    <w:rsid w:val="00D70455"/>
    <w:rsid w:val="00D814FF"/>
    <w:rsid w:val="00D8564F"/>
    <w:rsid w:val="00D857A8"/>
    <w:rsid w:val="00D955AF"/>
    <w:rsid w:val="00D97EDE"/>
    <w:rsid w:val="00DA11A3"/>
    <w:rsid w:val="00DA143F"/>
    <w:rsid w:val="00DA1CB7"/>
    <w:rsid w:val="00DA671C"/>
    <w:rsid w:val="00DB6846"/>
    <w:rsid w:val="00DC1D86"/>
    <w:rsid w:val="00DD1003"/>
    <w:rsid w:val="00DD1BC7"/>
    <w:rsid w:val="00E06113"/>
    <w:rsid w:val="00E07022"/>
    <w:rsid w:val="00E07B98"/>
    <w:rsid w:val="00E13C4C"/>
    <w:rsid w:val="00E3561F"/>
    <w:rsid w:val="00E4112D"/>
    <w:rsid w:val="00E41584"/>
    <w:rsid w:val="00E4343A"/>
    <w:rsid w:val="00E45AD2"/>
    <w:rsid w:val="00E53AA6"/>
    <w:rsid w:val="00E560AD"/>
    <w:rsid w:val="00E61115"/>
    <w:rsid w:val="00E61526"/>
    <w:rsid w:val="00E80081"/>
    <w:rsid w:val="00E81453"/>
    <w:rsid w:val="00E8600A"/>
    <w:rsid w:val="00E87FEC"/>
    <w:rsid w:val="00E913A7"/>
    <w:rsid w:val="00EA0D61"/>
    <w:rsid w:val="00EB1F9B"/>
    <w:rsid w:val="00EE6234"/>
    <w:rsid w:val="00EF0E9A"/>
    <w:rsid w:val="00EF54FB"/>
    <w:rsid w:val="00EF5DF4"/>
    <w:rsid w:val="00F00A98"/>
    <w:rsid w:val="00F05F11"/>
    <w:rsid w:val="00F122DF"/>
    <w:rsid w:val="00F42203"/>
    <w:rsid w:val="00F47674"/>
    <w:rsid w:val="00F5258C"/>
    <w:rsid w:val="00F74ACE"/>
    <w:rsid w:val="00F84CAB"/>
    <w:rsid w:val="00F94005"/>
    <w:rsid w:val="00F94609"/>
    <w:rsid w:val="00FA17C8"/>
    <w:rsid w:val="00FA318E"/>
    <w:rsid w:val="00FA5341"/>
    <w:rsid w:val="00FA7B48"/>
    <w:rsid w:val="00FB73B4"/>
    <w:rsid w:val="00FC77DD"/>
    <w:rsid w:val="00FD05DB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A59ACA"/>
  <w15:docId w15:val="{3488F8C9-3C24-4675-9A1B-1802CDF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99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64BE"/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19AD-AF4A-4BCA-AC9A-4DE1FE95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M.Stefanowicz</cp:lastModifiedBy>
  <cp:revision>9</cp:revision>
  <cp:lastPrinted>2019-09-11T06:35:00Z</cp:lastPrinted>
  <dcterms:created xsi:type="dcterms:W3CDTF">2019-07-12T09:34:00Z</dcterms:created>
  <dcterms:modified xsi:type="dcterms:W3CDTF">2019-09-13T05:30:00Z</dcterms:modified>
</cp:coreProperties>
</file>