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16F9" w14:textId="2682217F" w:rsidR="00CD7490" w:rsidRPr="00D35672" w:rsidRDefault="00CD7490" w:rsidP="00141DC8">
      <w:pPr>
        <w:tabs>
          <w:tab w:val="right" w:pos="9498"/>
        </w:tabs>
        <w:rPr>
          <w:b/>
        </w:rPr>
      </w:pPr>
      <w:r w:rsidRPr="00D35672">
        <w:t>Nr sprawy</w:t>
      </w:r>
      <w:r w:rsidR="00481FAD" w:rsidRPr="00D35672">
        <w:t>: PG/</w:t>
      </w:r>
      <w:r w:rsidR="00A43B53" w:rsidRPr="00D35672">
        <w:t>4</w:t>
      </w:r>
      <w:r w:rsidR="00481FAD" w:rsidRPr="00D35672">
        <w:t>/</w:t>
      </w:r>
      <w:r w:rsidR="00023CED" w:rsidRPr="00D35672">
        <w:t>2024</w:t>
      </w:r>
      <w:r w:rsidR="00F0791B" w:rsidRPr="00D35672">
        <w:tab/>
      </w:r>
      <w:r w:rsidR="00481FAD" w:rsidRPr="00D35672">
        <w:t>Gilwa Mała</w:t>
      </w:r>
      <w:r w:rsidR="00F0791B" w:rsidRPr="00D35672">
        <w:t xml:space="preserve">, dnia </w:t>
      </w:r>
      <w:r w:rsidR="00481FAD" w:rsidRPr="00D35672">
        <w:t>22.07</w:t>
      </w:r>
      <w:r w:rsidR="00023CED" w:rsidRPr="00D35672">
        <w:t>.2024</w:t>
      </w:r>
      <w:r w:rsidRPr="00D35672">
        <w:t xml:space="preserve"> r.</w:t>
      </w:r>
      <w:r w:rsidRPr="00D35672">
        <w:rPr>
          <w:b/>
        </w:rPr>
        <w:t xml:space="preserve"> </w:t>
      </w:r>
    </w:p>
    <w:p w14:paraId="1AB60F46" w14:textId="77777777" w:rsidR="00CD7490" w:rsidRDefault="00CD7490" w:rsidP="009A757D">
      <w:pPr>
        <w:widowControl w:val="0"/>
        <w:spacing w:before="240"/>
        <w:jc w:val="right"/>
        <w:outlineLvl w:val="1"/>
        <w:rPr>
          <w:b/>
          <w:lang w:eastAsia="pl-PL"/>
        </w:rPr>
      </w:pPr>
      <w:r>
        <w:rPr>
          <w:b/>
          <w:lang w:eastAsia="pl-PL"/>
        </w:rPr>
        <w:t>Strona internetowa prowadzonego postępowania</w:t>
      </w:r>
    </w:p>
    <w:p w14:paraId="5574A87A" w14:textId="5665AFE8" w:rsidR="00023CED" w:rsidRPr="00023CED" w:rsidRDefault="0067593D" w:rsidP="00023CED">
      <w:pPr>
        <w:widowControl w:val="0"/>
        <w:suppressAutoHyphens/>
        <w:spacing w:before="360"/>
        <w:rPr>
          <w:rFonts w:eastAsia="Webdings"/>
          <w:b/>
          <w:bCs/>
          <w:lang w:eastAsia="zh-CN"/>
        </w:rPr>
      </w:pPr>
      <w:r>
        <w:rPr>
          <w:rFonts w:eastAsia="Webdings"/>
          <w:lang w:eastAsia="zh-CN"/>
        </w:rPr>
        <w:t xml:space="preserve">Dotyczy: postępowania o udzielenie zamówienia publicznego prowadzonego w trybie podstawowym na </w:t>
      </w:r>
      <w:r w:rsidR="00481FAD" w:rsidRPr="00481FAD">
        <w:rPr>
          <w:b/>
          <w:bCs/>
        </w:rPr>
        <w:t>z</w:t>
      </w:r>
      <w:r w:rsidR="00481FAD" w:rsidRPr="00481FAD">
        <w:rPr>
          <w:b/>
          <w:bCs/>
        </w:rPr>
        <w:t>akup wraz z dostawą oraz montażem stacjonarnego monitora promieniowania gamma, tzn. bramki dozymetrycznej</w:t>
      </w:r>
    </w:p>
    <w:p w14:paraId="77702510" w14:textId="77777777" w:rsidR="0067593D" w:rsidRDefault="0067593D" w:rsidP="0081778C">
      <w:pPr>
        <w:suppressAutoHyphens/>
        <w:spacing w:before="360"/>
        <w:rPr>
          <w:rFonts w:eastAsia="Webdings"/>
          <w:lang w:eastAsia="zh-CN"/>
        </w:rPr>
      </w:pPr>
      <w:r>
        <w:rPr>
          <w:rFonts w:eastAsia="Webdings"/>
          <w:lang w:eastAsia="zh-CN"/>
        </w:rPr>
        <w:t xml:space="preserve">Zgodnie z art. 284 ustawy z dnia 11 września 2021 r.- Prawo zamówień publicznych (tj. Dz. U. z 2023 r. poz. 1605 ze zm.) </w:t>
      </w:r>
      <w:r>
        <w:rPr>
          <w:rFonts w:eastAsia="Webdings"/>
          <w:bCs/>
          <w:iCs/>
          <w:lang w:eastAsia="zh-CN"/>
        </w:rPr>
        <w:t>Zamawiający udziela</w:t>
      </w:r>
      <w:r>
        <w:rPr>
          <w:rFonts w:eastAsia="Webdings"/>
          <w:lang w:eastAsia="zh-CN"/>
        </w:rPr>
        <w:t xml:space="preserve"> wyjaśnień do</w:t>
      </w:r>
      <w:r>
        <w:rPr>
          <w:rFonts w:eastAsia="Webdings"/>
          <w:bCs/>
          <w:iCs/>
          <w:lang w:eastAsia="zh-CN"/>
        </w:rPr>
        <w:t xml:space="preserve"> ww.</w:t>
      </w:r>
      <w:r>
        <w:rPr>
          <w:rFonts w:eastAsia="Webdings"/>
          <w:lang w:eastAsia="zh-CN"/>
        </w:rPr>
        <w:t xml:space="preserve"> postępowania. </w:t>
      </w:r>
    </w:p>
    <w:p w14:paraId="244AC15D" w14:textId="77777777" w:rsidR="0067593D" w:rsidRDefault="0067593D" w:rsidP="0081778C">
      <w:pPr>
        <w:suppressAutoHyphens/>
        <w:spacing w:before="0"/>
        <w:rPr>
          <w:rFonts w:eastAsia="Webdings"/>
          <w:lang w:eastAsia="zh-CN"/>
        </w:rPr>
      </w:pPr>
      <w:r>
        <w:rPr>
          <w:rFonts w:eastAsia="Webdings"/>
          <w:lang w:eastAsia="zh-CN"/>
        </w:rPr>
        <w:t xml:space="preserve">Odpowiedź udzielona przez Zamawiającego zmieniająca lub uzupełniająca zapisy dokumentacji przetargowej stanowi integralną część SWZ i staje się wiążąca i nadrzędna  </w:t>
      </w:r>
    </w:p>
    <w:p w14:paraId="62E8CBA6" w14:textId="77777777" w:rsidR="0067593D" w:rsidRDefault="0067593D" w:rsidP="0081778C">
      <w:pPr>
        <w:suppressAutoHyphens/>
        <w:spacing w:before="0"/>
        <w:rPr>
          <w:rFonts w:eastAsia="Webdings"/>
          <w:u w:val="single"/>
          <w:lang w:eastAsia="zh-CN"/>
        </w:rPr>
      </w:pPr>
      <w:r>
        <w:rPr>
          <w:rFonts w:eastAsia="Webdings"/>
          <w:lang w:eastAsia="zh-CN"/>
        </w:rPr>
        <w:t>w stosunku do pierwotnych zapisów SWZ.</w:t>
      </w:r>
    </w:p>
    <w:p w14:paraId="17D9885B" w14:textId="77777777" w:rsidR="0067593D" w:rsidRPr="00A43B53" w:rsidRDefault="0067593D" w:rsidP="00D35672">
      <w:pPr>
        <w:suppressAutoHyphens/>
        <w:spacing w:before="240"/>
        <w:rPr>
          <w:rFonts w:eastAsia="Webdings"/>
          <w:b/>
          <w:lang w:eastAsia="zh-CN"/>
        </w:rPr>
      </w:pPr>
      <w:r w:rsidRPr="00A43B53">
        <w:rPr>
          <w:rFonts w:eastAsia="Webdings"/>
          <w:b/>
          <w:lang w:eastAsia="zh-CN"/>
        </w:rPr>
        <w:t>Pytanie nr 1:</w:t>
      </w:r>
    </w:p>
    <w:p w14:paraId="56851CE5" w14:textId="376DF5CC" w:rsidR="0081778C" w:rsidRPr="0081778C" w:rsidRDefault="0081778C" w:rsidP="0081778C">
      <w:pPr>
        <w:suppressAutoHyphens/>
        <w:spacing w:before="0"/>
        <w:rPr>
          <w:rFonts w:eastAsia="Webdings"/>
          <w:lang w:eastAsia="zh-CN"/>
        </w:rPr>
      </w:pPr>
      <w:r>
        <w:rPr>
          <w:rFonts w:eastAsia="Webdings"/>
          <w:lang w:eastAsia="zh-CN"/>
        </w:rPr>
        <w:t>W</w:t>
      </w:r>
      <w:r w:rsidRPr="0081778C">
        <w:rPr>
          <w:rFonts w:eastAsia="Webdings"/>
          <w:lang w:eastAsia="zh-CN"/>
        </w:rPr>
        <w:t xml:space="preserve"> proponowanym projekcie umowy chcielibyśmy doprecyzować i uzupełnić zapis w umowie i w związku z tym uprzejmie prosimy o zajęcie stanowiska:</w:t>
      </w:r>
      <w:r>
        <w:rPr>
          <w:rFonts w:eastAsia="Webdings"/>
          <w:lang w:eastAsia="zh-CN"/>
        </w:rPr>
        <w:t xml:space="preserve"> </w:t>
      </w:r>
      <w:r w:rsidRPr="0081778C">
        <w:rPr>
          <w:rFonts w:eastAsia="Webdings"/>
          <w:lang w:eastAsia="zh-CN"/>
        </w:rPr>
        <w:t xml:space="preserve">w §3 ust. 3 </w:t>
      </w:r>
      <w:r>
        <w:rPr>
          <w:rFonts w:eastAsia="Webdings"/>
          <w:lang w:eastAsia="zh-CN"/>
        </w:rPr>
        <w:t>- c</w:t>
      </w:r>
      <w:r w:rsidRPr="0081778C">
        <w:rPr>
          <w:rFonts w:eastAsia="Webdings"/>
          <w:lang w:eastAsia="zh-CN"/>
        </w:rPr>
        <w:t>zy Zamawiający zgodzi się na uzupełnienie zapisu o naprawę urządzenia i wydłużyć czas na usunięcie niezgodności? Jeżeli zdarzy się jakaś niezgodność, być może uda się naprawić urządzenie, bez konieczności wykonywania nowego. Oto propozycja zapisu:</w:t>
      </w:r>
      <w:r w:rsidRPr="0081778C">
        <w:rPr>
          <w:rFonts w:eastAsia="Webdings"/>
          <w:lang w:eastAsia="zh-CN"/>
        </w:rPr>
        <w:br/>
        <w:t xml:space="preserve">W przypadku opisanym w ust. 2 Wykonawca jest zobowiązany do naprawy lub wymiany urządzenia na takie, które spełniało będzie wymagania zawarte w załączniku nr 1 do SWZ na własny koszt i poniesienia wszelkich kosztów z tym związanych, co nastąpi nie później niż w terminie 10 dni roboczych, licząc od daty dostarczenia nieprawidłowego urządzenia. </w:t>
      </w:r>
    </w:p>
    <w:p w14:paraId="695E8C95" w14:textId="77777777" w:rsidR="009A757D" w:rsidRDefault="009A757D" w:rsidP="00A43B53">
      <w:pPr>
        <w:suppressAutoHyphens/>
        <w:spacing w:before="0"/>
        <w:rPr>
          <w:rFonts w:eastAsia="Webdings"/>
          <w:b/>
          <w:lang w:eastAsia="zh-CN"/>
        </w:rPr>
      </w:pPr>
      <w:r w:rsidRPr="00B3324F">
        <w:rPr>
          <w:rFonts w:eastAsia="Webdings"/>
          <w:b/>
          <w:lang w:eastAsia="zh-CN"/>
        </w:rPr>
        <w:t>Odpowiedź:</w:t>
      </w:r>
    </w:p>
    <w:p w14:paraId="6B440CE4" w14:textId="06EE4ED3" w:rsidR="00B3324F" w:rsidRDefault="00B3324F" w:rsidP="00A43B53">
      <w:pPr>
        <w:suppressAutoHyphens/>
        <w:spacing w:before="0"/>
        <w:rPr>
          <w:rFonts w:eastAsia="Webdings"/>
          <w:lang w:eastAsia="zh-CN"/>
        </w:rPr>
      </w:pPr>
      <w:r w:rsidRPr="00B3324F">
        <w:rPr>
          <w:rFonts w:eastAsia="Webdings"/>
          <w:lang w:eastAsia="zh-CN"/>
        </w:rPr>
        <w:t xml:space="preserve">Tak.  </w:t>
      </w:r>
      <w:r w:rsidR="007A6FFF">
        <w:rPr>
          <w:rFonts w:eastAsia="Webdings"/>
          <w:lang w:eastAsia="zh-CN"/>
        </w:rPr>
        <w:t>Zamawiający zgadza się na uzupełnienie zapisu i akceptuje ww. propozycję.</w:t>
      </w:r>
    </w:p>
    <w:p w14:paraId="70FAAA30" w14:textId="79C59458" w:rsidR="0081778C" w:rsidRPr="00A43B53" w:rsidRDefault="0081778C" w:rsidP="00D35672">
      <w:pPr>
        <w:suppressAutoHyphens/>
        <w:spacing w:before="240"/>
        <w:rPr>
          <w:rFonts w:eastAsia="Webdings"/>
          <w:b/>
          <w:lang w:eastAsia="zh-CN"/>
        </w:rPr>
      </w:pPr>
      <w:r w:rsidRPr="00A43B53">
        <w:rPr>
          <w:rFonts w:eastAsia="Webdings"/>
          <w:b/>
          <w:lang w:eastAsia="zh-CN"/>
        </w:rPr>
        <w:t xml:space="preserve">Pytanie nr </w:t>
      </w:r>
      <w:r>
        <w:rPr>
          <w:rFonts w:eastAsia="Webdings"/>
          <w:b/>
          <w:lang w:eastAsia="zh-CN"/>
        </w:rPr>
        <w:t>2</w:t>
      </w:r>
      <w:r w:rsidRPr="00A43B53">
        <w:rPr>
          <w:rFonts w:eastAsia="Webdings"/>
          <w:b/>
          <w:lang w:eastAsia="zh-CN"/>
        </w:rPr>
        <w:t>:</w:t>
      </w:r>
    </w:p>
    <w:p w14:paraId="66A0CB58" w14:textId="1BB03115" w:rsidR="0081778C" w:rsidRDefault="00301737" w:rsidP="00D35672">
      <w:pPr>
        <w:spacing w:before="0"/>
        <w:rPr>
          <w:rFonts w:eastAsia="Webdings"/>
          <w:lang w:eastAsia="zh-CN"/>
        </w:rPr>
      </w:pPr>
      <w:r>
        <w:rPr>
          <w:rFonts w:eastAsia="Webdings"/>
          <w:lang w:eastAsia="zh-CN"/>
        </w:rPr>
        <w:t>W</w:t>
      </w:r>
      <w:r w:rsidR="0081778C" w:rsidRPr="0081778C">
        <w:rPr>
          <w:rFonts w:eastAsia="Webdings"/>
          <w:lang w:eastAsia="zh-CN"/>
        </w:rPr>
        <w:t xml:space="preserve"> §3 ust. 6</w:t>
      </w:r>
      <w:r w:rsidR="00D35672">
        <w:rPr>
          <w:rFonts w:eastAsia="Webdings"/>
          <w:lang w:eastAsia="zh-CN"/>
        </w:rPr>
        <w:t xml:space="preserve"> umowy- </w:t>
      </w:r>
      <w:r w:rsidR="0081778C" w:rsidRPr="0081778C">
        <w:rPr>
          <w:rFonts w:eastAsia="Webdings"/>
          <w:lang w:eastAsia="zh-CN"/>
        </w:rPr>
        <w:t>czy Zamawiający zgodzi się na doprecyzowanie zapisu o miejsce użytkowania?</w:t>
      </w:r>
      <w:r w:rsidR="007A6FFF">
        <w:rPr>
          <w:rFonts w:eastAsia="Webdings"/>
          <w:lang w:eastAsia="zh-CN"/>
        </w:rPr>
        <w:t xml:space="preserve"> </w:t>
      </w:r>
      <w:r w:rsidR="0081778C" w:rsidRPr="0081778C">
        <w:rPr>
          <w:rFonts w:eastAsia="Webdings"/>
          <w:lang w:eastAsia="zh-CN"/>
        </w:rPr>
        <w:t>Oto propozycja zapisu:</w:t>
      </w:r>
      <w:r w:rsidR="0081778C" w:rsidRPr="0081778C">
        <w:rPr>
          <w:rFonts w:eastAsia="Webdings"/>
          <w:lang w:eastAsia="zh-CN"/>
        </w:rPr>
        <w:br/>
        <w:t xml:space="preserve">Wykonawca będzie usuwał wady przedmiotu umowy w miejscu jego użytkowania wskazanym w §2 ust 1. </w:t>
      </w:r>
    </w:p>
    <w:p w14:paraId="0D9915EA" w14:textId="77777777" w:rsidR="00D35672" w:rsidRDefault="00D35672" w:rsidP="00D35672">
      <w:pPr>
        <w:suppressAutoHyphens/>
        <w:spacing w:before="0"/>
        <w:rPr>
          <w:rFonts w:eastAsia="Webdings"/>
          <w:b/>
          <w:lang w:eastAsia="zh-CN"/>
        </w:rPr>
      </w:pPr>
      <w:r w:rsidRPr="00B3324F">
        <w:rPr>
          <w:rFonts w:eastAsia="Webdings"/>
          <w:b/>
          <w:lang w:eastAsia="zh-CN"/>
        </w:rPr>
        <w:t>Odpowiedź:</w:t>
      </w:r>
    </w:p>
    <w:p w14:paraId="5D985126" w14:textId="77777777" w:rsidR="007A6FFF" w:rsidRDefault="007A6FFF" w:rsidP="007A6FFF">
      <w:pPr>
        <w:suppressAutoHyphens/>
        <w:spacing w:before="0"/>
        <w:rPr>
          <w:rFonts w:eastAsia="Webdings"/>
          <w:lang w:eastAsia="zh-CN"/>
        </w:rPr>
      </w:pPr>
      <w:r w:rsidRPr="00B3324F">
        <w:rPr>
          <w:rFonts w:eastAsia="Webdings"/>
          <w:lang w:eastAsia="zh-CN"/>
        </w:rPr>
        <w:t xml:space="preserve">Tak.  </w:t>
      </w:r>
      <w:r>
        <w:rPr>
          <w:rFonts w:eastAsia="Webdings"/>
          <w:lang w:eastAsia="zh-CN"/>
        </w:rPr>
        <w:t>Zamawiający zgadza się na uzupełnienie zapisu i akceptuje ww. propozycję.</w:t>
      </w:r>
    </w:p>
    <w:p w14:paraId="1811A446" w14:textId="2FF9984B" w:rsidR="00D35672" w:rsidRPr="00A43B53" w:rsidRDefault="00D35672" w:rsidP="00301737">
      <w:pPr>
        <w:suppressAutoHyphens/>
        <w:spacing w:before="240"/>
        <w:rPr>
          <w:rFonts w:eastAsia="Webdings"/>
          <w:b/>
          <w:lang w:eastAsia="zh-CN"/>
        </w:rPr>
      </w:pPr>
      <w:r w:rsidRPr="00A43B53">
        <w:rPr>
          <w:rFonts w:eastAsia="Webdings"/>
          <w:b/>
          <w:lang w:eastAsia="zh-CN"/>
        </w:rPr>
        <w:t xml:space="preserve">Pytanie nr </w:t>
      </w:r>
      <w:r>
        <w:rPr>
          <w:rFonts w:eastAsia="Webdings"/>
          <w:b/>
          <w:lang w:eastAsia="zh-CN"/>
        </w:rPr>
        <w:t>3</w:t>
      </w:r>
      <w:r w:rsidRPr="00A43B53">
        <w:rPr>
          <w:rFonts w:eastAsia="Webdings"/>
          <w:b/>
          <w:lang w:eastAsia="zh-CN"/>
        </w:rPr>
        <w:t>:</w:t>
      </w:r>
    </w:p>
    <w:p w14:paraId="79FCBC51" w14:textId="15E96060" w:rsidR="0081778C" w:rsidRDefault="00301737" w:rsidP="00301737">
      <w:pPr>
        <w:autoSpaceDE w:val="0"/>
        <w:autoSpaceDN w:val="0"/>
        <w:adjustRightInd w:val="0"/>
        <w:spacing w:before="0"/>
      </w:pPr>
      <w:r>
        <w:t>W</w:t>
      </w:r>
      <w:r w:rsidR="0081778C">
        <w:t xml:space="preserve"> §8 ust. 5</w:t>
      </w:r>
      <w:r w:rsidR="00D35672">
        <w:t xml:space="preserve">- </w:t>
      </w:r>
      <w:r w:rsidR="0081778C">
        <w:t>czy Zamawiający zgodzi się rozszerzenie zapisu i ograniczenie odpowiedzialności Wykonawcy do wartości zamówienia?</w:t>
      </w:r>
      <w:r w:rsidR="007A6FFF">
        <w:t xml:space="preserve"> </w:t>
      </w:r>
      <w:r w:rsidR="0081778C">
        <w:t>Oto propozycja zapisu:</w:t>
      </w:r>
      <w:r w:rsidR="0081778C">
        <w:br/>
        <w:t xml:space="preserve">Zapłata kary umownej przez Wykonawcę nie pozbawia Zamawiającego prawa dochodzenia </w:t>
      </w:r>
      <w:r w:rsidR="0081778C">
        <w:lastRenderedPageBreak/>
        <w:t xml:space="preserve">odszkodowania na zasadach ogólnych, jeżeli kara umowna nie pokryje wyrządzonej szkody, przy czym całkowita odpowiedzialność Wykonawcy z niniejszej umowy ograniczona jest do 100% wartości Umowy netto. </w:t>
      </w:r>
    </w:p>
    <w:p w14:paraId="690B8D01" w14:textId="77777777" w:rsidR="00D35672" w:rsidRDefault="00D35672" w:rsidP="00D35672">
      <w:pPr>
        <w:suppressAutoHyphens/>
        <w:spacing w:before="0"/>
        <w:rPr>
          <w:rFonts w:eastAsia="Webdings"/>
          <w:b/>
          <w:lang w:eastAsia="zh-CN"/>
        </w:rPr>
      </w:pPr>
      <w:r w:rsidRPr="00B3324F">
        <w:rPr>
          <w:rFonts w:eastAsia="Webdings"/>
          <w:b/>
          <w:lang w:eastAsia="zh-CN"/>
        </w:rPr>
        <w:t>Odpowiedź:</w:t>
      </w:r>
    </w:p>
    <w:p w14:paraId="16BC6351" w14:textId="77777777" w:rsidR="007A6FFF" w:rsidRDefault="007A6FFF" w:rsidP="007A6FFF">
      <w:pPr>
        <w:suppressAutoHyphens/>
        <w:spacing w:before="0"/>
        <w:rPr>
          <w:rFonts w:eastAsia="Webdings"/>
          <w:lang w:eastAsia="zh-CN"/>
        </w:rPr>
      </w:pPr>
      <w:r w:rsidRPr="00B3324F">
        <w:rPr>
          <w:rFonts w:eastAsia="Webdings"/>
          <w:lang w:eastAsia="zh-CN"/>
        </w:rPr>
        <w:t xml:space="preserve">Tak.  </w:t>
      </w:r>
      <w:r>
        <w:rPr>
          <w:rFonts w:eastAsia="Webdings"/>
          <w:lang w:eastAsia="zh-CN"/>
        </w:rPr>
        <w:t>Zamawiający zgadza się na uzupełnienie zapisu i akceptuje ww. propozycję.</w:t>
      </w:r>
    </w:p>
    <w:p w14:paraId="138A93F3" w14:textId="1BE297EC" w:rsidR="00D35672" w:rsidRPr="00A43B53" w:rsidRDefault="00D35672" w:rsidP="007A6FFF">
      <w:pPr>
        <w:suppressAutoHyphens/>
        <w:spacing w:before="240"/>
        <w:rPr>
          <w:rFonts w:eastAsia="Webdings"/>
          <w:b/>
          <w:lang w:eastAsia="zh-CN"/>
        </w:rPr>
      </w:pPr>
      <w:r w:rsidRPr="00A43B53">
        <w:rPr>
          <w:rFonts w:eastAsia="Webdings"/>
          <w:b/>
          <w:lang w:eastAsia="zh-CN"/>
        </w:rPr>
        <w:t xml:space="preserve">Pytanie nr </w:t>
      </w:r>
      <w:r>
        <w:rPr>
          <w:rFonts w:eastAsia="Webdings"/>
          <w:b/>
          <w:lang w:eastAsia="zh-CN"/>
        </w:rPr>
        <w:t>4</w:t>
      </w:r>
      <w:r w:rsidRPr="00A43B53">
        <w:rPr>
          <w:rFonts w:eastAsia="Webdings"/>
          <w:b/>
          <w:lang w:eastAsia="zh-CN"/>
        </w:rPr>
        <w:t>:</w:t>
      </w:r>
    </w:p>
    <w:p w14:paraId="4ED9FAA6" w14:textId="6BE15922" w:rsidR="0081778C" w:rsidRDefault="00301737" w:rsidP="00D35672">
      <w:pPr>
        <w:autoSpaceDE w:val="0"/>
        <w:autoSpaceDN w:val="0"/>
        <w:adjustRightInd w:val="0"/>
        <w:spacing w:before="0"/>
      </w:pPr>
      <w:r>
        <w:t>W</w:t>
      </w:r>
      <w:r w:rsidR="0081778C">
        <w:t xml:space="preserve"> §9 ust. 2</w:t>
      </w:r>
      <w:r w:rsidR="00D35672">
        <w:t xml:space="preserve"> - </w:t>
      </w:r>
      <w:r w:rsidR="0081778C">
        <w:t>czy Zamawiający zgodzi się rozszerzenie zapisu o możliwość pokrycia kosztów produkcji urządzenia przez Zamawiającego, proporcjonalnie do stanu zaawansowania prac?</w:t>
      </w:r>
      <w:r w:rsidR="0081778C">
        <w:br/>
        <w:t>Oto propozycja zapisu:</w:t>
      </w:r>
      <w:r w:rsidR="007A6FFF">
        <w:t xml:space="preserve"> </w:t>
      </w:r>
      <w:r w:rsidR="0081778C">
        <w:t>Oprócz przypadków opisanego w §9 ust. 1, Zamawiający może odstąpić od umowy w razie wystąpienia istotnej zmiany okoliczności powodującej, że wykonanie umowy nie leży w interesie publicznym lub groziłoby szkodą dla Zamawiającego. W takim przypadku, o ile odstąpienie nastąpi później niż w terminie 30 dni od dnia zawarcia umowy, Zamawiający zobowiązuje się do pokrycia Wykonawcy kosztów, jakie poniósł w związku z wykonaniem umowy do dnia odstąpienia.</w:t>
      </w:r>
    </w:p>
    <w:p w14:paraId="5141967A" w14:textId="77777777" w:rsidR="00D35672" w:rsidRDefault="00D35672" w:rsidP="00D35672">
      <w:pPr>
        <w:suppressAutoHyphens/>
        <w:spacing w:before="0"/>
        <w:rPr>
          <w:rFonts w:eastAsia="Webdings"/>
          <w:b/>
          <w:lang w:eastAsia="zh-CN"/>
        </w:rPr>
      </w:pPr>
      <w:r w:rsidRPr="00B3324F">
        <w:rPr>
          <w:rFonts w:eastAsia="Webdings"/>
          <w:b/>
          <w:lang w:eastAsia="zh-CN"/>
        </w:rPr>
        <w:t>Odpowiedź:</w:t>
      </w:r>
    </w:p>
    <w:p w14:paraId="4BD20C43" w14:textId="77777777" w:rsidR="007A6FFF" w:rsidRDefault="007A6FFF" w:rsidP="007A6FFF">
      <w:pPr>
        <w:suppressAutoHyphens/>
        <w:spacing w:before="0"/>
        <w:rPr>
          <w:rFonts w:eastAsia="Webdings"/>
          <w:lang w:eastAsia="zh-CN"/>
        </w:rPr>
      </w:pPr>
      <w:r w:rsidRPr="00B3324F">
        <w:rPr>
          <w:rFonts w:eastAsia="Webdings"/>
          <w:lang w:eastAsia="zh-CN"/>
        </w:rPr>
        <w:t xml:space="preserve">Tak.  </w:t>
      </w:r>
      <w:r>
        <w:rPr>
          <w:rFonts w:eastAsia="Webdings"/>
          <w:lang w:eastAsia="zh-CN"/>
        </w:rPr>
        <w:t>Zamawiający zgadza się na uzupełnienie zapisu i akceptuje ww. propozycję.</w:t>
      </w:r>
    </w:p>
    <w:p w14:paraId="04E837D0" w14:textId="1B718F25" w:rsidR="0067593D" w:rsidRDefault="0067593D" w:rsidP="0067593D">
      <w:pPr>
        <w:autoSpaceDE w:val="0"/>
        <w:autoSpaceDN w:val="0"/>
        <w:adjustRightInd w:val="0"/>
        <w:spacing w:before="360" w:after="120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Od powyższego rozstrzygnięcia przysługują środki ochrony prawnej na zasadach określonych w</w:t>
      </w:r>
      <w:r w:rsidR="003A2D17">
        <w:rPr>
          <w:rFonts w:eastAsia="Times New Roman"/>
          <w:color w:val="000000"/>
          <w:lang w:eastAsia="pl-PL"/>
        </w:rPr>
        <w:t> </w:t>
      </w:r>
      <w:r>
        <w:rPr>
          <w:rFonts w:eastAsia="Times New Roman"/>
          <w:color w:val="000000"/>
          <w:lang w:eastAsia="pl-PL"/>
        </w:rPr>
        <w:t xml:space="preserve">Dziale IX - „Środki ochrony prawnej” ww. ustawy </w:t>
      </w:r>
      <w:proofErr w:type="spellStart"/>
      <w:r>
        <w:rPr>
          <w:rFonts w:eastAsia="Times New Roman"/>
          <w:color w:val="000000"/>
          <w:lang w:eastAsia="pl-PL"/>
        </w:rPr>
        <w:t>Pzp</w:t>
      </w:r>
      <w:proofErr w:type="spellEnd"/>
      <w:r>
        <w:rPr>
          <w:rFonts w:eastAsia="Times New Roman"/>
          <w:color w:val="000000"/>
          <w:lang w:eastAsia="pl-PL"/>
        </w:rPr>
        <w:t>.</w:t>
      </w:r>
    </w:p>
    <w:p w14:paraId="5BB1C73B" w14:textId="77777777" w:rsidR="00CD7490" w:rsidRDefault="00CD7490" w:rsidP="00141DC8">
      <w:pPr>
        <w:spacing w:before="0"/>
        <w:ind w:left="5670"/>
      </w:pPr>
      <w:r>
        <w:t>Z poważaniem</w:t>
      </w:r>
    </w:p>
    <w:p w14:paraId="1E456DDE" w14:textId="77777777" w:rsidR="002664B3" w:rsidRDefault="002664B3" w:rsidP="00141DC8">
      <w:pPr>
        <w:spacing w:before="0"/>
        <w:ind w:left="5670"/>
      </w:pPr>
    </w:p>
    <w:p w14:paraId="1931C636" w14:textId="77777777" w:rsidR="002664B3" w:rsidRDefault="002664B3" w:rsidP="002664B3">
      <w:pPr>
        <w:ind w:left="4956" w:firstLine="708"/>
      </w:pPr>
      <w:r>
        <w:t>Prezes Zarządu</w:t>
      </w:r>
    </w:p>
    <w:p w14:paraId="48842515" w14:textId="2A8CBC63" w:rsidR="002664B3" w:rsidRPr="00FC3807" w:rsidRDefault="002664B3" w:rsidP="002664B3">
      <w:pPr>
        <w:ind w:left="3540"/>
      </w:pPr>
      <w:r>
        <w:t xml:space="preserve">       </w:t>
      </w:r>
      <w:r>
        <w:tab/>
      </w:r>
      <w:r>
        <w:tab/>
      </w:r>
      <w:r>
        <w:tab/>
      </w:r>
      <w:r>
        <w:t xml:space="preserve">  </w:t>
      </w:r>
      <w:r>
        <w:t>Dominik Pilny</w:t>
      </w:r>
    </w:p>
    <w:p w14:paraId="3FA788A4" w14:textId="77777777" w:rsidR="002664B3" w:rsidRDefault="002664B3" w:rsidP="00141DC8">
      <w:pPr>
        <w:spacing w:before="0"/>
        <w:ind w:left="5670"/>
      </w:pPr>
    </w:p>
    <w:sectPr w:rsidR="002664B3" w:rsidSect="00301737">
      <w:pgSz w:w="11906" w:h="16838" w:code="9"/>
      <w:pgMar w:top="1135" w:right="1021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A55B" w14:textId="77777777" w:rsidR="00E52006" w:rsidRDefault="00E52006" w:rsidP="000A4DC0">
      <w:r>
        <w:separator/>
      </w:r>
    </w:p>
  </w:endnote>
  <w:endnote w:type="continuationSeparator" w:id="0">
    <w:p w14:paraId="2C0C2DC1" w14:textId="77777777" w:rsidR="00E52006" w:rsidRDefault="00E52006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26B9" w14:textId="77777777" w:rsidR="00E52006" w:rsidRDefault="00E52006" w:rsidP="000A4DC0">
      <w:r>
        <w:separator/>
      </w:r>
    </w:p>
  </w:footnote>
  <w:footnote w:type="continuationSeparator" w:id="0">
    <w:p w14:paraId="38215989" w14:textId="77777777" w:rsidR="00E52006" w:rsidRDefault="00E52006" w:rsidP="000A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F053D"/>
    <w:multiLevelType w:val="hybridMultilevel"/>
    <w:tmpl w:val="047443D8"/>
    <w:lvl w:ilvl="0" w:tplc="FC666C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17D01"/>
    <w:multiLevelType w:val="hybridMultilevel"/>
    <w:tmpl w:val="D93670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997381"/>
    <w:multiLevelType w:val="hybridMultilevel"/>
    <w:tmpl w:val="2FCAD108"/>
    <w:lvl w:ilvl="0" w:tplc="60760F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98050C"/>
    <w:multiLevelType w:val="hybridMultilevel"/>
    <w:tmpl w:val="C6867D48"/>
    <w:lvl w:ilvl="0" w:tplc="3FC6FB5A">
      <w:start w:val="1"/>
      <w:numFmt w:val="decimal"/>
      <w:pStyle w:val="Ustp"/>
      <w:lvlText w:val="%1."/>
      <w:lvlJc w:val="left"/>
      <w:pPr>
        <w:ind w:left="644" w:hanging="360"/>
      </w:pPr>
      <w:rPr>
        <w:b w:val="0"/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6099654">
    <w:abstractNumId w:val="3"/>
  </w:num>
  <w:num w:numId="2" w16cid:durableId="436370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087506">
    <w:abstractNumId w:val="3"/>
  </w:num>
  <w:num w:numId="4" w16cid:durableId="1876308467">
    <w:abstractNumId w:val="3"/>
  </w:num>
  <w:num w:numId="5" w16cid:durableId="219177428">
    <w:abstractNumId w:val="3"/>
  </w:num>
  <w:num w:numId="6" w16cid:durableId="1466661987">
    <w:abstractNumId w:val="3"/>
  </w:num>
  <w:num w:numId="7" w16cid:durableId="225452832">
    <w:abstractNumId w:val="3"/>
  </w:num>
  <w:num w:numId="8" w16cid:durableId="1858539449">
    <w:abstractNumId w:val="3"/>
  </w:num>
  <w:num w:numId="9" w16cid:durableId="1187869664">
    <w:abstractNumId w:val="3"/>
  </w:num>
  <w:num w:numId="10" w16cid:durableId="1864633521">
    <w:abstractNumId w:val="3"/>
  </w:num>
  <w:num w:numId="11" w16cid:durableId="1246574288">
    <w:abstractNumId w:val="2"/>
  </w:num>
  <w:num w:numId="12" w16cid:durableId="194815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07"/>
    <w:rsid w:val="00023CED"/>
    <w:rsid w:val="000823D2"/>
    <w:rsid w:val="000A2784"/>
    <w:rsid w:val="000A4DC0"/>
    <w:rsid w:val="000C4729"/>
    <w:rsid w:val="000D7C24"/>
    <w:rsid w:val="000D7C46"/>
    <w:rsid w:val="000E0720"/>
    <w:rsid w:val="00131C23"/>
    <w:rsid w:val="00141DC8"/>
    <w:rsid w:val="001743DF"/>
    <w:rsid w:val="00182FBA"/>
    <w:rsid w:val="001F58DA"/>
    <w:rsid w:val="00200C14"/>
    <w:rsid w:val="00256423"/>
    <w:rsid w:val="00257B7D"/>
    <w:rsid w:val="002625E0"/>
    <w:rsid w:val="002664B3"/>
    <w:rsid w:val="002B5DD8"/>
    <w:rsid w:val="002C2874"/>
    <w:rsid w:val="002D5A21"/>
    <w:rsid w:val="002E0A1E"/>
    <w:rsid w:val="002F0AB4"/>
    <w:rsid w:val="00301737"/>
    <w:rsid w:val="00306064"/>
    <w:rsid w:val="00346483"/>
    <w:rsid w:val="00372707"/>
    <w:rsid w:val="00376A0D"/>
    <w:rsid w:val="003A027A"/>
    <w:rsid w:val="003A2D17"/>
    <w:rsid w:val="003D10BE"/>
    <w:rsid w:val="004224AA"/>
    <w:rsid w:val="00425248"/>
    <w:rsid w:val="0042693B"/>
    <w:rsid w:val="00455AE7"/>
    <w:rsid w:val="00481FAD"/>
    <w:rsid w:val="004A5DD7"/>
    <w:rsid w:val="004F7759"/>
    <w:rsid w:val="004F7B2E"/>
    <w:rsid w:val="00506E71"/>
    <w:rsid w:val="00516DD6"/>
    <w:rsid w:val="00523E43"/>
    <w:rsid w:val="005B482E"/>
    <w:rsid w:val="0067593D"/>
    <w:rsid w:val="006F6584"/>
    <w:rsid w:val="006F79D2"/>
    <w:rsid w:val="0072352D"/>
    <w:rsid w:val="00730C64"/>
    <w:rsid w:val="007353AE"/>
    <w:rsid w:val="00753435"/>
    <w:rsid w:val="007726B2"/>
    <w:rsid w:val="0077695A"/>
    <w:rsid w:val="007A6FFF"/>
    <w:rsid w:val="0081285B"/>
    <w:rsid w:val="00812B92"/>
    <w:rsid w:val="008134D9"/>
    <w:rsid w:val="0081778C"/>
    <w:rsid w:val="00827BA1"/>
    <w:rsid w:val="00845844"/>
    <w:rsid w:val="00855C0B"/>
    <w:rsid w:val="008725A7"/>
    <w:rsid w:val="00873BB8"/>
    <w:rsid w:val="008922E6"/>
    <w:rsid w:val="008B52ED"/>
    <w:rsid w:val="008C416D"/>
    <w:rsid w:val="0098519B"/>
    <w:rsid w:val="00997C99"/>
    <w:rsid w:val="00997DD0"/>
    <w:rsid w:val="009A757D"/>
    <w:rsid w:val="009C3FE5"/>
    <w:rsid w:val="00A43B53"/>
    <w:rsid w:val="00A62002"/>
    <w:rsid w:val="00A628BF"/>
    <w:rsid w:val="00A703E4"/>
    <w:rsid w:val="00AC2884"/>
    <w:rsid w:val="00B02D45"/>
    <w:rsid w:val="00B03F96"/>
    <w:rsid w:val="00B30960"/>
    <w:rsid w:val="00B3324F"/>
    <w:rsid w:val="00B966E7"/>
    <w:rsid w:val="00BA2A47"/>
    <w:rsid w:val="00BA37A8"/>
    <w:rsid w:val="00BC2042"/>
    <w:rsid w:val="00BC7B7C"/>
    <w:rsid w:val="00C02DA4"/>
    <w:rsid w:val="00C0324E"/>
    <w:rsid w:val="00C03767"/>
    <w:rsid w:val="00C23379"/>
    <w:rsid w:val="00C66A01"/>
    <w:rsid w:val="00C71D70"/>
    <w:rsid w:val="00C96491"/>
    <w:rsid w:val="00CA2ED4"/>
    <w:rsid w:val="00CB3686"/>
    <w:rsid w:val="00CB5E5E"/>
    <w:rsid w:val="00CD7490"/>
    <w:rsid w:val="00CE0D32"/>
    <w:rsid w:val="00D2008B"/>
    <w:rsid w:val="00D35672"/>
    <w:rsid w:val="00D56712"/>
    <w:rsid w:val="00DB6223"/>
    <w:rsid w:val="00E2672A"/>
    <w:rsid w:val="00E3125E"/>
    <w:rsid w:val="00E44400"/>
    <w:rsid w:val="00E52006"/>
    <w:rsid w:val="00E53264"/>
    <w:rsid w:val="00E6270D"/>
    <w:rsid w:val="00E84C1D"/>
    <w:rsid w:val="00E958AB"/>
    <w:rsid w:val="00EF0C57"/>
    <w:rsid w:val="00F0791B"/>
    <w:rsid w:val="00F54E29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E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2E0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paragraph" w:customStyle="1" w:styleId="Default">
    <w:name w:val="Default"/>
    <w:rsid w:val="00BA37A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BA37A8"/>
    <w:pPr>
      <w:widowControl w:val="0"/>
      <w:numPr>
        <w:numId w:val="1"/>
      </w:numPr>
      <w:spacing w:before="60" w:line="240" w:lineRule="auto"/>
    </w:pPr>
    <w:rPr>
      <w:rFonts w:eastAsia="Times New Roman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BA37A8"/>
    <w:rPr>
      <w:rFonts w:ascii="Arial" w:eastAsia="Times New Roman" w:hAnsi="Arial" w:cs="Arial"/>
      <w:sz w:val="22"/>
      <w:szCs w:val="28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99"/>
    <w:qFormat/>
    <w:rsid w:val="002E0A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0A1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141DC8"/>
    <w:rPr>
      <w:rFonts w:ascii="Arial" w:hAnsi="Arial" w:cs="Arial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7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versation-mail">
    <w:name w:val="conversation-mail"/>
    <w:basedOn w:val="Domylnaczcionkaakapitu"/>
    <w:rsid w:val="0067593D"/>
  </w:style>
  <w:style w:type="character" w:customStyle="1" w:styleId="conversation-time">
    <w:name w:val="conversation-time"/>
    <w:basedOn w:val="Domylnaczcionkaakapitu"/>
    <w:rsid w:val="0067593D"/>
  </w:style>
  <w:style w:type="character" w:styleId="Pogrubienie">
    <w:name w:val="Strong"/>
    <w:basedOn w:val="Domylnaczcionkaakapitu"/>
    <w:uiPriority w:val="22"/>
    <w:qFormat/>
    <w:rsid w:val="00675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0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13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creator/>
  <cp:lastModifiedBy/>
  <cp:revision>1</cp:revision>
  <dcterms:created xsi:type="dcterms:W3CDTF">2023-04-18T12:07:00Z</dcterms:created>
  <dcterms:modified xsi:type="dcterms:W3CDTF">2024-07-22T06:24:00Z</dcterms:modified>
</cp:coreProperties>
</file>