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DFE2" w14:textId="32D70CD1" w:rsidR="00B454A6" w:rsidRDefault="004C4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51F0896A" w14:textId="77777777" w:rsidR="00EE59A1" w:rsidRDefault="00EE59A1"/>
    <w:p w14:paraId="13D476B6" w14:textId="22D9F3B0" w:rsidR="00EE59A1" w:rsidRDefault="00EE59A1"/>
    <w:p w14:paraId="1E666402" w14:textId="591755A0" w:rsidR="00EE59A1" w:rsidRDefault="00EE59A1"/>
    <w:p w14:paraId="6F3CBE1A" w14:textId="0855E9A1" w:rsidR="00EE59A1" w:rsidRDefault="00EE59A1"/>
    <w:p w14:paraId="62F07477" w14:textId="2AE8C1FA" w:rsidR="00EE59A1" w:rsidRDefault="00EE59A1" w:rsidP="00EE59A1">
      <w:pPr>
        <w:jc w:val="center"/>
        <w:rPr>
          <w:sz w:val="48"/>
          <w:szCs w:val="48"/>
        </w:rPr>
      </w:pPr>
      <w:r w:rsidRPr="00EE59A1">
        <w:rPr>
          <w:sz w:val="48"/>
          <w:szCs w:val="48"/>
        </w:rPr>
        <w:t>OPIS PRZEDMIOTU ZAMÓWIENIA</w:t>
      </w:r>
    </w:p>
    <w:p w14:paraId="3E666258" w14:textId="78D7B197" w:rsidR="00EE59A1" w:rsidRDefault="00EE59A1" w:rsidP="00EE59A1">
      <w:pPr>
        <w:jc w:val="center"/>
        <w:rPr>
          <w:sz w:val="48"/>
          <w:szCs w:val="48"/>
        </w:rPr>
      </w:pPr>
    </w:p>
    <w:p w14:paraId="40D98BB2" w14:textId="3A87EB83" w:rsidR="00EE59A1" w:rsidRPr="00EE59A1" w:rsidRDefault="00EE59A1" w:rsidP="00EE59A1">
      <w:pPr>
        <w:rPr>
          <w:sz w:val="52"/>
          <w:szCs w:val="52"/>
        </w:rPr>
      </w:pPr>
    </w:p>
    <w:p w14:paraId="0B62D842" w14:textId="7F137507" w:rsidR="00EE59A1" w:rsidRPr="00EE59A1" w:rsidRDefault="00EE59A1" w:rsidP="00EE59A1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EE59A1">
        <w:rPr>
          <w:sz w:val="24"/>
          <w:szCs w:val="24"/>
        </w:rPr>
        <w:t>Przedmiot zamówienia</w:t>
      </w:r>
    </w:p>
    <w:p w14:paraId="2DF83EF2" w14:textId="3901958A" w:rsidR="00EE59A1" w:rsidRDefault="00EE59A1" w:rsidP="00EE59A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76D7">
        <w:rPr>
          <w:rFonts w:cstheme="minorHAnsi"/>
          <w:sz w:val="24"/>
          <w:szCs w:val="24"/>
        </w:rPr>
        <w:t xml:space="preserve">Przedmiotem zamówienia jest </w:t>
      </w:r>
      <w:r w:rsidR="004976D7">
        <w:rPr>
          <w:rFonts w:cstheme="minorHAnsi"/>
          <w:color w:val="000000"/>
          <w:sz w:val="24"/>
          <w:szCs w:val="24"/>
        </w:rPr>
        <w:t>w</w:t>
      </w:r>
      <w:r w:rsidR="004976D7" w:rsidRPr="004976D7">
        <w:rPr>
          <w:rFonts w:cstheme="minorHAnsi"/>
          <w:color w:val="000000"/>
          <w:sz w:val="24"/>
          <w:szCs w:val="24"/>
        </w:rPr>
        <w:t>ykonani</w:t>
      </w:r>
      <w:r w:rsidR="004976D7">
        <w:rPr>
          <w:rFonts w:cstheme="minorHAnsi"/>
          <w:color w:val="000000"/>
          <w:sz w:val="24"/>
          <w:szCs w:val="24"/>
        </w:rPr>
        <w:t>e</w:t>
      </w:r>
      <w:r w:rsidR="004976D7" w:rsidRPr="004976D7">
        <w:rPr>
          <w:rFonts w:cstheme="minorHAnsi"/>
          <w:color w:val="000000"/>
          <w:sz w:val="24"/>
          <w:szCs w:val="24"/>
        </w:rPr>
        <w:t xml:space="preserve"> aktualizacji</w:t>
      </w:r>
      <w:r w:rsidR="004976D7">
        <w:rPr>
          <w:rFonts w:cstheme="minorHAnsi"/>
          <w:color w:val="000000"/>
          <w:sz w:val="24"/>
          <w:szCs w:val="24"/>
        </w:rPr>
        <w:t xml:space="preserve"> </w:t>
      </w:r>
      <w:r w:rsidR="004976D7" w:rsidRPr="004976D7">
        <w:rPr>
          <w:rFonts w:cstheme="minorHAnsi"/>
          <w:color w:val="000000"/>
          <w:sz w:val="24"/>
          <w:szCs w:val="24"/>
        </w:rPr>
        <w:t xml:space="preserve"> oraz uzgodnienia i akceptacji u Energa Operator S.A. oddział w Olsztynie,  instrukcji eksploatacji urządzeń energetycznych lub grup urządzeń energetycznych, zgodnie z zestawieniem</w:t>
      </w:r>
      <w:r w:rsidR="004976D7">
        <w:rPr>
          <w:rFonts w:cstheme="minorHAnsi"/>
          <w:color w:val="000000"/>
          <w:sz w:val="24"/>
          <w:szCs w:val="24"/>
        </w:rPr>
        <w:t xml:space="preserve"> </w:t>
      </w:r>
      <w:r w:rsidRPr="004976D7">
        <w:rPr>
          <w:rFonts w:cstheme="minorHAnsi"/>
          <w:sz w:val="24"/>
          <w:szCs w:val="24"/>
        </w:rPr>
        <w:t xml:space="preserve">dla Przedsiębiorstwa Wodociągów i Kanalizacji sp. z o.o. w Olsztynie zwanego dalej: </w:t>
      </w:r>
      <w:r w:rsidRPr="004976D7">
        <w:rPr>
          <w:rFonts w:cstheme="minorHAnsi"/>
          <w:b/>
          <w:bCs/>
          <w:sz w:val="24"/>
          <w:szCs w:val="24"/>
        </w:rPr>
        <w:t>Zamawiającym</w:t>
      </w:r>
      <w:r w:rsidR="004976D7">
        <w:rPr>
          <w:rFonts w:cstheme="minorHAnsi"/>
          <w:sz w:val="24"/>
          <w:szCs w:val="24"/>
        </w:rPr>
        <w:t>.</w:t>
      </w:r>
    </w:p>
    <w:p w14:paraId="0895C885" w14:textId="6F330DD9" w:rsidR="00EE59A1" w:rsidRPr="004976D7" w:rsidRDefault="00EE59A1" w:rsidP="004976D7">
      <w:pPr>
        <w:spacing w:before="100" w:beforeAutospacing="1" w:afterAutospacing="1" w:line="256" w:lineRule="auto"/>
        <w:ind w:right="246"/>
        <w:jc w:val="both"/>
        <w:rPr>
          <w:sz w:val="24"/>
          <w:szCs w:val="24"/>
        </w:rPr>
      </w:pPr>
      <w:r w:rsidRPr="004976D7">
        <w:rPr>
          <w:sz w:val="24"/>
          <w:szCs w:val="24"/>
        </w:rPr>
        <w:t>II. Zakres prac</w:t>
      </w:r>
    </w:p>
    <w:p w14:paraId="468D7D7C" w14:textId="5A51A131" w:rsidR="00341540" w:rsidRDefault="004976D7" w:rsidP="003415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Obiekty wymagające aktualizacji instrukcji:</w:t>
      </w:r>
    </w:p>
    <w:p w14:paraId="08A1B251" w14:textId="77777777" w:rsidR="004976D7" w:rsidRDefault="004976D7" w:rsidP="004976D7">
      <w:pPr>
        <w:pStyle w:val="Akapitzlist"/>
        <w:rPr>
          <w:sz w:val="24"/>
          <w:szCs w:val="24"/>
        </w:rPr>
      </w:pPr>
    </w:p>
    <w:tbl>
      <w:tblPr>
        <w:tblW w:w="9214" w:type="dxa"/>
        <w:tblInd w:w="7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8321"/>
      </w:tblGrid>
      <w:tr w:rsidR="004976D7" w:rsidRPr="00631B70" w14:paraId="71464AC1" w14:textId="77777777" w:rsidTr="00FD11CC">
        <w:trPr>
          <w:trHeight w:val="9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DD4BD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0E8E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b/>
                <w:bCs/>
                <w:color w:val="000000"/>
                <w:sz w:val="20"/>
                <w:szCs w:val="20"/>
              </w:rPr>
              <w:t>Instrukcja Ogólna</w:t>
            </w:r>
            <w:r w:rsidRPr="00631B70">
              <w:rPr>
                <w:color w:val="000000"/>
                <w:sz w:val="20"/>
                <w:szCs w:val="20"/>
              </w:rPr>
              <w:t xml:space="preserve"> – Instrukcja ruchu i eksploatacji urządzeń, sieci i instalacji odbiorczych w obiektach Przedsiębiorstwa Wodociągów i Kanalizacji Sp. z o.o. w Olsztynie. </w:t>
            </w:r>
          </w:p>
        </w:tc>
      </w:tr>
      <w:tr w:rsidR="004976D7" w:rsidRPr="00631B70" w14:paraId="4A3E49F7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ECC85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8CE47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P-1</w:t>
            </w:r>
            <w:r w:rsidRPr="00631B70">
              <w:rPr>
                <w:color w:val="000000"/>
                <w:sz w:val="20"/>
                <w:szCs w:val="20"/>
              </w:rPr>
              <w:t xml:space="preserve"> ul. Towarowa; </w:t>
            </w:r>
          </w:p>
        </w:tc>
      </w:tr>
      <w:tr w:rsidR="004976D7" w:rsidRPr="00631B70" w14:paraId="57CD039B" w14:textId="77777777" w:rsidTr="00FD11CC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7035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752D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P-2</w:t>
            </w:r>
            <w:r w:rsidRPr="00631B70">
              <w:rPr>
                <w:color w:val="000000"/>
                <w:sz w:val="20"/>
                <w:szCs w:val="20"/>
              </w:rPr>
              <w:t xml:space="preserve"> ul. Al. Wojska Polskiego; </w:t>
            </w:r>
          </w:p>
        </w:tc>
      </w:tr>
      <w:tr w:rsidR="004976D7" w:rsidRPr="00631B70" w14:paraId="1591FF38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3D5A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A30D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P-3</w:t>
            </w:r>
            <w:r w:rsidRPr="00631B70">
              <w:rPr>
                <w:color w:val="000000"/>
                <w:sz w:val="20"/>
                <w:szCs w:val="20"/>
              </w:rPr>
              <w:t xml:space="preserve"> ul. Artyleryjska; </w:t>
            </w:r>
          </w:p>
        </w:tc>
      </w:tr>
      <w:tr w:rsidR="004976D7" w:rsidRPr="00631B70" w14:paraId="4535A1A7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8C47D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6AB48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P-6</w:t>
            </w:r>
            <w:r w:rsidRPr="00631B70">
              <w:rPr>
                <w:color w:val="000000"/>
                <w:sz w:val="20"/>
                <w:szCs w:val="20"/>
              </w:rPr>
              <w:t xml:space="preserve"> ul. Radiowa;</w:t>
            </w:r>
          </w:p>
        </w:tc>
      </w:tr>
      <w:tr w:rsidR="004976D7" w:rsidRPr="00631B70" w14:paraId="2116D85A" w14:textId="77777777" w:rsidTr="00FD11CC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5BDC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D8BF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P-8</w:t>
            </w:r>
            <w:r w:rsidRPr="00631B70">
              <w:rPr>
                <w:color w:val="000000"/>
                <w:sz w:val="20"/>
                <w:szCs w:val="20"/>
              </w:rPr>
              <w:t xml:space="preserve"> ul. Gałczyńskiego;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 xml:space="preserve"> (instrukcja współpracy zespołu prądotwórczego zasilającego przepompownię)</w:t>
            </w:r>
            <w:r w:rsidRPr="00631B70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76D7" w:rsidRPr="00631B70" w14:paraId="2BEB3E6B" w14:textId="77777777" w:rsidTr="00FD11CC">
        <w:trPr>
          <w:trHeight w:val="45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6BAAF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71B6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P-10</w:t>
            </w:r>
            <w:r w:rsidRPr="00631B70">
              <w:rPr>
                <w:color w:val="000000"/>
                <w:sz w:val="20"/>
                <w:szCs w:val="20"/>
              </w:rPr>
              <w:t xml:space="preserve"> w Kieźlinach;</w:t>
            </w:r>
          </w:p>
        </w:tc>
      </w:tr>
      <w:tr w:rsidR="004976D7" w:rsidRPr="00631B70" w14:paraId="774883C7" w14:textId="77777777" w:rsidTr="00FD11CC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6468A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1AC4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P-13</w:t>
            </w:r>
            <w:r w:rsidRPr="00631B70">
              <w:rPr>
                <w:color w:val="000000"/>
                <w:sz w:val="20"/>
                <w:szCs w:val="20"/>
              </w:rPr>
              <w:t xml:space="preserve"> ul. Bałtycka;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 xml:space="preserve"> (instrukcja współpracy zespołu prądotwórczego zasilającego przepompownię).</w:t>
            </w:r>
          </w:p>
        </w:tc>
      </w:tr>
      <w:tr w:rsidR="004976D7" w:rsidRPr="00631B70" w14:paraId="2E1BC04F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45A70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38F4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Przepompownia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P-24 (PX)</w:t>
            </w:r>
            <w:r w:rsidRPr="00631B70">
              <w:rPr>
                <w:color w:val="000000"/>
                <w:sz w:val="20"/>
                <w:szCs w:val="20"/>
              </w:rPr>
              <w:t xml:space="preserve"> Ostrzeszewo; </w:t>
            </w:r>
          </w:p>
        </w:tc>
      </w:tr>
      <w:tr w:rsidR="004976D7" w:rsidRPr="00631B70" w14:paraId="1C640A20" w14:textId="77777777" w:rsidTr="00FD11CC">
        <w:trPr>
          <w:trHeight w:val="70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D5E1A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0F9F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Instrukcja ruchu i eksploatacji Stacji Transformatorowej 15/0,4kV </w:t>
            </w:r>
            <w:proofErr w:type="spellStart"/>
            <w:r w:rsidRPr="00631B70">
              <w:rPr>
                <w:color w:val="000000"/>
                <w:sz w:val="20"/>
                <w:szCs w:val="20"/>
              </w:rPr>
              <w:t>WPWiK</w:t>
            </w:r>
            <w:proofErr w:type="spellEnd"/>
            <w:r w:rsidRPr="00631B70">
              <w:rPr>
                <w:color w:val="000000"/>
                <w:sz w:val="20"/>
                <w:szCs w:val="20"/>
              </w:rPr>
              <w:t xml:space="preserve"> O-0746; </w:t>
            </w:r>
          </w:p>
        </w:tc>
      </w:tr>
      <w:tr w:rsidR="004976D7" w:rsidRPr="00631B70" w14:paraId="571A31C7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52C6A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5C097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b/>
                <w:bCs/>
                <w:color w:val="000000"/>
                <w:sz w:val="20"/>
                <w:szCs w:val="20"/>
              </w:rPr>
              <w:t>Zbiorniki Wyrównawcze</w:t>
            </w:r>
            <w:r w:rsidRPr="00367A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1B70">
              <w:rPr>
                <w:color w:val="000000"/>
                <w:sz w:val="20"/>
                <w:szCs w:val="20"/>
              </w:rPr>
              <w:t xml:space="preserve">(SUW </w:t>
            </w:r>
            <w:proofErr w:type="spellStart"/>
            <w:r w:rsidRPr="00631B70">
              <w:rPr>
                <w:color w:val="000000"/>
                <w:sz w:val="20"/>
                <w:szCs w:val="20"/>
              </w:rPr>
              <w:t>Jaroty</w:t>
            </w:r>
            <w:proofErr w:type="spellEnd"/>
            <w:r w:rsidRPr="00631B70">
              <w:rPr>
                <w:color w:val="000000"/>
                <w:sz w:val="20"/>
                <w:szCs w:val="20"/>
              </w:rPr>
              <w:t>)  ul. Masztowa</w:t>
            </w:r>
          </w:p>
        </w:tc>
      </w:tr>
      <w:tr w:rsidR="004976D7" w:rsidRPr="00631B70" w14:paraId="37C828F3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7FBA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4D3A5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Stacja Uzdatniania Wody SUW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Kortowo</w:t>
            </w:r>
            <w:r w:rsidRPr="00631B70">
              <w:rPr>
                <w:color w:val="000000"/>
                <w:sz w:val="20"/>
                <w:szCs w:val="20"/>
              </w:rPr>
              <w:t xml:space="preserve"> ul. Słoneczna</w:t>
            </w:r>
          </w:p>
        </w:tc>
      </w:tr>
      <w:tr w:rsidR="004976D7" w:rsidRPr="00631B70" w14:paraId="1CE81140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BB1C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1E9EE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Ujęcie Wody „Wadąg”</w:t>
            </w:r>
          </w:p>
        </w:tc>
      </w:tr>
      <w:tr w:rsidR="004976D7" w:rsidRPr="00631B70" w14:paraId="4AC0A104" w14:textId="77777777" w:rsidTr="00FD11CC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A8A29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30C6D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Stacja Uzdatniania Wody SUW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Zachód</w:t>
            </w:r>
            <w:r w:rsidRPr="00631B70">
              <w:rPr>
                <w:color w:val="000000"/>
                <w:sz w:val="20"/>
                <w:szCs w:val="20"/>
              </w:rPr>
              <w:t xml:space="preserve"> ul. Żeglarska;  </w:t>
            </w:r>
          </w:p>
        </w:tc>
      </w:tr>
      <w:tr w:rsidR="004976D7" w:rsidRPr="00631B70" w14:paraId="0A501914" w14:textId="77777777" w:rsidTr="00FD11CC">
        <w:trPr>
          <w:trHeight w:val="49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DF430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B831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Stacja Uzdatniania Wody SUW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Karolin</w:t>
            </w:r>
            <w:r w:rsidRPr="00631B70">
              <w:rPr>
                <w:color w:val="000000"/>
                <w:sz w:val="20"/>
                <w:szCs w:val="20"/>
              </w:rPr>
              <w:t xml:space="preserve"> ul. Wiosenna; </w:t>
            </w:r>
          </w:p>
        </w:tc>
      </w:tr>
      <w:tr w:rsidR="004976D7" w:rsidRPr="00631B70" w14:paraId="49207F77" w14:textId="77777777" w:rsidTr="00FD11CC">
        <w:trPr>
          <w:trHeight w:val="55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ECFAF" w14:textId="77777777" w:rsidR="004976D7" w:rsidRPr="00631B70" w:rsidRDefault="004976D7" w:rsidP="00FD11CC">
            <w:pPr>
              <w:jc w:val="center"/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247FD" w14:textId="77777777" w:rsidR="004976D7" w:rsidRPr="00631B70" w:rsidRDefault="004976D7" w:rsidP="00FD11CC">
            <w:pPr>
              <w:rPr>
                <w:color w:val="000000"/>
                <w:sz w:val="20"/>
                <w:szCs w:val="20"/>
              </w:rPr>
            </w:pPr>
            <w:r w:rsidRPr="00631B70">
              <w:rPr>
                <w:color w:val="000000"/>
                <w:sz w:val="20"/>
                <w:szCs w:val="20"/>
              </w:rPr>
              <w:t xml:space="preserve">Oczyszczalnia </w:t>
            </w:r>
            <w:r w:rsidRPr="00631B70">
              <w:rPr>
                <w:b/>
                <w:bCs/>
                <w:color w:val="000000"/>
                <w:sz w:val="20"/>
                <w:szCs w:val="20"/>
              </w:rPr>
              <w:t>Łyna</w:t>
            </w:r>
            <w:r w:rsidRPr="00631B70">
              <w:rPr>
                <w:color w:val="000000"/>
                <w:sz w:val="20"/>
                <w:szCs w:val="20"/>
              </w:rPr>
              <w:t xml:space="preserve"> ul. Leśna; </w:t>
            </w:r>
          </w:p>
        </w:tc>
      </w:tr>
    </w:tbl>
    <w:p w14:paraId="01C52EA4" w14:textId="4A71C22C" w:rsidR="004976D7" w:rsidRDefault="004976D7" w:rsidP="004976D7">
      <w:pPr>
        <w:pStyle w:val="Akapitzlist"/>
        <w:rPr>
          <w:sz w:val="24"/>
          <w:szCs w:val="24"/>
        </w:rPr>
      </w:pPr>
    </w:p>
    <w:p w14:paraId="0932EAFE" w14:textId="77777777" w:rsidR="004976D7" w:rsidRDefault="004976D7" w:rsidP="004976D7">
      <w:pPr>
        <w:pStyle w:val="Akapitzlist"/>
        <w:rPr>
          <w:sz w:val="24"/>
          <w:szCs w:val="24"/>
        </w:rPr>
      </w:pPr>
    </w:p>
    <w:p w14:paraId="515F3FE1" w14:textId="591B0850" w:rsidR="00341540" w:rsidRDefault="00341540" w:rsidP="003415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udostępni wszelkie dane  i dokumenty wymagane do przeprowadzenia </w:t>
      </w:r>
      <w:r w:rsidR="007F10E0">
        <w:rPr>
          <w:sz w:val="24"/>
          <w:szCs w:val="24"/>
        </w:rPr>
        <w:t>aktualizacji instrukcji</w:t>
      </w:r>
      <w:r>
        <w:rPr>
          <w:sz w:val="24"/>
          <w:szCs w:val="24"/>
        </w:rPr>
        <w:t>.</w:t>
      </w:r>
    </w:p>
    <w:p w14:paraId="5B6431E9" w14:textId="75CEF789" w:rsidR="005225F5" w:rsidRDefault="005225F5" w:rsidP="003415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Zamawiający informuje, że nie posiada wersji elektronicznych obecnych Instrukcji eksploatacji urządzeń energetycznych lub grup urządzeń energetycznych.</w:t>
      </w:r>
    </w:p>
    <w:p w14:paraId="1FFB2F58" w14:textId="7A8AFEB8" w:rsidR="005225F5" w:rsidRDefault="001C60AA" w:rsidP="003415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Poprzez Aktualizację Zamawiający rozumie przygotowanie karty aktualizacji bądź przygotowanie nowej instrukcji w przypadku gdy zakres zmian jest zbyt obszerny dla karty aktualizacji.</w:t>
      </w:r>
    </w:p>
    <w:p w14:paraId="3ADCA922" w14:textId="3B327120" w:rsidR="004976D7" w:rsidRPr="005225F5" w:rsidRDefault="005266A0" w:rsidP="005225F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przy realizacji </w:t>
      </w:r>
      <w:r w:rsidR="005225F5">
        <w:rPr>
          <w:sz w:val="24"/>
          <w:szCs w:val="24"/>
        </w:rPr>
        <w:t>aktualizacji instrukcji</w:t>
      </w:r>
      <w:r>
        <w:rPr>
          <w:sz w:val="24"/>
          <w:szCs w:val="24"/>
        </w:rPr>
        <w:t xml:space="preserve"> zobowiązany jest kierować się kryteriami </w:t>
      </w:r>
      <w:r w:rsidR="005225F5">
        <w:rPr>
          <w:sz w:val="24"/>
          <w:szCs w:val="24"/>
        </w:rPr>
        <w:t>zgodnie z</w:t>
      </w:r>
      <w:r>
        <w:rPr>
          <w:sz w:val="24"/>
          <w:szCs w:val="24"/>
        </w:rPr>
        <w:t xml:space="preserve"> </w:t>
      </w:r>
      <w:r w:rsidR="004976D7" w:rsidRPr="005225F5">
        <w:rPr>
          <w:rFonts w:cstheme="minorHAnsi"/>
          <w:color w:val="000000"/>
          <w:sz w:val="24"/>
          <w:szCs w:val="24"/>
        </w:rPr>
        <w:t xml:space="preserve">Rozporządzeniem Ministra Energii z dnia 28 sierpnia 2019 r. w sprawie bezpieczeństwa i higieny pracy przy urządzeniach energetycznych (Tekst jednolity Dz.U.2021.1210 z dnia 05.07.2021 r.), § 4, </w:t>
      </w:r>
      <w:r w:rsidR="001C60AA">
        <w:rPr>
          <w:rFonts w:cstheme="minorHAnsi"/>
          <w:color w:val="000000"/>
          <w:sz w:val="24"/>
          <w:szCs w:val="24"/>
        </w:rPr>
        <w:t xml:space="preserve">Instrukcja </w:t>
      </w:r>
      <w:r w:rsidR="00023D25">
        <w:rPr>
          <w:rFonts w:cstheme="minorHAnsi"/>
          <w:color w:val="000000"/>
          <w:sz w:val="24"/>
          <w:szCs w:val="24"/>
        </w:rPr>
        <w:t xml:space="preserve">eksploatacji </w:t>
      </w:r>
      <w:r w:rsidR="004976D7" w:rsidRPr="005225F5">
        <w:rPr>
          <w:rFonts w:cstheme="minorHAnsi"/>
          <w:color w:val="000000"/>
          <w:sz w:val="24"/>
          <w:szCs w:val="24"/>
        </w:rPr>
        <w:t>ma zawierać w szczególności:</w:t>
      </w:r>
    </w:p>
    <w:p w14:paraId="3E515BD6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charakterystykę urządzenia energetycznego lub grupy urządzeń energetycznych;</w:t>
      </w:r>
    </w:p>
    <w:p w14:paraId="523CFC74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opis w niezbędnym zakresie układów automatyki, pomiarów, sygnalizacji, zabezpieczeń i sterowań;</w:t>
      </w:r>
    </w:p>
    <w:p w14:paraId="08ADD492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zestaw rysunków, schematów i wykresów z opisami, zgodnymi z obowiązującym nazewnictwem w języku polskim;</w:t>
      </w:r>
    </w:p>
    <w:p w14:paraId="0FC0A422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opis czynności związanych z uruchomieniem, obsługą w czasie pracy i zatrzymaniem urządzenia energetycznego w warunkach normalnej pracy tego urządzenia;</w:t>
      </w:r>
    </w:p>
    <w:p w14:paraId="6C655D94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zasady postępowania w razie awarii oraz zakłóceń w pracy urządzenia energetycznego lub grup urządzeń energetycznych;</w:t>
      </w:r>
    </w:p>
    <w:p w14:paraId="07C3DD92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="0" w:afterAutospacing="1" w:line="240" w:lineRule="auto"/>
        <w:ind w:right="246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wymagania w zakresie eksploatacji urządzenia energetycznego oraz terminy przeprowadzania przeglądów, prób i pomiarów;</w:t>
      </w:r>
    </w:p>
    <w:p w14:paraId="0017E59C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wymagania w zakresie bezpieczeństwa i higieny pracy oraz przepisów przeciwpożarowych dla danego urządzenia energetycznego lub grupy urządzeń energetycznych;</w:t>
      </w:r>
    </w:p>
    <w:p w14:paraId="2FD054A9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 xml:space="preserve">identyfikację zagrożeń dla zdrowia i życia ludzkiego oraz dla środowiska naturalnego związanych z eksploatacją danego urządzenia energetycznego </w:t>
      </w:r>
      <w:r w:rsidRPr="004976D7">
        <w:rPr>
          <w:rFonts w:cstheme="minorHAnsi"/>
          <w:color w:val="000000"/>
          <w:sz w:val="24"/>
          <w:szCs w:val="24"/>
        </w:rPr>
        <w:lastRenderedPageBreak/>
        <w:t>lub grupy urządzeń energetycznych oraz zasady postępowania pozwalające na eliminację podanych zagrożeń;</w:t>
      </w:r>
    </w:p>
    <w:p w14:paraId="664C99B5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organizację prowadzenia prac eksploatacyjnych;</w:t>
      </w:r>
    </w:p>
    <w:p w14:paraId="23B192B7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rFonts w:cstheme="minorHAnsi"/>
          <w:color w:val="000000"/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wymagania dotyczące środków ochrony zbiorowej lub indywidualnej, zapewnienia asekuracji, łączności oraz innych technicznych lub organizacyjnych środków ochrony, stosowanych w celu ograniczenia ryzyka zawodowego, zwanych dalej „środkami ochronnymi”, określone w odrębnych przepisach;</w:t>
      </w:r>
    </w:p>
    <w:p w14:paraId="6E5647C6" w14:textId="77777777" w:rsidR="004976D7" w:rsidRPr="004976D7" w:rsidRDefault="004976D7" w:rsidP="004976D7">
      <w:pPr>
        <w:pStyle w:val="Akapitzlist"/>
        <w:numPr>
          <w:ilvl w:val="1"/>
          <w:numId w:val="4"/>
        </w:numPr>
        <w:spacing w:before="100" w:beforeAutospacing="1" w:afterAutospacing="1" w:line="256" w:lineRule="auto"/>
        <w:ind w:right="246"/>
        <w:jc w:val="both"/>
        <w:rPr>
          <w:sz w:val="24"/>
          <w:szCs w:val="24"/>
        </w:rPr>
      </w:pPr>
      <w:r w:rsidRPr="004976D7">
        <w:rPr>
          <w:rFonts w:cstheme="minorHAnsi"/>
          <w:color w:val="000000"/>
          <w:sz w:val="24"/>
          <w:szCs w:val="24"/>
        </w:rPr>
        <w:t>wymagania kwalifikacyjne dla osób zajmujących się eksploatacją danego urządzenia lub grupy urządzeń energetycznych, określone w odrębnych przepisach.</w:t>
      </w:r>
    </w:p>
    <w:p w14:paraId="5329A06B" w14:textId="34836A50" w:rsidR="005266A0" w:rsidRDefault="005266A0" w:rsidP="005225F5">
      <w:pPr>
        <w:pStyle w:val="Akapitzlist"/>
        <w:ind w:left="1080"/>
        <w:rPr>
          <w:sz w:val="24"/>
          <w:szCs w:val="24"/>
        </w:rPr>
      </w:pPr>
    </w:p>
    <w:p w14:paraId="5E2D6423" w14:textId="61F308D2" w:rsidR="00341540" w:rsidRDefault="00341540" w:rsidP="003415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w swojej ofercie powinien uwzględnić wszystkie koszty niezbędne do wykonania </w:t>
      </w:r>
      <w:r w:rsidR="005225F5">
        <w:rPr>
          <w:sz w:val="24"/>
          <w:szCs w:val="24"/>
        </w:rPr>
        <w:t>aktualizacji</w:t>
      </w:r>
      <w:r>
        <w:rPr>
          <w:sz w:val="24"/>
          <w:szCs w:val="24"/>
        </w:rPr>
        <w:t>, w tym koszty dojazdu</w:t>
      </w:r>
      <w:r w:rsidR="005225F5">
        <w:rPr>
          <w:sz w:val="24"/>
          <w:szCs w:val="24"/>
        </w:rPr>
        <w:t xml:space="preserve">, koszty przeprowadzenia inwentaryzacji, koszty wykonania schematów. </w:t>
      </w:r>
    </w:p>
    <w:p w14:paraId="6C59E35F" w14:textId="4520CF7B" w:rsidR="00341540" w:rsidRPr="00341540" w:rsidRDefault="00341540" w:rsidP="00341540">
      <w:pPr>
        <w:pStyle w:val="Akapitzlist"/>
        <w:rPr>
          <w:sz w:val="24"/>
          <w:szCs w:val="24"/>
        </w:rPr>
      </w:pPr>
    </w:p>
    <w:p w14:paraId="47DEFDB8" w14:textId="77777777" w:rsidR="00341540" w:rsidRPr="00341540" w:rsidRDefault="00341540" w:rsidP="00341540">
      <w:pPr>
        <w:pStyle w:val="Akapitzlist"/>
        <w:rPr>
          <w:sz w:val="24"/>
          <w:szCs w:val="24"/>
        </w:rPr>
      </w:pPr>
    </w:p>
    <w:sectPr w:rsidR="00341540" w:rsidRPr="0034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50"/>
    <w:multiLevelType w:val="hybridMultilevel"/>
    <w:tmpl w:val="680CF348"/>
    <w:lvl w:ilvl="0" w:tplc="5F243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A3016"/>
    <w:multiLevelType w:val="hybridMultilevel"/>
    <w:tmpl w:val="6CC2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7D4"/>
    <w:multiLevelType w:val="hybridMultilevel"/>
    <w:tmpl w:val="B908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0DC"/>
    <w:multiLevelType w:val="hybridMultilevel"/>
    <w:tmpl w:val="FBA0F442"/>
    <w:lvl w:ilvl="0" w:tplc="066A5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37858"/>
    <w:multiLevelType w:val="hybridMultilevel"/>
    <w:tmpl w:val="FD1A6678"/>
    <w:lvl w:ilvl="0" w:tplc="897A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C00"/>
    <w:multiLevelType w:val="hybridMultilevel"/>
    <w:tmpl w:val="F1D87AB6"/>
    <w:lvl w:ilvl="0" w:tplc="622A7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56098"/>
    <w:multiLevelType w:val="hybridMultilevel"/>
    <w:tmpl w:val="6A86124C"/>
    <w:lvl w:ilvl="0" w:tplc="FFFFFFFF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5B2BE0"/>
    <w:multiLevelType w:val="hybridMultilevel"/>
    <w:tmpl w:val="FAD8DEFC"/>
    <w:lvl w:ilvl="0" w:tplc="1B808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A1"/>
    <w:rsid w:val="00023D25"/>
    <w:rsid w:val="001C60AA"/>
    <w:rsid w:val="0021619B"/>
    <w:rsid w:val="002A3F0F"/>
    <w:rsid w:val="00341540"/>
    <w:rsid w:val="004976D7"/>
    <w:rsid w:val="004C44CB"/>
    <w:rsid w:val="005225F5"/>
    <w:rsid w:val="005266A0"/>
    <w:rsid w:val="007F10E0"/>
    <w:rsid w:val="00B454A6"/>
    <w:rsid w:val="00B52810"/>
    <w:rsid w:val="00E524CD"/>
    <w:rsid w:val="00E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0F6"/>
  <w15:chartTrackingRefBased/>
  <w15:docId w15:val="{CC1AE2DF-68A1-4D39-B04D-3A90C90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Marchliński</dc:creator>
  <cp:keywords/>
  <dc:description/>
  <cp:lastModifiedBy>Tomasz Marchliński</cp:lastModifiedBy>
  <cp:revision>7</cp:revision>
  <dcterms:created xsi:type="dcterms:W3CDTF">2021-05-19T07:18:00Z</dcterms:created>
  <dcterms:modified xsi:type="dcterms:W3CDTF">2021-11-24T07:37:00Z</dcterms:modified>
</cp:coreProperties>
</file>