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9E1C3F" w:rsidRPr="006E172B" w14:paraId="23C56D31" w14:textId="77777777" w:rsidTr="00FB6E7B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E276FE" w14:textId="7BAB28F3" w:rsidR="009E1C3F" w:rsidRDefault="00907198" w:rsidP="00FB6E7B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S</w:t>
            </w:r>
            <w:r w:rsidR="009E1C3F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eparator komórkowy  1 –  SZT.</w:t>
            </w:r>
          </w:p>
          <w:p w14:paraId="41FBA6D8" w14:textId="77777777" w:rsidR="009E1C3F" w:rsidRDefault="009E1C3F" w:rsidP="00FB6E7B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</w:p>
          <w:p w14:paraId="4AABE820" w14:textId="77777777" w:rsidR="000A596C" w:rsidRDefault="000A596C" w:rsidP="000A596C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</w:p>
          <w:p w14:paraId="3FF4EA18" w14:textId="77777777" w:rsidR="000A596C" w:rsidRPr="00915C68" w:rsidRDefault="000A596C" w:rsidP="000A596C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HAnsi"/>
                <w:b/>
                <w:i/>
                <w:kern w:val="3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theme="minorHAnsi"/>
                <w:i/>
                <w:sz w:val="18"/>
                <w:szCs w:val="18"/>
              </w:rPr>
              <w:t>W ramach z</w:t>
            </w:r>
            <w:r w:rsidRPr="00915C68">
              <w:rPr>
                <w:rFonts w:ascii="Century Gothic" w:hAnsi="Century Gothic" w:cstheme="minorHAnsi"/>
                <w:i/>
                <w:sz w:val="18"/>
                <w:szCs w:val="18"/>
              </w:rPr>
              <w:t>adania Narodowej Strategii Onkologicznej pn. „Doposażenie klinik i oddziałów hematoonkologicznych w sprzęt do diagnostyki i leczenia białaczek i chłoniaków” – dla podmiotów udzielających świadczenia osobom dorosłym w 2024 r.</w:t>
            </w:r>
          </w:p>
          <w:p w14:paraId="6E3C8BA0" w14:textId="77777777" w:rsidR="009E1C3F" w:rsidRPr="00BE32C8" w:rsidRDefault="009E1C3F" w:rsidP="00FB6E7B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67FAB236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1793B16A" w14:textId="77777777" w:rsidR="009E1C3F" w:rsidRPr="008C58E6" w:rsidRDefault="009E1C3F" w:rsidP="009E1C3F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1809E349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E612EB3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149784D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7A98CB54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[str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52BD5FE9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46153F8B" w14:textId="77777777" w:rsidR="009E1C3F" w:rsidRPr="00E31D99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Pr="00E31D99">
        <w:rPr>
          <w:rFonts w:ascii="Century Gothic" w:hAnsi="Century Gothic" w:cstheme="minorHAnsi"/>
          <w:color w:val="000000" w:themeColor="text1"/>
          <w:sz w:val="20"/>
          <w:szCs w:val="20"/>
          <w:lang w:eastAsia="pl-PL"/>
        </w:rPr>
        <w:t>20</w:t>
      </w:r>
      <w:r w:rsidR="002E3670" w:rsidRPr="002E3670">
        <w:rPr>
          <w:rFonts w:ascii="Century Gothic" w:hAnsi="Century Gothic" w:cstheme="minorHAnsi"/>
          <w:sz w:val="20"/>
          <w:szCs w:val="20"/>
          <w:lang w:eastAsia="pl-PL"/>
        </w:rPr>
        <w:t>24</w:t>
      </w: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38337F6E" w14:textId="77777777" w:rsidR="009E1C3F" w:rsidRPr="00E31D99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2AAC60D3" w14:textId="77777777" w:rsidR="009E1C3F" w:rsidRPr="00E31D99" w:rsidRDefault="009E1C3F" w:rsidP="009E1C3F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320B4B88" w14:textId="77777777" w:rsidR="009E1C3F" w:rsidRPr="00E31D99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765D61D1" w14:textId="77777777" w:rsidR="009E1C3F" w:rsidRPr="00E31D99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777E7EB7" w14:textId="77777777" w:rsidR="009E1C3F" w:rsidRPr="00104691" w:rsidRDefault="009E1C3F" w:rsidP="009E1C3F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104691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lastRenderedPageBreak/>
        <w:t>Tabela wyceny: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1134"/>
        <w:gridCol w:w="3119"/>
        <w:gridCol w:w="3260"/>
      </w:tblGrid>
      <w:tr w:rsidR="009E1C3F" w:rsidRPr="00104691" w14:paraId="1DB5621E" w14:textId="77777777" w:rsidTr="00FB6E7B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D032FB" w14:textId="77777777" w:rsidR="009E1C3F" w:rsidRPr="00104691" w:rsidRDefault="009E1C3F" w:rsidP="00FB6E7B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40B4CE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6512B6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698B9BB8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E1C640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Cena jednostkowa </w:t>
            </w:r>
          </w:p>
          <w:p w14:paraId="0F7F4804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(za 1 sztukę) </w:t>
            </w:r>
          </w:p>
          <w:p w14:paraId="20FA6EDD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brutto sprzętu </w:t>
            </w:r>
          </w:p>
          <w:p w14:paraId="427BCA9C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189099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  <w:p w14:paraId="237013D4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[ilość x cena jednostkowa]</w:t>
            </w:r>
          </w:p>
        </w:tc>
      </w:tr>
      <w:tr w:rsidR="009E1C3F" w:rsidRPr="00104691" w14:paraId="486C00F5" w14:textId="77777777" w:rsidTr="00FB6E7B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81D1EB" w14:textId="77777777" w:rsidR="009E1C3F" w:rsidRPr="00104691" w:rsidRDefault="009E1C3F" w:rsidP="00FB6E7B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95F06FA" w14:textId="77777777" w:rsidR="009E1C3F" w:rsidRPr="008C7AFE" w:rsidRDefault="008C7AFE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8C7AFE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Separator komórkowy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D9B8029" w14:textId="77777777" w:rsidR="009E1C3F" w:rsidRPr="00104691" w:rsidRDefault="008C7AFE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0687B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0A61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726D890C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393"/>
        <w:gridCol w:w="3215"/>
      </w:tblGrid>
      <w:tr w:rsidR="009E1C3F" w:rsidRPr="00104691" w14:paraId="1346AC52" w14:textId="77777777" w:rsidTr="0065076C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2F8D97" w14:textId="77777777" w:rsidR="009E1C3F" w:rsidRPr="00104691" w:rsidRDefault="009E1C3F" w:rsidP="00FB6E7B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E57B9FE" w14:textId="77777777" w:rsidR="009E1C3F" w:rsidRPr="00104691" w:rsidRDefault="009E1C3F" w:rsidP="00FB6E7B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104691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5686FA8C" w14:textId="77777777" w:rsidR="009E1C3F" w:rsidRPr="00104691" w:rsidRDefault="009E1C3F" w:rsidP="00FB6E7B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9E1C3F" w:rsidRPr="00104691" w14:paraId="33138483" w14:textId="77777777" w:rsidTr="0065076C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4D8901" w14:textId="77777777" w:rsidR="009E1C3F" w:rsidRPr="00104691" w:rsidRDefault="009E1C3F" w:rsidP="00FB6E7B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E8D9C37" w14:textId="77777777" w:rsidR="009E1C3F" w:rsidRPr="00104691" w:rsidRDefault="009E1C3F" w:rsidP="00FB6E7B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104691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29AED44E" w14:textId="77777777" w:rsidR="009E1C3F" w:rsidRPr="00104691" w:rsidRDefault="009E1C3F" w:rsidP="00FB6E7B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ECF56B5" w14:textId="77777777" w:rsidR="009E1C3F" w:rsidRPr="00104691" w:rsidRDefault="009E1C3F" w:rsidP="009E1C3F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9E1C3F" w:rsidRPr="00104691" w14:paraId="6E92F5D5" w14:textId="77777777" w:rsidTr="00FB6E7B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3E0B4F" w14:textId="77777777" w:rsidR="009E1C3F" w:rsidRPr="00104691" w:rsidRDefault="009E1C3F" w:rsidP="00FB6E7B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104691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104691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4C053" w14:textId="77777777" w:rsidR="009E1C3F" w:rsidRPr="00104691" w:rsidRDefault="009E1C3F" w:rsidP="00FB6E7B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16EDE9BD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402CA6CA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104691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0C0776E4" w14:textId="77777777" w:rsidR="009E1C3F" w:rsidRPr="00E31D99" w:rsidRDefault="009E1C3F" w:rsidP="009E1C3F">
      <w:pPr>
        <w:suppressAutoHyphens/>
        <w:autoSpaceDN w:val="0"/>
        <w:spacing w:after="120"/>
        <w:textAlignment w:val="baseline"/>
        <w:rPr>
          <w:rFonts w:eastAsia="Lucida Sans Unicode"/>
          <w:color w:val="000000" w:themeColor="text1"/>
          <w:kern w:val="3"/>
          <w:lang w:eastAsia="zh-CN" w:bidi="hi-IN"/>
        </w:rPr>
      </w:pPr>
    </w:p>
    <w:p w14:paraId="1568C4B3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6F4EBF85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3B164FDF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6202EFE8" w14:textId="77777777" w:rsidR="009E1C3F" w:rsidRPr="006E172B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2E3670" w:rsidRPr="002E367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4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25BA8594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7FA340A0" w14:textId="77777777" w:rsidR="009E1C3F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7088"/>
        <w:gridCol w:w="992"/>
        <w:gridCol w:w="2552"/>
        <w:gridCol w:w="1701"/>
        <w:gridCol w:w="1559"/>
      </w:tblGrid>
      <w:tr w:rsidR="009E1C3F" w14:paraId="702030B5" w14:textId="77777777" w:rsidTr="0065076C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2D5E" w14:textId="77777777" w:rsidR="009E1C3F" w:rsidRDefault="009E1C3F" w:rsidP="00FB6E7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  <w:tr w:rsidR="009E1C3F" w14:paraId="1791E7E4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8D7C" w14:textId="77777777" w:rsidR="009E1C3F" w:rsidRDefault="009E1C3F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5A019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B8E97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9F079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45F3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735A6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9E1C3F" w14:paraId="7C57BC10" w14:textId="77777777" w:rsidTr="0065076C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CD59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7C007" w14:textId="77777777" w:rsidR="009E1C3F" w:rsidRPr="00127411" w:rsidRDefault="009E1C3F" w:rsidP="009E1C3F">
            <w:pPr>
              <w:numPr>
                <w:ilvl w:val="0"/>
                <w:numId w:val="3"/>
              </w:numPr>
              <w:spacing w:after="160" w:line="256" w:lineRule="auto"/>
              <w:rPr>
                <w:rFonts w:ascii="Century Gothic" w:eastAsiaTheme="minorHAnsi" w:hAnsi="Century Gothic" w:cstheme="minorHAnsi"/>
                <w:bCs/>
                <w:sz w:val="20"/>
                <w:szCs w:val="20"/>
                <w:lang w:eastAsia="en-US"/>
              </w:rPr>
            </w:pPr>
            <w:r w:rsidRPr="00127411">
              <w:rPr>
                <w:rFonts w:ascii="Century Gothic" w:hAnsi="Century Gothic" w:cstheme="minorHAnsi"/>
                <w:bCs/>
                <w:sz w:val="20"/>
                <w:szCs w:val="20"/>
              </w:rPr>
              <w:t>Urządzenie umożliwiające przeprowadzenie:</w:t>
            </w:r>
          </w:p>
          <w:p w14:paraId="441E8736" w14:textId="77777777" w:rsidR="009E1C3F" w:rsidRPr="00127411" w:rsidRDefault="009E1C3F" w:rsidP="00FB6E7B">
            <w:pPr>
              <w:spacing w:line="256" w:lineRule="auto"/>
              <w:rPr>
                <w:rFonts w:ascii="Century Gothic" w:hAnsi="Century Gothic" w:cstheme="minorHAnsi"/>
                <w:b/>
                <w:bCs/>
                <w:sz w:val="20"/>
                <w:szCs w:val="20"/>
                <w:u w:val="single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  <w:u w:val="single"/>
              </w:rPr>
              <w:t xml:space="preserve">procedur terapeutycznych:  </w:t>
            </w:r>
          </w:p>
          <w:p w14:paraId="62360513" w14:textId="77777777" w:rsidR="009E1C3F" w:rsidRPr="00127411" w:rsidRDefault="009E1C3F" w:rsidP="009E1C3F">
            <w:pPr>
              <w:pStyle w:val="Akapitzlist"/>
              <w:numPr>
                <w:ilvl w:val="1"/>
                <w:numId w:val="7"/>
              </w:numPr>
              <w:spacing w:line="256" w:lineRule="auto"/>
              <w:ind w:left="738" w:hanging="28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terapeutyczna wymiana osocza (plazmafereza),</w:t>
            </w:r>
          </w:p>
          <w:p w14:paraId="4D6D8E4E" w14:textId="77777777" w:rsidR="009E1C3F" w:rsidRPr="00127411" w:rsidRDefault="009E1C3F" w:rsidP="009E1C3F">
            <w:pPr>
              <w:pStyle w:val="Akapitzlist"/>
              <w:numPr>
                <w:ilvl w:val="1"/>
                <w:numId w:val="7"/>
              </w:numPr>
              <w:spacing w:line="256" w:lineRule="auto"/>
              <w:ind w:left="738" w:hanging="28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terapeutyczna wymiana osocza z możliwością dostępu jednoigłowego (plazmafereza jednoigłowa),</w:t>
            </w:r>
          </w:p>
          <w:p w14:paraId="7EF92F75" w14:textId="77777777" w:rsidR="009E1C3F" w:rsidRPr="00127411" w:rsidRDefault="009E1C3F" w:rsidP="009E1C3F">
            <w:pPr>
              <w:pStyle w:val="Akapitzlist"/>
              <w:numPr>
                <w:ilvl w:val="1"/>
                <w:numId w:val="7"/>
              </w:numPr>
              <w:spacing w:line="256" w:lineRule="auto"/>
              <w:ind w:left="738" w:hanging="28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terapeutyczna wymiana osocza z możliwością podłączenia drugorzędowych urządzeń do przetwarzania osocza,</w:t>
            </w:r>
          </w:p>
          <w:p w14:paraId="389E95A3" w14:textId="77777777" w:rsidR="009E1C3F" w:rsidRPr="00127411" w:rsidRDefault="009E1C3F" w:rsidP="009E1C3F">
            <w:pPr>
              <w:pStyle w:val="Akapitzlist"/>
              <w:numPr>
                <w:ilvl w:val="1"/>
                <w:numId w:val="7"/>
              </w:numPr>
              <w:spacing w:line="256" w:lineRule="auto"/>
              <w:ind w:left="738" w:hanging="28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terapeutyczna wymiana czerwonych krwinek (erytroafereza),</w:t>
            </w:r>
          </w:p>
          <w:p w14:paraId="36DF6B0D" w14:textId="77777777" w:rsidR="009E1C3F" w:rsidRPr="00127411" w:rsidRDefault="009E1C3F" w:rsidP="009E1C3F">
            <w:pPr>
              <w:pStyle w:val="Akapitzlist"/>
              <w:numPr>
                <w:ilvl w:val="1"/>
                <w:numId w:val="7"/>
              </w:numPr>
              <w:spacing w:line="256" w:lineRule="auto"/>
              <w:ind w:left="738" w:hanging="28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usuwanie płytek krwi (trombafereza),</w:t>
            </w:r>
          </w:p>
          <w:p w14:paraId="341AAD96" w14:textId="77777777" w:rsidR="009E1C3F" w:rsidRPr="00127411" w:rsidRDefault="009E1C3F" w:rsidP="009E1C3F">
            <w:pPr>
              <w:pStyle w:val="Akapitzlist"/>
              <w:numPr>
                <w:ilvl w:val="1"/>
                <w:numId w:val="7"/>
              </w:numPr>
              <w:spacing w:after="120" w:line="256" w:lineRule="auto"/>
              <w:ind w:left="738" w:hanging="284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usuwanie krwinek białych (leukafereza),</w:t>
            </w:r>
          </w:p>
          <w:p w14:paraId="7E82217D" w14:textId="77777777" w:rsidR="009E1C3F" w:rsidRPr="00127411" w:rsidRDefault="009E1C3F" w:rsidP="00FB6E7B">
            <w:pPr>
              <w:spacing w:line="256" w:lineRule="auto"/>
              <w:rPr>
                <w:rFonts w:ascii="Century Gothic" w:hAnsi="Century Gothic" w:cstheme="minorHAnsi"/>
                <w:b/>
                <w:bCs/>
                <w:sz w:val="20"/>
                <w:szCs w:val="20"/>
                <w:u w:val="single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  <w:u w:val="single"/>
              </w:rPr>
              <w:t xml:space="preserve">procedur preparatywnych: </w:t>
            </w:r>
          </w:p>
          <w:p w14:paraId="614BBBFC" w14:textId="77777777" w:rsidR="009E1C3F" w:rsidRPr="00127411" w:rsidRDefault="009E1C3F" w:rsidP="009E1C3F">
            <w:pPr>
              <w:pStyle w:val="Akapitzlist"/>
              <w:numPr>
                <w:ilvl w:val="1"/>
                <w:numId w:val="7"/>
              </w:numPr>
              <w:spacing w:line="256" w:lineRule="auto"/>
              <w:ind w:left="738" w:hanging="284"/>
              <w:rPr>
                <w:rFonts w:ascii="Century Gothic" w:hAnsi="Century Gothic" w:cstheme="minorHAnsi"/>
                <w:b/>
                <w:bCs/>
                <w:sz w:val="20"/>
                <w:szCs w:val="20"/>
                <w:u w:val="single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poboru komórek jednojądrzastych krwi obwodowej,</w:t>
            </w:r>
          </w:p>
          <w:p w14:paraId="31778AE3" w14:textId="77777777" w:rsidR="009E1C3F" w:rsidRPr="00127411" w:rsidRDefault="009E1C3F" w:rsidP="009E1C3F">
            <w:pPr>
              <w:pStyle w:val="Akapitzlist"/>
              <w:numPr>
                <w:ilvl w:val="1"/>
                <w:numId w:val="7"/>
              </w:numPr>
              <w:spacing w:line="256" w:lineRule="auto"/>
              <w:ind w:left="738" w:hanging="284"/>
              <w:rPr>
                <w:rFonts w:ascii="Century Gothic" w:hAnsi="Century Gothic" w:cstheme="minorHAnsi"/>
                <w:b/>
                <w:bCs/>
                <w:sz w:val="20"/>
                <w:szCs w:val="20"/>
                <w:u w:val="single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koncentratu granulocytarnego,</w:t>
            </w:r>
          </w:p>
          <w:p w14:paraId="52180639" w14:textId="77777777" w:rsidR="009E1C3F" w:rsidRPr="00127411" w:rsidRDefault="009E1C3F" w:rsidP="009E1C3F">
            <w:pPr>
              <w:pStyle w:val="Akapitzlist"/>
              <w:numPr>
                <w:ilvl w:val="1"/>
                <w:numId w:val="7"/>
              </w:numPr>
              <w:spacing w:after="120" w:line="256" w:lineRule="auto"/>
              <w:ind w:left="738" w:hanging="284"/>
              <w:rPr>
                <w:rFonts w:ascii="Century Gothic" w:hAnsi="Century Gothic" w:cstheme="minorHAnsi"/>
                <w:b/>
                <w:bCs/>
                <w:sz w:val="20"/>
                <w:szCs w:val="20"/>
                <w:u w:val="single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 xml:space="preserve">koncentratu krwinek płytkowych (trombafereza jednoigłowa) </w:t>
            </w:r>
          </w:p>
          <w:p w14:paraId="7EB397CA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  <w:u w:val="single"/>
              </w:rPr>
              <w:t>dodatkowych:</w:t>
            </w:r>
            <w:r w:rsidRPr="00127411">
              <w:rPr>
                <w:rFonts w:ascii="Century Gothic" w:hAnsi="Century Gothic" w:cstheme="minorHAnsi"/>
                <w:sz w:val="20"/>
                <w:szCs w:val="20"/>
              </w:rPr>
              <w:t xml:space="preserve"> oczyszczania komórek progenitorowych szpiku kostnego w procedurze czyszczenia szpiku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30D7A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ED25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6687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2AD3" w14:textId="62297218" w:rsidR="009E1C3F" w:rsidRPr="00127411" w:rsidRDefault="000A596C" w:rsidP="000A59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8704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7D5ECE08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A2BB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AF95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Separator wirówkowy pracujący w trybie ciągłego przepływu krwi (równoległy napływ, separacja i zwrot krwi)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C431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5634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F0E5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392B" w14:textId="4C0EA578" w:rsidR="009E1C3F" w:rsidRPr="00127411" w:rsidRDefault="007F2F5D" w:rsidP="007F2F5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8704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3F851409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F794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0BE1C" w14:textId="77777777" w:rsidR="009E1C3F" w:rsidRPr="00127411" w:rsidRDefault="009E1C3F" w:rsidP="00E05E3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Aparat jezdny, łatwy do transportu </w:t>
            </w:r>
            <w:r w:rsidRPr="00127411">
              <w:rPr>
                <w:rFonts w:ascii="Century Gothic" w:hAnsi="Century Gothic" w:cstheme="minorHAnsi"/>
                <w:sz w:val="20"/>
                <w:szCs w:val="20"/>
              </w:rPr>
              <w:t xml:space="preserve">o wadze </w:t>
            </w:r>
            <w:r w:rsidR="00E05E3B" w:rsidRPr="00127411">
              <w:rPr>
                <w:rFonts w:ascii="Century Gothic" w:hAnsi="Century Gothic" w:cstheme="minorHAnsi"/>
                <w:sz w:val="20"/>
                <w:szCs w:val="20"/>
              </w:rPr>
              <w:t xml:space="preserve">max. </w:t>
            </w:r>
            <w:r w:rsidRPr="00127411">
              <w:rPr>
                <w:rFonts w:ascii="Century Gothic" w:hAnsi="Century Gothic" w:cstheme="minorHAnsi"/>
                <w:sz w:val="20"/>
                <w:szCs w:val="20"/>
              </w:rPr>
              <w:t xml:space="preserve"> 110kg</w:t>
            </w:r>
            <w:r w:rsidRPr="00127411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A0DBD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Tak,</w:t>
            </w:r>
          </w:p>
          <w:p w14:paraId="5F6DF622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85477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121A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C441E" w14:textId="15047BC2" w:rsidR="009E1C3F" w:rsidRPr="00750158" w:rsidRDefault="009E1C3F" w:rsidP="00FB6E7B">
            <w:pPr>
              <w:spacing w:line="256" w:lineRule="auto"/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50158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>Waga niższa - 5 pkt</w:t>
            </w:r>
            <w:r w:rsidR="007F2F5D" w:rsidRPr="00750158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>.</w:t>
            </w:r>
          </w:p>
          <w:p w14:paraId="1E4AAB7D" w14:textId="3769A9DE" w:rsidR="000A596C" w:rsidRPr="00750158" w:rsidRDefault="00811E27" w:rsidP="00FB6E7B">
            <w:pPr>
              <w:spacing w:line="256" w:lineRule="auto"/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50158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>Waga</w:t>
            </w:r>
            <w:r w:rsidR="00AF0690" w:rsidRPr="00750158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 </w:t>
            </w:r>
            <w:r w:rsidR="006C45A1" w:rsidRPr="00750158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>równa</w:t>
            </w:r>
            <w:r w:rsidR="000A596C" w:rsidRPr="00750158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 110</w:t>
            </w:r>
            <w:r w:rsidR="007F2F5D" w:rsidRPr="00750158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 kg.</w:t>
            </w:r>
            <w:r w:rsidR="000A596C" w:rsidRPr="00750158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 </w:t>
            </w:r>
            <w:r w:rsidR="003B5610" w:rsidRPr="00750158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 0 </w:t>
            </w:r>
            <w:r w:rsidR="000A596C" w:rsidRPr="00750158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pkt. </w:t>
            </w:r>
          </w:p>
          <w:p w14:paraId="305171BC" w14:textId="77777777" w:rsidR="009E1C3F" w:rsidRPr="00127411" w:rsidRDefault="009E1C3F" w:rsidP="000A596C">
            <w:pPr>
              <w:spacing w:line="256" w:lineRule="auto"/>
              <w:rPr>
                <w:rFonts w:ascii="Century Gothic" w:eastAsia="Times New Roman" w:hAnsi="Century Gothic" w:cstheme="minorHAnsi"/>
                <w:strike/>
                <w:kern w:val="2"/>
                <w:sz w:val="20"/>
                <w:szCs w:val="20"/>
                <w:lang w:eastAsia="ar-SA"/>
              </w:rPr>
            </w:pPr>
          </w:p>
        </w:tc>
      </w:tr>
      <w:tr w:rsidR="009E1C3F" w14:paraId="589F7EB9" w14:textId="77777777" w:rsidTr="0065076C">
        <w:trPr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75D5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B610C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Separator na podstawie jezdnej (zawieszenie wyposażone w ruchome obrotowe koła w zakresie 360 stopni, bez konieczności kalibracji systemu po transporcie.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6B5CB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FB93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ED2D" w14:textId="77777777" w:rsidR="009E1C3F" w:rsidRPr="00FF1995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2A8B9" w14:textId="6336FB53" w:rsidR="009E1C3F" w:rsidRPr="00FF1995" w:rsidRDefault="007F2F5D" w:rsidP="007F2F5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2"/>
                <w:szCs w:val="22"/>
                <w:lang w:eastAsia="ar-SA"/>
              </w:rPr>
            </w:pPr>
            <w:r w:rsidRPr="0028704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6DEAC430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5DEA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CAA0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Poziom hałasu podczas użytkowania ≤ 70 dB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3644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E05E3B" w:rsidRPr="0012741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E05E3B"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95E2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EE60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824F" w14:textId="799E439A" w:rsidR="009E1C3F" w:rsidRPr="00127411" w:rsidRDefault="003B5610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Poziom hałasu</w:t>
            </w:r>
            <w:r w:rsidR="007F2F5D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= </w:t>
            </w:r>
            <w:r w:rsidR="00E05E3B"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70</w:t>
            </w:r>
            <w:r w:rsidR="007F2F5D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dB </w:t>
            </w:r>
            <w:r w:rsidR="00127411"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 w:rsidR="007F2F5D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–</w:t>
            </w:r>
            <w:r w:rsidR="00E05E3B"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0</w:t>
            </w:r>
            <w:r w:rsidR="007F2F5D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 w:rsidR="00E05E3B"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pkt.</w:t>
            </w:r>
          </w:p>
          <w:p w14:paraId="035EFBB3" w14:textId="77777777" w:rsidR="00E05E3B" w:rsidRPr="00127411" w:rsidRDefault="00E05E3B" w:rsidP="00E05E3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Poniżej </w:t>
            </w:r>
            <w:r w:rsidR="002E3670"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-</w:t>
            </w: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5 pkt </w:t>
            </w:r>
          </w:p>
        </w:tc>
      </w:tr>
      <w:tr w:rsidR="007F2F5D" w14:paraId="3E80CABB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4E2F" w14:textId="77777777" w:rsidR="007F2F5D" w:rsidRDefault="007F2F5D" w:rsidP="007F2F5D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55EE1" w14:textId="77777777" w:rsidR="007F2F5D" w:rsidRPr="00127411" w:rsidRDefault="007F2F5D" w:rsidP="007F2F5D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Zestaw drenów zbudowany w oparciu o zintegrowaną kasetę zawierającą wszystkie elementy mocowane na pompach, zaworach i czujnikach minimalizującą możliwość błędnego założenia zestawu na urządzeniu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B69B" w14:textId="77777777" w:rsidR="007F2F5D" w:rsidRPr="00127411" w:rsidRDefault="007F2F5D" w:rsidP="007F2F5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B1C1E" w14:textId="77777777" w:rsidR="007F2F5D" w:rsidRPr="00127411" w:rsidRDefault="007F2F5D" w:rsidP="007F2F5D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9380" w14:textId="77777777" w:rsidR="007F2F5D" w:rsidRPr="00127411" w:rsidRDefault="007F2F5D" w:rsidP="007F2F5D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5EDA" w14:textId="6A7990AC" w:rsidR="007F2F5D" w:rsidRPr="00127411" w:rsidRDefault="007F2F5D" w:rsidP="007F2F5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4E705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F2F5D" w14:paraId="2F17E5AA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3362" w14:textId="77777777" w:rsidR="007F2F5D" w:rsidRDefault="007F2F5D" w:rsidP="007F2F5D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336E" w14:textId="77777777" w:rsidR="007F2F5D" w:rsidRPr="00127411" w:rsidRDefault="007F2F5D" w:rsidP="007F2F5D">
            <w:pPr>
              <w:jc w:val="both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127411">
              <w:rPr>
                <w:rFonts w:ascii="Century Gothic" w:hAnsi="Century Gothic" w:cstheme="minorHAnsi"/>
                <w:bCs/>
                <w:sz w:val="20"/>
                <w:szCs w:val="20"/>
              </w:rPr>
              <w:t>Pełna automatyzacja wykonywanych procedur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FF47A" w14:textId="77777777" w:rsidR="007F2F5D" w:rsidRPr="00127411" w:rsidRDefault="007F2F5D" w:rsidP="007F2F5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CD48" w14:textId="77777777" w:rsidR="007F2F5D" w:rsidRPr="00127411" w:rsidRDefault="007F2F5D" w:rsidP="007F2F5D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F848" w14:textId="77777777" w:rsidR="007F2F5D" w:rsidRPr="00127411" w:rsidRDefault="007F2F5D" w:rsidP="007F2F5D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B3AD" w14:textId="54B00407" w:rsidR="007F2F5D" w:rsidRPr="00127411" w:rsidRDefault="007F2F5D" w:rsidP="007F2F5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4E705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F2F5D" w14:paraId="6AFB440D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813A" w14:textId="77777777" w:rsidR="007F2F5D" w:rsidRDefault="007F2F5D" w:rsidP="007F2F5D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5913" w14:textId="77777777" w:rsidR="007F2F5D" w:rsidRPr="00127411" w:rsidRDefault="007F2F5D" w:rsidP="007F2F5D">
            <w:pPr>
              <w:jc w:val="both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Możliwość wprowadzenia informacji dotyczących pacjenta i procedury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00EC" w14:textId="0BB3A9ED" w:rsidR="007F2F5D" w:rsidRPr="00127411" w:rsidRDefault="007F2F5D" w:rsidP="007F2F5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4176" w14:textId="77777777" w:rsidR="007F2F5D" w:rsidRPr="00127411" w:rsidRDefault="007F2F5D" w:rsidP="007F2F5D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4300" w14:textId="77777777" w:rsidR="007F2F5D" w:rsidRPr="00127411" w:rsidRDefault="007F2F5D" w:rsidP="007F2F5D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5003" w14:textId="7F976FCF" w:rsidR="007F2F5D" w:rsidRPr="00127411" w:rsidRDefault="007F2F5D" w:rsidP="007F2F5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4E705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F2F5D" w14:paraId="7FB48245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9312" w14:textId="77777777" w:rsidR="007F2F5D" w:rsidRDefault="007F2F5D" w:rsidP="007F2F5D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E630" w14:textId="39DAA550" w:rsidR="007F2F5D" w:rsidRPr="00127411" w:rsidRDefault="007F2F5D" w:rsidP="007F2F5D">
            <w:pPr>
              <w:jc w:val="both"/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G</w:t>
            </w:r>
            <w:r w:rsidRPr="00127411">
              <w:rPr>
                <w:rFonts w:ascii="Century Gothic" w:hAnsi="Century Gothic" w:cstheme="minorHAnsi"/>
                <w:bCs/>
                <w:sz w:val="20"/>
                <w:szCs w:val="20"/>
              </w:rPr>
              <w:t>raficzn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a</w:t>
            </w:r>
            <w:r w:rsidRPr="00127411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prezentację poszczególnych etapów wybranej procedury 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w </w:t>
            </w:r>
            <w:r w:rsidRPr="00127411">
              <w:rPr>
                <w:rFonts w:ascii="Century Gothic" w:hAnsi="Century Gothic" w:cstheme="minorHAnsi"/>
                <w:bCs/>
                <w:sz w:val="20"/>
                <w:szCs w:val="20"/>
              </w:rPr>
              <w:t>języku polskim,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B8AC" w14:textId="755481CB" w:rsidR="007F2F5D" w:rsidRPr="00127411" w:rsidRDefault="007F2F5D" w:rsidP="007F2F5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7447" w14:textId="77777777" w:rsidR="007F2F5D" w:rsidRPr="00127411" w:rsidRDefault="007F2F5D" w:rsidP="007F2F5D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A0CF" w14:textId="77777777" w:rsidR="007F2F5D" w:rsidRPr="00127411" w:rsidRDefault="007F2F5D" w:rsidP="007F2F5D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F6F2" w14:textId="6FA94E49" w:rsidR="007F2F5D" w:rsidRPr="00127411" w:rsidRDefault="007F2F5D" w:rsidP="007F2F5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4E705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7F2F5D" w14:paraId="61E55F6A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D696" w14:textId="77777777" w:rsidR="007F2F5D" w:rsidRDefault="007F2F5D" w:rsidP="007F2F5D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3207" w14:textId="77777777" w:rsidR="007F2F5D" w:rsidRPr="00127411" w:rsidRDefault="007F2F5D" w:rsidP="007F2F5D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Automatyczny optyczny system kontroli separacji wyposażony w system analizy obrazu o wysokiej rozdzielczości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D01DA" w14:textId="77777777" w:rsidR="007F2F5D" w:rsidRPr="00127411" w:rsidRDefault="007F2F5D" w:rsidP="007F2F5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AA5C" w14:textId="77777777" w:rsidR="007F2F5D" w:rsidRPr="00127411" w:rsidRDefault="007F2F5D" w:rsidP="007F2F5D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8509" w14:textId="77777777" w:rsidR="007F2F5D" w:rsidRPr="00127411" w:rsidRDefault="007F2F5D" w:rsidP="007F2F5D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6D2F" w14:textId="4536021C" w:rsidR="007F2F5D" w:rsidRPr="00127411" w:rsidRDefault="007F2F5D" w:rsidP="007F2F5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4E705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4CB5ABD8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051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DD21A" w14:textId="77777777" w:rsidR="009E1C3F" w:rsidRPr="00127411" w:rsidRDefault="009E1C3F" w:rsidP="00FB6E7B">
            <w:pPr>
              <w:pStyle w:val="Default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Automatyczne dostosowanie parametrów procedury podczas wypełnienia i zastosowaniu koncentratu krwinek czerwonych (KKCz) o hematokrycie różnym od hematokrytu pacjenta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1FEA6" w14:textId="559C878E" w:rsidR="009E1C3F" w:rsidRPr="00127411" w:rsidRDefault="007F2F5D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D98D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FFB7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E654" w14:textId="77777777" w:rsidR="007F2F5D" w:rsidRPr="00127411" w:rsidRDefault="007F2F5D" w:rsidP="007F2F5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661EF54E" w14:textId="15A0D24D" w:rsidR="009E1C3F" w:rsidRPr="00127411" w:rsidRDefault="007F2F5D" w:rsidP="007F2F5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9E1C3F" w14:paraId="75EDA64C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56A1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E648A" w14:textId="77777777" w:rsidR="009E1C3F" w:rsidRPr="00127411" w:rsidRDefault="009E1C3F" w:rsidP="00FB6E7B">
            <w:pPr>
              <w:jc w:val="both"/>
              <w:rPr>
                <w:rFonts w:ascii="Century Gothic" w:eastAsiaTheme="minorHAnsi" w:hAnsi="Century Gothic" w:cstheme="minorHAnsi"/>
                <w:sz w:val="20"/>
                <w:szCs w:val="20"/>
                <w:lang w:eastAsia="en-US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Automatycznie sterowane dozowaniem antykoagulantu.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3B3F6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B630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36C3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C32F" w14:textId="77777777" w:rsidR="009E1C3F" w:rsidRPr="00127411" w:rsidRDefault="009E1C3F" w:rsidP="007F2F5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539AD517" w14:textId="77777777" w:rsidR="009E1C3F" w:rsidRPr="00127411" w:rsidRDefault="009E1C3F" w:rsidP="007F2F5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9E1C3F" w14:paraId="17AA918C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B4BC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F6556" w14:textId="77777777" w:rsidR="009E1C3F" w:rsidRPr="00127411" w:rsidRDefault="009E1C3F" w:rsidP="00FF1995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System dwustopniowej separacji polegający na zastosowani</w:t>
            </w:r>
            <w:r w:rsidR="00FF1995" w:rsidRPr="00127411">
              <w:rPr>
                <w:rFonts w:ascii="Century Gothic" w:hAnsi="Century Gothic" w:cstheme="minorHAnsi"/>
                <w:sz w:val="20"/>
                <w:szCs w:val="20"/>
              </w:rPr>
              <w:t>u dodatkowej komory kolekcyjnej.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F9AAA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4080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590D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0696" w14:textId="149D2EEB" w:rsidR="009E1C3F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4E705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7A205646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59C4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66A2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System wizjera umożliwiający bezpośredni podgląd zestawu – zarówno pierwszego i drugiego stopnia separacji podczas trwania procedury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11B1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  <w:p w14:paraId="343FA006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CF3D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0E75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7A4B" w14:textId="00B4F7F1" w:rsidR="009E1C3F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4E705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71F7BD61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C320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7AAA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Maksymalny przepływ wejściowy ≥ 120 ml/min dla procedury MNC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B601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E05E3B"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podać</w:t>
            </w:r>
          </w:p>
          <w:p w14:paraId="0B6533EF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1D22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7BDD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2C5C" w14:textId="083D4C40" w:rsidR="00B72F6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4E705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5F1C1665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2B06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45786" w14:textId="77777777" w:rsidR="009E1C3F" w:rsidRPr="00127411" w:rsidRDefault="009E1C3F" w:rsidP="00B72F67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 xml:space="preserve">Minimalny przepływ wejściowy dla procedury MNC: 10ml/min.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A16C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B72F67" w:rsidRPr="00127411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B72F67"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7BE3" w14:textId="77777777" w:rsidR="009E1C3F" w:rsidRPr="00FF1995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6A2A" w14:textId="77777777" w:rsidR="009E1C3F" w:rsidRPr="00FF1995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97A9" w14:textId="01E2AAAF" w:rsidR="009E1C3F" w:rsidRPr="00FF1995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  <w:r w:rsidRPr="004E705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75A658FE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FF06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7D51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Maksymalny przepływ wejściowy ≥ 140 ml/min dla procedury TPE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7B19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B72F67" w:rsidRPr="00127411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B72F67"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2C80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E9BD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DD31" w14:textId="338F8DDB" w:rsidR="009E1C3F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4E705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2A72025E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1152" w14:textId="0BC20AAD" w:rsidR="009E1C3F" w:rsidRDefault="009E1C3F" w:rsidP="005B65A7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32CE" w14:textId="77777777" w:rsidR="009E1C3F" w:rsidRPr="00127411" w:rsidRDefault="009E1C3F" w:rsidP="00FB6E7B">
            <w:pPr>
              <w:spacing w:line="276" w:lineRule="auto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Sprawność wykonania procedury wymiany osocza nie mniejsza niż 85%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F5A2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Tak,</w:t>
            </w:r>
          </w:p>
          <w:p w14:paraId="7D4317CC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E60C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146D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9109" w14:textId="4A8042C2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Wyższa niż </w:t>
            </w:r>
            <w:r w:rsidR="009E1C3F"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85% - 5 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pkt. </w:t>
            </w:r>
          </w:p>
          <w:p w14:paraId="509913E0" w14:textId="1FAF4F60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Równa 85% - 0</w:t>
            </w: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pkt. </w:t>
            </w:r>
          </w:p>
          <w:p w14:paraId="7EEECE6C" w14:textId="0B776A3F" w:rsidR="002E3670" w:rsidRPr="00127411" w:rsidRDefault="002E3670" w:rsidP="002E367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5B65A7" w14:paraId="2E2CFCFF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90CF" w14:textId="77777777" w:rsidR="005B65A7" w:rsidRDefault="005B65A7" w:rsidP="005B65A7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4C08" w14:textId="77777777" w:rsidR="005B65A7" w:rsidRPr="00127411" w:rsidRDefault="005B65A7" w:rsidP="005B65A7">
            <w:pPr>
              <w:spacing w:line="276" w:lineRule="auto"/>
              <w:jc w:val="both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Możliwość podłączenia filtra/kolumny lub ogrzewacza krwi do linii płynu zastępczego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D268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B13B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E8EB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59F5" w14:textId="197DF43B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04151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5B65A7" w14:paraId="1C78695E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992F" w14:textId="77777777" w:rsidR="005B65A7" w:rsidRDefault="005B65A7" w:rsidP="005B65A7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B4BB0" w14:textId="77777777" w:rsidR="005B65A7" w:rsidRPr="00127411" w:rsidRDefault="005B65A7" w:rsidP="005B65A7">
            <w:pPr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127411">
              <w:rPr>
                <w:rFonts w:ascii="Century Gothic" w:hAnsi="Century Gothic" w:cs="Calibri"/>
                <w:sz w:val="20"/>
                <w:szCs w:val="20"/>
              </w:rPr>
              <w:t>Czujnik ciśnienia umożliwiający podłączenie do urządzenia filtra/kolumny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4779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D110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2011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EA11" w14:textId="100F325C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04151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5B65A7" w14:paraId="45041A6D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F0CC" w14:textId="77777777" w:rsidR="005B65A7" w:rsidRDefault="005B65A7" w:rsidP="005B65A7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9E0D" w14:textId="77777777" w:rsidR="005B65A7" w:rsidRPr="00127411" w:rsidRDefault="005B65A7" w:rsidP="005B65A7">
            <w:p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Pamięć wewnętrzna separatora umożliwiająca dostęp do co najmniej 100 ostatnich raportów z przeprowadzonych procedur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0755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FA9B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E505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47EA" w14:textId="77777777" w:rsidR="005B65A7" w:rsidRDefault="005B65A7" w:rsidP="005B65A7">
            <w:pPr>
              <w:suppressAutoHyphens/>
              <w:snapToGrid w:val="0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Równe 100 raportów – 0 pkt. </w:t>
            </w:r>
          </w:p>
          <w:p w14:paraId="29A1F36B" w14:textId="740F62C1" w:rsidR="005B65A7" w:rsidRPr="00127411" w:rsidRDefault="005B65A7" w:rsidP="005B65A7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Powyżej 100 raportów – 10 pkt.</w:t>
            </w:r>
          </w:p>
        </w:tc>
      </w:tr>
      <w:tr w:rsidR="005B65A7" w14:paraId="7CAEB6C3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972C" w14:textId="77777777" w:rsidR="005B65A7" w:rsidRDefault="005B65A7" w:rsidP="005B65A7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4913" w14:textId="3619B8AE" w:rsidR="005B65A7" w:rsidRPr="00127411" w:rsidRDefault="005B65A7" w:rsidP="005B65A7">
            <w:pPr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127411">
              <w:rPr>
                <w:rFonts w:ascii="Century Gothic" w:hAnsi="Century Gothic" w:cs="Calibri"/>
                <w:sz w:val="20"/>
                <w:szCs w:val="20"/>
              </w:rPr>
              <w:t>Możliwość podłączenia komputera i drukarki  w celu transmisji danych z urządzenia do komputera, umożliwiająca przechowywanie raportów z procedur w formie elektronicznej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oraz możliwość ich wydruku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A52CB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F701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E996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DBA8" w14:textId="04E06DCA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04151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5B65A7" w14:paraId="654129D0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FF13" w14:textId="77777777" w:rsidR="005B65A7" w:rsidRDefault="005B65A7" w:rsidP="005B65A7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3C32" w14:textId="77777777" w:rsidR="005B65A7" w:rsidRPr="00127411" w:rsidRDefault="005B65A7" w:rsidP="005B65A7">
            <w:pPr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127411">
              <w:rPr>
                <w:rFonts w:ascii="Century Gothic" w:hAnsi="Century Gothic" w:cs="Calibri"/>
                <w:sz w:val="20"/>
                <w:szCs w:val="20"/>
              </w:rPr>
              <w:t>Worek na próbkę krwi przy linii wejściowej, umożliwiający odseparowanie pierwszej porcji krwi zawierającej potencjalne zanieczyszczenie w zestawach do pobierania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3F7CB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1858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918F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C728" w14:textId="33200CE5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04151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5B65A7" w14:paraId="4E3CE67A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FA11" w14:textId="77777777" w:rsidR="005B65A7" w:rsidRDefault="005B65A7" w:rsidP="005B65A7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0810" w14:textId="77777777" w:rsidR="005B65A7" w:rsidRPr="00127411" w:rsidRDefault="005B65A7" w:rsidP="005B65A7">
            <w:p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Dwa zbiorniki na próbki pobranego produktu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515E4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C1FE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F1FB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19AD" w14:textId="6F9B8468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04151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5B65A7" w14:paraId="4D8AC7C5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ADFD" w14:textId="77777777" w:rsidR="005B65A7" w:rsidRDefault="005B65A7" w:rsidP="005B65A7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8A52" w14:textId="77777777" w:rsidR="005B65A7" w:rsidRPr="00127411" w:rsidRDefault="005B65A7" w:rsidP="005B65A7">
            <w:p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Dodatkowy zacisk zintegrowany z zestawem na linii pojemnika produktu do zabezpieczenia preparatu przed rozjałowieniem podczas zgrzewania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233D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9E86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3978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92AC" w14:textId="3C33741B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04151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5B65A7" w14:paraId="30703A25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B0FF" w14:textId="77777777" w:rsidR="005B65A7" w:rsidRDefault="005B65A7" w:rsidP="005B65A7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CA9B" w14:textId="77777777" w:rsidR="005B65A7" w:rsidRDefault="005B65A7" w:rsidP="005B65A7">
            <w:p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 xml:space="preserve">Zabiegi terapeutyczne: </w:t>
            </w:r>
          </w:p>
          <w:p w14:paraId="4249EA13" w14:textId="77777777" w:rsidR="005B65A7" w:rsidRDefault="005B65A7" w:rsidP="005B65A7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B65A7">
              <w:rPr>
                <w:rFonts w:ascii="Century Gothic" w:hAnsi="Century Gothic" w:cstheme="minorHAnsi"/>
                <w:sz w:val="20"/>
                <w:szCs w:val="20"/>
              </w:rPr>
              <w:t xml:space="preserve">terapeutyczna wymiana osocza, </w:t>
            </w:r>
          </w:p>
          <w:p w14:paraId="7F7F690C" w14:textId="77777777" w:rsidR="005B65A7" w:rsidRDefault="005B65A7" w:rsidP="005B65A7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B65A7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terapeutyczna wymiana czerwonych krwinek, </w:t>
            </w:r>
          </w:p>
          <w:p w14:paraId="11C57E33" w14:textId="77777777" w:rsidR="005B65A7" w:rsidRDefault="005B65A7" w:rsidP="005B65A7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B65A7">
              <w:rPr>
                <w:rFonts w:ascii="Century Gothic" w:hAnsi="Century Gothic" w:cstheme="minorHAnsi"/>
                <w:sz w:val="20"/>
                <w:szCs w:val="20"/>
              </w:rPr>
              <w:t xml:space="preserve">pobieranie komórek macierzystych, </w:t>
            </w:r>
          </w:p>
          <w:p w14:paraId="7D5CC0BF" w14:textId="77777777" w:rsidR="005B65A7" w:rsidRDefault="005B65A7" w:rsidP="005B65A7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B65A7">
              <w:rPr>
                <w:rFonts w:ascii="Century Gothic" w:hAnsi="Century Gothic" w:cstheme="minorHAnsi"/>
                <w:sz w:val="20"/>
                <w:szCs w:val="20"/>
              </w:rPr>
              <w:t xml:space="preserve">usuwanie płytek krwi, </w:t>
            </w:r>
          </w:p>
          <w:p w14:paraId="14791E13" w14:textId="5D82C8C3" w:rsidR="005B65A7" w:rsidRPr="005B65A7" w:rsidRDefault="005B65A7" w:rsidP="005B65A7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B65A7">
              <w:rPr>
                <w:rFonts w:ascii="Century Gothic" w:hAnsi="Century Gothic" w:cstheme="minorHAnsi"/>
                <w:sz w:val="20"/>
                <w:szCs w:val="20"/>
              </w:rPr>
              <w:t>usuwanie krwinek białych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86EA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617A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4E13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170D" w14:textId="1CFA000F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04151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5B65A7" w14:paraId="79A0012B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70FC" w14:textId="77777777" w:rsidR="005B65A7" w:rsidRDefault="005B65A7" w:rsidP="005B65A7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61B1" w14:textId="77777777" w:rsidR="005B65A7" w:rsidRPr="00127411" w:rsidRDefault="005B65A7" w:rsidP="005B65A7">
            <w:p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Detektor obecności antykoagulantu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9D96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7EF9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FD7C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4E98" w14:textId="3DE10788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04151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5B65A7" w14:paraId="7D778629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DAAA" w14:textId="77777777" w:rsidR="005B65A7" w:rsidRDefault="005B65A7" w:rsidP="005B65A7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671F7" w14:textId="77777777" w:rsidR="005B65A7" w:rsidRPr="00127411" w:rsidRDefault="005B65A7" w:rsidP="005B65A7">
            <w:pPr>
              <w:spacing w:line="276" w:lineRule="auto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Detektor obecności płynu zastępczego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F223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07A7" w14:textId="77777777" w:rsidR="005B65A7" w:rsidRPr="00FF1995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4A76" w14:textId="77777777" w:rsidR="005B65A7" w:rsidRPr="00FF1995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84EE" w14:textId="7CEABC34" w:rsidR="005B65A7" w:rsidRPr="00FF1995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  <w:r w:rsidRPr="0004151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5B65A7" w14:paraId="0F042FFA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BBB7" w14:textId="77777777" w:rsidR="005B65A7" w:rsidRDefault="005B65A7" w:rsidP="005B65A7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602D" w14:textId="77777777" w:rsidR="005B65A7" w:rsidRPr="00127411" w:rsidRDefault="005B65A7" w:rsidP="005B65A7">
            <w:pPr>
              <w:spacing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Detektor hemolizy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E9290" w14:textId="77777777" w:rsidR="005B65A7" w:rsidRPr="00127411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6DA9" w14:textId="77777777" w:rsidR="005B65A7" w:rsidRPr="00FF1995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D3F2" w14:textId="77777777" w:rsidR="005B65A7" w:rsidRPr="00FF1995" w:rsidRDefault="005B65A7" w:rsidP="005B65A7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C5CD" w14:textId="544301E3" w:rsidR="005B65A7" w:rsidRPr="00FF1995" w:rsidRDefault="005B65A7" w:rsidP="005B65A7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  <w:r w:rsidRPr="0004151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57DA9776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4FE1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3E35" w14:textId="77777777" w:rsidR="009E1C3F" w:rsidRPr="00127411" w:rsidRDefault="009E1C3F" w:rsidP="00FB6E7B">
            <w:p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Wbudowana zgrzewarka do drenów, w pełni zintegrowana </w:t>
            </w:r>
            <w:r w:rsidRPr="00127411">
              <w:rPr>
                <w:rFonts w:ascii="Century Gothic" w:hAnsi="Century Gothic" w:cstheme="minorHAnsi"/>
                <w:bCs/>
                <w:sz w:val="20"/>
                <w:szCs w:val="20"/>
              </w:rPr>
              <w:br/>
              <w:t>z separatorem komórkowym</w:t>
            </w:r>
            <w:r w:rsidRPr="00127411">
              <w:rPr>
                <w:rFonts w:ascii="Century Gothic" w:hAnsi="Century Gothic" w:cstheme="minorHAnsi"/>
                <w:sz w:val="20"/>
                <w:szCs w:val="20"/>
              </w:rPr>
              <w:t xml:space="preserve"> tzn. zasilana bezpośrednio z urządzenia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5E6E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 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805E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9141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E553C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6188CAD7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9E1C3F" w14:paraId="764FCCF1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5F48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500F" w14:textId="77777777" w:rsidR="009E1C3F" w:rsidRPr="00127411" w:rsidRDefault="009E1C3F" w:rsidP="00FB6E7B">
            <w:pPr>
              <w:jc w:val="both"/>
              <w:rPr>
                <w:rFonts w:ascii="Century Gothic" w:eastAsiaTheme="minorHAnsi" w:hAnsi="Century Gothic" w:cstheme="minorHAnsi"/>
                <w:sz w:val="20"/>
                <w:szCs w:val="20"/>
                <w:lang w:eastAsia="en-US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Objętość pozaustrojowa mniejsza niż 200 ml w przypadku procedury pobierania komórek jednojądrzastych.</w:t>
            </w:r>
          </w:p>
          <w:p w14:paraId="3BC90F83" w14:textId="77777777" w:rsidR="009E1C3F" w:rsidRPr="00127411" w:rsidRDefault="009E1C3F" w:rsidP="00FB6E7B">
            <w:pPr>
              <w:spacing w:line="276" w:lineRule="auto"/>
              <w:jc w:val="both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Objętość pozaustrojowa mniejsza niż 190 ml w przypadku procedury terapeutycznej wymiany osocza.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FA0C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B72F67"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, podać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6697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8C97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5F9C" w14:textId="3CD60CB6" w:rsidR="009E1C3F" w:rsidRPr="00127411" w:rsidRDefault="005B65A7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04151A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65076C" w14:paraId="172F26BE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641B1" w14:textId="77777777" w:rsidR="0065076C" w:rsidRDefault="0065076C" w:rsidP="0065076C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2527" w14:textId="77777777" w:rsidR="0065076C" w:rsidRPr="00127411" w:rsidRDefault="0065076C" w:rsidP="0065076C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Możliwość regulacji ostatecznego bilansu płynów ustrojowych pacjenta/dawcy</w:t>
            </w:r>
            <w:r w:rsidRPr="00127411">
              <w:rPr>
                <w:rFonts w:ascii="Century Gothic" w:hAnsi="Century Gothic" w:cstheme="minorHAnsi"/>
                <w:color w:val="FF0000"/>
                <w:sz w:val="20"/>
                <w:szCs w:val="20"/>
              </w:rPr>
              <w:t xml:space="preserve">. </w:t>
            </w:r>
            <w:r w:rsidRPr="00127411">
              <w:rPr>
                <w:rFonts w:ascii="Century Gothic" w:hAnsi="Century Gothic" w:cstheme="minorHAnsi"/>
                <w:sz w:val="20"/>
                <w:szCs w:val="20"/>
              </w:rPr>
              <w:t>Maksymalnie</w:t>
            </w:r>
            <w:r w:rsidRPr="00127411">
              <w:rPr>
                <w:rFonts w:ascii="Century Gothic" w:hAnsi="Century Gothic" w:cstheme="minorHAnsi"/>
                <w:color w:val="FF0000"/>
                <w:sz w:val="20"/>
                <w:szCs w:val="20"/>
              </w:rPr>
              <w:t xml:space="preserve">  </w:t>
            </w:r>
            <w:r w:rsidRPr="00127411">
              <w:rPr>
                <w:rFonts w:ascii="Century Gothic" w:hAnsi="Century Gothic" w:cstheme="minorHAnsi"/>
                <w:sz w:val="20"/>
                <w:szCs w:val="20"/>
              </w:rPr>
              <w:t>25% w przypadku procedury TPE.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1AC3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A3A0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0379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0456" w14:textId="6E7561D8" w:rsidR="0065076C" w:rsidRPr="00127411" w:rsidRDefault="0065076C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100C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65076C" w14:paraId="489A1825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1627" w14:textId="77777777" w:rsidR="0065076C" w:rsidRDefault="0065076C" w:rsidP="0065076C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8273" w14:textId="77777777" w:rsidR="0065076C" w:rsidRPr="00127411" w:rsidRDefault="0065076C" w:rsidP="0065076C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Zanieczyszczenie produktu erytrocytami Hct ≤ 2% ( +/- 0,5 %)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5D07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BB13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801A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21C4" w14:textId="28377F80" w:rsidR="0065076C" w:rsidRPr="00127411" w:rsidRDefault="0065076C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100C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65076C" w14:paraId="30585CDD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2945" w14:textId="77777777" w:rsidR="0065076C" w:rsidRDefault="0065076C" w:rsidP="0065076C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1022" w14:textId="77777777" w:rsidR="0065076C" w:rsidRPr="00127411" w:rsidRDefault="0065076C" w:rsidP="0065076C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Średnie straty płytek w procedurze wymiany osocza nie większe niż 2,5%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E0EA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2E72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C986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C1C5" w14:textId="742317DB" w:rsidR="0065076C" w:rsidRPr="00127411" w:rsidRDefault="0065076C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100C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65076C" w14:paraId="24B188CE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60E7" w14:textId="77777777" w:rsidR="0065076C" w:rsidRDefault="0065076C" w:rsidP="0065076C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56DC" w14:textId="77777777" w:rsidR="0065076C" w:rsidRPr="00127411" w:rsidRDefault="0065076C" w:rsidP="0065076C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Możliwość podania bolusa, realizowana przez urządzenie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00B4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B782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BFF4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E9A7" w14:textId="548BD80A" w:rsidR="0065076C" w:rsidRPr="00127411" w:rsidRDefault="0065076C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FB580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65076C" w14:paraId="0CAB6195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1835" w14:textId="77777777" w:rsidR="0065076C" w:rsidRDefault="0065076C" w:rsidP="0065076C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8D22" w14:textId="77777777" w:rsidR="0065076C" w:rsidRPr="00127411" w:rsidRDefault="0065076C" w:rsidP="0065076C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Kontrola bilansu płynów w czasie rzeczywistym, opcja kontroli infuzji antykoagulantu do pacjenta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300F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A011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8650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989C" w14:textId="13EBCF01" w:rsidR="0065076C" w:rsidRPr="00127411" w:rsidRDefault="0065076C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FB580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65076C" w14:paraId="643A44AE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3A7E" w14:textId="77777777" w:rsidR="0065076C" w:rsidRDefault="0065076C" w:rsidP="0065076C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B172" w14:textId="01CA5444" w:rsidR="0065076C" w:rsidRPr="00127411" w:rsidRDefault="0065076C" w:rsidP="0065076C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 xml:space="preserve">Płukanie zestawu przed rozpoczęciem procedury,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w przypadku </w:t>
            </w:r>
            <w:r w:rsidRPr="00127411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wrażliwości pacjenta</w:t>
            </w:r>
            <w:r w:rsidRPr="00127411">
              <w:rPr>
                <w:rFonts w:ascii="Century Gothic" w:hAnsi="Century Gothic" w:cstheme="minorHAnsi"/>
                <w:sz w:val="20"/>
                <w:szCs w:val="20"/>
              </w:rPr>
              <w:t xml:space="preserve"> na substancję sterylizującą jednorazowy zestaw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0256" w14:textId="4F108B1A" w:rsidR="0065076C" w:rsidRPr="00127411" w:rsidRDefault="0065076C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 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15F41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26EE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3262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71124051" w14:textId="6DECA0B5" w:rsidR="0065076C" w:rsidRPr="00127411" w:rsidRDefault="0065076C" w:rsidP="0065076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65076C" w14:paraId="0ED88FAF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BEB9" w14:textId="77777777" w:rsidR="0065076C" w:rsidRDefault="0065076C" w:rsidP="0065076C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8E2F" w14:textId="77777777" w:rsidR="0065076C" w:rsidRPr="00127411" w:rsidRDefault="0065076C" w:rsidP="0065076C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Komory kroplowe antykoagulantu i soli na stałe połączone z zestawem uniemożliwiające rozjałowienie zestawu</w:t>
            </w:r>
            <w:r w:rsidRPr="0012741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65C9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9927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2B6F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18FD" w14:textId="02D5B37D" w:rsidR="0065076C" w:rsidRPr="00127411" w:rsidRDefault="0065076C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FB580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65076C" w14:paraId="5491E2B0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E419" w14:textId="77777777" w:rsidR="0065076C" w:rsidRDefault="0065076C" w:rsidP="0065076C">
            <w:pPr>
              <w:pStyle w:val="Akapitzlist"/>
              <w:suppressAutoHyphens/>
              <w:spacing w:after="0" w:line="288" w:lineRule="auto"/>
              <w:ind w:left="360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5D68" w14:textId="77777777" w:rsidR="0065076C" w:rsidRPr="00127411" w:rsidRDefault="0065076C" w:rsidP="0065076C">
            <w:pPr>
              <w:spacing w:line="276" w:lineRule="auto"/>
              <w:rPr>
                <w:rFonts w:ascii="Century Gothic" w:eastAsia="Times New Roman" w:hAnsi="Century Gothic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Segoe UI"/>
                <w:b/>
                <w:color w:val="000000"/>
                <w:sz w:val="20"/>
                <w:szCs w:val="20"/>
              </w:rPr>
              <w:t>INNE WYMAGANIA</w:t>
            </w:r>
          </w:p>
          <w:p w14:paraId="1BE7662E" w14:textId="77777777" w:rsidR="0065076C" w:rsidRPr="00FF1995" w:rsidRDefault="0065076C" w:rsidP="0065076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7AEE2" w14:textId="77777777" w:rsidR="0065076C" w:rsidRPr="00FF1995" w:rsidRDefault="0065076C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C21C" w14:textId="77777777" w:rsidR="0065076C" w:rsidRPr="00FF1995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73E0" w14:textId="77777777" w:rsidR="0065076C" w:rsidRPr="00FF1995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520E" w14:textId="5B538445" w:rsidR="0065076C" w:rsidRPr="00FF1995" w:rsidRDefault="0065076C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2"/>
                <w:szCs w:val="22"/>
                <w:lang w:eastAsia="ar-SA"/>
              </w:rPr>
            </w:pPr>
            <w:r w:rsidRPr="00FB580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65076C" w14:paraId="53C16876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2A64" w14:textId="77777777" w:rsidR="0065076C" w:rsidRDefault="0065076C" w:rsidP="0065076C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220F" w14:textId="77777777" w:rsidR="0065076C" w:rsidRPr="00127411" w:rsidRDefault="0065076C" w:rsidP="0065076C">
            <w:p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127411">
              <w:rPr>
                <w:rFonts w:ascii="Century Gothic" w:hAnsi="Century Gothic" w:cstheme="minorHAnsi"/>
                <w:sz w:val="20"/>
                <w:szCs w:val="20"/>
              </w:rPr>
              <w:t>Automatyczny test własny urządzenia i zestawu (przed rozpoczęciem procedury) zwiększający bezpieczeństwo pacjenta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6A39" w14:textId="0D10BABE" w:rsidR="0065076C" w:rsidRPr="00127411" w:rsidRDefault="0065076C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DF34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A735" w14:textId="77777777" w:rsidR="0065076C" w:rsidRPr="00127411" w:rsidRDefault="0065076C" w:rsidP="0065076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6383" w14:textId="4091351D" w:rsidR="0065076C" w:rsidRPr="00127411" w:rsidRDefault="0065076C" w:rsidP="0065076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FB580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40F9ABA8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68D5" w14:textId="0D1D3D6B" w:rsidR="009E1C3F" w:rsidRPr="00BA0CAF" w:rsidRDefault="009E1C3F" w:rsidP="00BA0CAF">
            <w:pPr>
              <w:pStyle w:val="Akapitzlist"/>
              <w:numPr>
                <w:ilvl w:val="0"/>
                <w:numId w:val="5"/>
              </w:numPr>
              <w:suppressAutoHyphens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97C9" w14:textId="77777777" w:rsidR="009E1C3F" w:rsidRPr="00127411" w:rsidRDefault="009E1C3F" w:rsidP="00FB6E7B">
            <w:pPr>
              <w:spacing w:line="276" w:lineRule="auto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127411">
              <w:rPr>
                <w:rFonts w:ascii="Century Gothic" w:hAnsi="Century Gothic"/>
                <w:b/>
                <w:bCs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BCC7" w14:textId="77777777" w:rsidR="009E1C3F" w:rsidRPr="006F3242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strike/>
                <w:kern w:val="2"/>
                <w:sz w:val="20"/>
                <w:szCs w:val="20"/>
                <w:lang w:eastAsia="ar-SA"/>
              </w:rPr>
            </w:pPr>
            <w:r w:rsidRPr="001E12E9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bookmarkStart w:id="1" w:name="_GoBack"/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186D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EA4A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C072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9E1C3F" w14:paraId="32103081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287E" w14:textId="77777777" w:rsidR="009E1C3F" w:rsidRDefault="009E1C3F" w:rsidP="00BA0CA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4929" w14:textId="77777777" w:rsidR="009E1C3F" w:rsidRPr="00127411" w:rsidRDefault="009E1C3F" w:rsidP="00FB6E7B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27411">
              <w:rPr>
                <w:rFonts w:ascii="Century Gothic" w:hAnsi="Century Gothic"/>
                <w:sz w:val="20"/>
                <w:szCs w:val="20"/>
              </w:rPr>
              <w:t>Tryb niskiego poboru mocy [kW/h]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6624" w14:textId="25BD8E4D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E12E9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D17655" w:rsidRPr="001E12E9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D17655" w:rsidRPr="006F3242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D17655" w:rsidRPr="006928B5">
              <w:rPr>
                <w:rFonts w:ascii="Century Gothic" w:eastAsia="Times New Roman" w:hAnsi="Century Gothic" w:cstheme="minorHAnsi"/>
                <w:color w:val="00B0F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280E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64AB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EE2E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9E1C3F" w14:paraId="7BAD861F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9DE1" w14:textId="77777777" w:rsidR="009E1C3F" w:rsidRDefault="009E1C3F" w:rsidP="00BA0CA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927C" w14:textId="77777777" w:rsidR="009E1C3F" w:rsidRPr="00127411" w:rsidRDefault="009E1C3F" w:rsidP="00FB6E7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27411">
              <w:rPr>
                <w:rFonts w:ascii="Century Gothic" w:hAnsi="Century Gothic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7F68" w14:textId="455B2FDF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E12E9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D17655" w:rsidRPr="001E12E9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D17655" w:rsidRPr="006F3242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D17655" w:rsidRPr="006928B5">
              <w:rPr>
                <w:rFonts w:ascii="Century Gothic" w:eastAsia="Times New Roman" w:hAnsi="Century Gothic" w:cstheme="minorHAnsi"/>
                <w:color w:val="00B0F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82E3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0A97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31AC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127411"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9E1C3F" w14:paraId="443B31FB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502B" w14:textId="77777777" w:rsidR="009E1C3F" w:rsidRDefault="009E1C3F" w:rsidP="00BA0CA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53AB" w14:textId="77777777" w:rsidR="009E1C3F" w:rsidRPr="00127411" w:rsidRDefault="009E1C3F" w:rsidP="00FB6E7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27411">
              <w:rPr>
                <w:rFonts w:ascii="Century Gothic" w:hAnsi="Century Gothic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9CFD" w14:textId="384A9428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E12E9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D17655" w:rsidRPr="001E12E9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D17655" w:rsidRPr="006F3242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D17655" w:rsidRPr="006928B5">
              <w:rPr>
                <w:rFonts w:ascii="Century Gothic" w:eastAsia="Times New Roman" w:hAnsi="Century Gothic" w:cstheme="minorHAnsi"/>
                <w:color w:val="00B0F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75E6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9FD1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F5A9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127411"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9E1C3F" w14:paraId="07688C3F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3F01" w14:textId="77777777" w:rsidR="009E1C3F" w:rsidRDefault="009E1C3F" w:rsidP="00BA0CA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D484" w14:textId="77777777" w:rsidR="009E1C3F" w:rsidRPr="00127411" w:rsidRDefault="009E1C3F" w:rsidP="00FB6E7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27411">
              <w:rPr>
                <w:rFonts w:ascii="Century Gothic" w:hAnsi="Century Gothic"/>
                <w:sz w:val="20"/>
                <w:szCs w:val="20"/>
              </w:rPr>
              <w:t>Certyfikaty producenta potwierdzające wprowadzenie systemu zarządzania  produkcji zgodnego z dyrektywami i/lub normami dotyczącymi ekologii, energooszczędności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ACE8" w14:textId="6BF4283D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E12E9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D17655" w:rsidRPr="001E12E9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D17655" w:rsidRPr="006F3242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D17655" w:rsidRPr="006928B5">
              <w:rPr>
                <w:rFonts w:ascii="Century Gothic" w:eastAsia="Times New Roman" w:hAnsi="Century Gothic" w:cstheme="minorHAnsi"/>
                <w:color w:val="00B0F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4221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E3F3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B3C6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127411"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9E1C3F" w14:paraId="1B06E11C" w14:textId="77777777" w:rsidTr="006507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1425" w14:textId="77777777" w:rsidR="009E1C3F" w:rsidRDefault="009E1C3F" w:rsidP="00BA0CA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9F51" w14:textId="77777777" w:rsidR="009E1C3F" w:rsidRPr="00127411" w:rsidRDefault="009E1C3F" w:rsidP="00FB6E7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27411">
              <w:rPr>
                <w:rFonts w:ascii="Century Gothic" w:hAnsi="Century Gothic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B207" w14:textId="1ECF4DD5" w:rsidR="009E1C3F" w:rsidRPr="00127411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E12E9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Tak</w:t>
            </w:r>
            <w:r w:rsidR="00D17655" w:rsidRPr="001E12E9">
              <w:rPr>
                <w:rFonts w:ascii="Century Gothic" w:eastAsia="Times New Roman" w:hAnsi="Century Gothic" w:cstheme="minorHAnsi"/>
                <w:strike/>
                <w:color w:val="FF0000"/>
                <w:kern w:val="2"/>
                <w:sz w:val="20"/>
                <w:szCs w:val="20"/>
                <w:lang w:eastAsia="ar-SA"/>
              </w:rPr>
              <w:t>,</w:t>
            </w:r>
            <w:r w:rsidR="00D17655" w:rsidRPr="006F3242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="00D17655" w:rsidRPr="006928B5">
              <w:rPr>
                <w:rFonts w:ascii="Century Gothic" w:eastAsia="Times New Roman" w:hAnsi="Century Gothic" w:cstheme="minorHAnsi"/>
                <w:color w:val="00B0F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9AF3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1F0A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12741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9668" w14:textId="77777777" w:rsidR="009E1C3F" w:rsidRPr="00127411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127411"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9E1C3F" w14:paraId="20656DFA" w14:textId="77777777" w:rsidTr="0065076C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B407" w14:textId="77777777" w:rsidR="009E1C3F" w:rsidRDefault="009E1C3F" w:rsidP="00FB6E7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WARUNKI GWARANCJI, SERWISU I SZKOLENIA </w:t>
            </w:r>
          </w:p>
        </w:tc>
      </w:tr>
    </w:tbl>
    <w:p w14:paraId="6E38C5FE" w14:textId="77777777" w:rsidR="009E1C3F" w:rsidRDefault="009E1C3F" w:rsidP="009E1C3F">
      <w:pPr>
        <w:suppressAutoHyphens/>
        <w:rPr>
          <w:rFonts w:ascii="Century Gothic" w:eastAsia="Times New Roman" w:hAnsi="Century Gothic"/>
          <w:b/>
          <w:sz w:val="20"/>
          <w:szCs w:val="20"/>
          <w:lang w:eastAsia="ar-SA"/>
        </w:rPr>
      </w:pPr>
    </w:p>
    <w:tbl>
      <w:tblPr>
        <w:tblW w:w="0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616"/>
      </w:tblGrid>
      <w:tr w:rsidR="009E1C3F" w14:paraId="4D4162E6" w14:textId="77777777" w:rsidTr="00FB6E7B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087A1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2FE3C2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17320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A70F5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C5B24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9E1C3F" w14:paraId="244BBF98" w14:textId="77777777" w:rsidTr="00FB6E7B">
        <w:trPr>
          <w:trHeight w:val="4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BDDD4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A0AC6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C11F7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A07DF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D95E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E1C3F" w14:paraId="767A3550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01F8E6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B63864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089E2DF2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559AF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605E4DF6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1CE1C9D6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8C6B3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7E17" w14:textId="77777777" w:rsidR="009E1C3F" w:rsidRDefault="009E1C3F" w:rsidP="00FB6E7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57E139FB" w14:textId="77777777" w:rsidR="009E1C3F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9E1C3F" w14:paraId="307FCA81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C23D1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D6D62D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E3609A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DCF49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5E71B" w14:textId="77777777" w:rsidR="009E1C3F" w:rsidRDefault="009E1C3F" w:rsidP="00FB6E7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036DBBCC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88C95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86022D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 xml:space="preserve">W przypadku, gdy w ramach gwarancji następuje wymiana sprzętu na nowy/dokonuje się istotnych napraw sprzętu/wymienia się istotne części sprzętu (podzespołu itp.) termin gwarancji biegnie na nowo. W przypadku </w:t>
            </w: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lastRenderedPageBreak/>
              <w:t>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E4E37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B73F6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C985B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2377A0EB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CA2155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6D7167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446C0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AEE6C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6153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9E1C3F" w14:paraId="6C9B4F23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52346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70E58" w14:textId="77777777" w:rsidR="009E1C3F" w:rsidRDefault="009E1C3F" w:rsidP="00FB6E7B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BE1E9B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91BF0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1BB4E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37FF2E5C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37ED93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A1DD9F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FDF99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1CB52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1E15B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54CCF7EB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25224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61D4D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ECDDD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C8EA5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93757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495A95E5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FE11D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C0135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728C5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3D13A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E78BC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1F6D58AD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5449D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60D62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C33FB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2F3AF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B4FB4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29F3B619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FA5BC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602AD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17779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12185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FA683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1B8A4C16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DB401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0F3274" w14:textId="77777777" w:rsidR="009E1C3F" w:rsidRDefault="009E1C3F" w:rsidP="00FB6E7B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0F466F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DF64C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ECA0E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1EC4A9ED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5A908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8264DC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4144E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BB9A6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C974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00E6512C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9E1C3F" w14:paraId="58E0E940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7B1A0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264C3D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477AD5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3FF978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645C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9E1C3F" w14:paraId="029EAACD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10F32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90CDEC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38D1FD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CCF79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01267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154A8E94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B227D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36C8BC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FD566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A82B1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4BBEF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024912FE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C7391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FA7D88" w14:textId="77777777" w:rsidR="009E1C3F" w:rsidRDefault="009E1C3F" w:rsidP="00FB6E7B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EADE9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2A5E1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613D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C3F" w14:paraId="43252704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A45BB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1FE43" w14:textId="77777777" w:rsidR="009E1C3F" w:rsidRDefault="009E1C3F" w:rsidP="00FB6E7B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42D53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BB2F4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D0067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753BC91A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695C1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BBC3AA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E0D39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E33F4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BCEDD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42770240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EDBF7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694D67" w14:textId="77777777" w:rsidR="009E1C3F" w:rsidRDefault="009E1C3F" w:rsidP="00FB6E7B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60CB2482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482FD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2161A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6B665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3FBFF717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9E1C3F" w14:paraId="38EBD1EF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E235E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FD059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8C233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EC62A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51678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05B0DB00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E19D95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673C36" w14:textId="77777777" w:rsidR="009E1C3F" w:rsidRDefault="009E1C3F" w:rsidP="00FB6E7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DD0B6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BCC1F1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8FCA2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13B1FD7E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E441F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85126" w14:textId="77777777" w:rsidR="009E1C3F" w:rsidRDefault="009E1C3F" w:rsidP="00FB6E7B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7FEDEA41" w14:textId="77777777" w:rsidR="009E1C3F" w:rsidRDefault="009E1C3F" w:rsidP="00FB6E7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40BC71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A2C90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C97A1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0"/>
    </w:tbl>
    <w:p w14:paraId="2E5683F2" w14:textId="77777777" w:rsidR="005D1418" w:rsidRDefault="005D1418"/>
    <w:sectPr w:rsidR="005D1418" w:rsidSect="009E1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FC19E" w14:textId="77777777" w:rsidR="004535CC" w:rsidRDefault="004535CC" w:rsidP="00E05E3B">
      <w:r>
        <w:separator/>
      </w:r>
    </w:p>
  </w:endnote>
  <w:endnote w:type="continuationSeparator" w:id="0">
    <w:p w14:paraId="05136575" w14:textId="77777777" w:rsidR="004535CC" w:rsidRDefault="004535CC" w:rsidP="00E0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372DD" w14:textId="77777777" w:rsidR="00781090" w:rsidRDefault="007810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F5112" w14:textId="19802F8F" w:rsidR="000A596C" w:rsidRPr="000A596C" w:rsidRDefault="000A596C" w:rsidP="000A596C">
    <w:pPr>
      <w:pStyle w:val="Stopka"/>
      <w:jc w:val="right"/>
      <w:rPr>
        <w:rFonts w:ascii="Century Gothic" w:hAnsi="Century Gothic"/>
        <w:sz w:val="22"/>
        <w:szCs w:val="22"/>
      </w:rPr>
    </w:pPr>
    <w:r w:rsidRPr="000A596C">
      <w:t xml:space="preserve"> </w:t>
    </w:r>
    <w:r w:rsidRPr="000A596C">
      <w:rPr>
        <w:rFonts w:ascii="Century Gothic" w:eastAsiaTheme="majorEastAsia" w:hAnsi="Century Gothic" w:cstheme="majorBidi"/>
        <w:sz w:val="22"/>
        <w:szCs w:val="22"/>
      </w:rPr>
      <w:t xml:space="preserve">Str. </w:t>
    </w:r>
    <w:r w:rsidRPr="000A596C">
      <w:rPr>
        <w:rFonts w:ascii="Century Gothic" w:eastAsiaTheme="minorEastAsia" w:hAnsi="Century Gothic" w:cstheme="minorBidi"/>
        <w:sz w:val="22"/>
        <w:szCs w:val="22"/>
      </w:rPr>
      <w:fldChar w:fldCharType="begin"/>
    </w:r>
    <w:r w:rsidRPr="000A596C">
      <w:rPr>
        <w:rFonts w:ascii="Century Gothic" w:hAnsi="Century Gothic"/>
        <w:sz w:val="22"/>
        <w:szCs w:val="22"/>
      </w:rPr>
      <w:instrText>PAGE    \* MERGEFORMAT</w:instrText>
    </w:r>
    <w:r w:rsidRPr="000A596C">
      <w:rPr>
        <w:rFonts w:ascii="Century Gothic" w:eastAsiaTheme="minorEastAsia" w:hAnsi="Century Gothic" w:cstheme="minorBidi"/>
        <w:sz w:val="22"/>
        <w:szCs w:val="22"/>
      </w:rPr>
      <w:fldChar w:fldCharType="separate"/>
    </w:r>
    <w:r w:rsidR="003516C3" w:rsidRPr="003516C3">
      <w:rPr>
        <w:rFonts w:ascii="Century Gothic" w:eastAsiaTheme="majorEastAsia" w:hAnsi="Century Gothic" w:cstheme="majorBidi"/>
        <w:noProof/>
        <w:sz w:val="22"/>
        <w:szCs w:val="22"/>
      </w:rPr>
      <w:t>10</w:t>
    </w:r>
    <w:r w:rsidRPr="000A596C">
      <w:rPr>
        <w:rFonts w:ascii="Century Gothic" w:eastAsiaTheme="majorEastAsia" w:hAnsi="Century Gothic" w:cstheme="majorBid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47AA" w14:textId="77777777" w:rsidR="00781090" w:rsidRDefault="00781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151C5" w14:textId="77777777" w:rsidR="004535CC" w:rsidRDefault="004535CC" w:rsidP="00E05E3B">
      <w:r>
        <w:separator/>
      </w:r>
    </w:p>
  </w:footnote>
  <w:footnote w:type="continuationSeparator" w:id="0">
    <w:p w14:paraId="003DE5CD" w14:textId="77777777" w:rsidR="004535CC" w:rsidRDefault="004535CC" w:rsidP="00E05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B0C68" w14:textId="77777777" w:rsidR="00781090" w:rsidRDefault="007810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8D0F1" w14:textId="354A876D" w:rsidR="000A596C" w:rsidRPr="000A596C" w:rsidRDefault="00781090" w:rsidP="00781090">
    <w:pPr>
      <w:pStyle w:val="Nagwek"/>
      <w:rPr>
        <w:rFonts w:ascii="Century Gothic" w:hAnsi="Century Gothic"/>
        <w:sz w:val="22"/>
        <w:szCs w:val="22"/>
      </w:rPr>
    </w:pPr>
    <w:r>
      <w:rPr>
        <w:rFonts w:ascii="Century Gothic" w:hAnsi="Century Gothic"/>
      </w:rPr>
      <w:t xml:space="preserve">DFP.271.192.2024.AMW - </w:t>
    </w:r>
    <w:r w:rsidR="000A596C" w:rsidRPr="000A596C">
      <w:rPr>
        <w:rFonts w:ascii="Century Gothic" w:hAnsi="Century Gothic"/>
      </w:rPr>
      <w:t>Część II</w:t>
    </w:r>
    <w:r w:rsidR="000A596C" w:rsidRPr="000A596C">
      <w:rPr>
        <w:rFonts w:ascii="Century Gothic" w:hAnsi="Century Gothic"/>
        <w:sz w:val="22"/>
        <w:szCs w:val="22"/>
      </w:rPr>
      <w:t xml:space="preserve">                                            </w:t>
    </w:r>
    <w:r>
      <w:rPr>
        <w:rFonts w:ascii="Century Gothic" w:hAnsi="Century Gothic"/>
        <w:sz w:val="22"/>
        <w:szCs w:val="22"/>
      </w:rPr>
      <w:t xml:space="preserve">                     </w:t>
    </w:r>
    <w:r w:rsidR="000A596C" w:rsidRPr="000A596C">
      <w:rPr>
        <w:rFonts w:ascii="Century Gothic" w:hAnsi="Century Gothic"/>
        <w:sz w:val="22"/>
        <w:szCs w:val="22"/>
      </w:rPr>
      <w:t xml:space="preserve">                                          </w:t>
    </w:r>
    <w:r>
      <w:rPr>
        <w:rFonts w:ascii="Century Gothic" w:hAnsi="Century Gothic"/>
        <w:sz w:val="22"/>
        <w:szCs w:val="22"/>
      </w:rPr>
      <w:t xml:space="preserve">                    </w:t>
    </w:r>
    <w:r w:rsidR="000A596C" w:rsidRPr="000A596C">
      <w:rPr>
        <w:rFonts w:ascii="Century Gothic" w:hAnsi="Century Gothic"/>
        <w:sz w:val="22"/>
        <w:szCs w:val="22"/>
      </w:rPr>
      <w:t>Załącznik nr 1a do SWZ</w:t>
    </w:r>
  </w:p>
  <w:p w14:paraId="4AEF3252" w14:textId="0E5FC0E2" w:rsidR="000A596C" w:rsidRPr="000A596C" w:rsidRDefault="000A596C">
    <w:pPr>
      <w:pStyle w:val="Nagwek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0F4E9" w14:textId="77777777" w:rsidR="00781090" w:rsidRDefault="007810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3E9E6C9F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83998"/>
    <w:multiLevelType w:val="hybridMultilevel"/>
    <w:tmpl w:val="BE265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17FF4"/>
    <w:multiLevelType w:val="hybridMultilevel"/>
    <w:tmpl w:val="FE082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E30B7"/>
    <w:multiLevelType w:val="hybridMultilevel"/>
    <w:tmpl w:val="D566267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3F"/>
    <w:rsid w:val="000A596C"/>
    <w:rsid w:val="000E57A7"/>
    <w:rsid w:val="00103E9C"/>
    <w:rsid w:val="00127411"/>
    <w:rsid w:val="00190AB9"/>
    <w:rsid w:val="001A1980"/>
    <w:rsid w:val="001E12E9"/>
    <w:rsid w:val="001F2373"/>
    <w:rsid w:val="002B03A4"/>
    <w:rsid w:val="002E3670"/>
    <w:rsid w:val="003516C3"/>
    <w:rsid w:val="0035743A"/>
    <w:rsid w:val="00374B5D"/>
    <w:rsid w:val="003A4C30"/>
    <w:rsid w:val="003B5610"/>
    <w:rsid w:val="00407C3F"/>
    <w:rsid w:val="00446177"/>
    <w:rsid w:val="004535CC"/>
    <w:rsid w:val="004A657A"/>
    <w:rsid w:val="004F198F"/>
    <w:rsid w:val="00525395"/>
    <w:rsid w:val="00560FF8"/>
    <w:rsid w:val="005650B0"/>
    <w:rsid w:val="005B65A7"/>
    <w:rsid w:val="005C3A54"/>
    <w:rsid w:val="005D1418"/>
    <w:rsid w:val="006208AE"/>
    <w:rsid w:val="0065076C"/>
    <w:rsid w:val="00655882"/>
    <w:rsid w:val="006928B5"/>
    <w:rsid w:val="006C45A1"/>
    <w:rsid w:val="006E4467"/>
    <w:rsid w:val="006F14B3"/>
    <w:rsid w:val="006F3242"/>
    <w:rsid w:val="00750158"/>
    <w:rsid w:val="00753DC2"/>
    <w:rsid w:val="00781090"/>
    <w:rsid w:val="007C456F"/>
    <w:rsid w:val="007F2F5D"/>
    <w:rsid w:val="00811E27"/>
    <w:rsid w:val="008C7AFE"/>
    <w:rsid w:val="008F4514"/>
    <w:rsid w:val="00907198"/>
    <w:rsid w:val="009E1C3F"/>
    <w:rsid w:val="00A6619B"/>
    <w:rsid w:val="00AF0690"/>
    <w:rsid w:val="00B40001"/>
    <w:rsid w:val="00B72F67"/>
    <w:rsid w:val="00B83AD1"/>
    <w:rsid w:val="00BA0CAF"/>
    <w:rsid w:val="00BE3605"/>
    <w:rsid w:val="00CA62AB"/>
    <w:rsid w:val="00CB5BFE"/>
    <w:rsid w:val="00CC1AB9"/>
    <w:rsid w:val="00D17655"/>
    <w:rsid w:val="00D63F6D"/>
    <w:rsid w:val="00DD1937"/>
    <w:rsid w:val="00E05E3B"/>
    <w:rsid w:val="00ED30AC"/>
    <w:rsid w:val="00FD137B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8EB1A"/>
  <w15:chartTrackingRefBased/>
  <w15:docId w15:val="{4031434C-F85F-4AC3-B8A1-934939BB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C3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9E1C3F"/>
    <w:pPr>
      <w:keepNext/>
      <w:numPr>
        <w:numId w:val="2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E1C3F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E1C3F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customStyle="1" w:styleId="Default">
    <w:name w:val="Default"/>
    <w:rsid w:val="009E1C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1C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E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E3B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E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0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0AC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0AC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AC"/>
    <w:rPr>
      <w:rFonts w:ascii="Segoe UI" w:eastAsia="MS Mincho" w:hAnsi="Segoe UI" w:cs="Segoe UI"/>
      <w:sz w:val="18"/>
      <w:szCs w:val="18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0A59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96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0A59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96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25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2539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2009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Kiszka</dc:creator>
  <cp:keywords/>
  <dc:description/>
  <cp:lastModifiedBy>Anna Matys-Węglowska</cp:lastModifiedBy>
  <cp:revision>4</cp:revision>
  <dcterms:created xsi:type="dcterms:W3CDTF">2024-11-15T08:20:00Z</dcterms:created>
  <dcterms:modified xsi:type="dcterms:W3CDTF">2024-11-15T18:31:00Z</dcterms:modified>
</cp:coreProperties>
</file>