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22B0CE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539C6">
        <w:rPr>
          <w:rFonts w:ascii="Arial" w:hAnsi="Arial" w:cs="Arial"/>
          <w:b/>
          <w:sz w:val="21"/>
          <w:szCs w:val="21"/>
        </w:rPr>
        <w:t>72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AA38328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4539C6">
        <w:rPr>
          <w:rFonts w:ascii="Cambria" w:hAnsi="Cambria" w:cs="Arial"/>
          <w:b/>
          <w:sz w:val="21"/>
          <w:szCs w:val="21"/>
        </w:rPr>
        <w:t>Transport pacjentów dializowanych II postępowanie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6D62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539C6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BB83-6145-48B4-AAEB-67042069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3</cp:revision>
  <cp:lastPrinted>2022-05-04T11:03:00Z</cp:lastPrinted>
  <dcterms:created xsi:type="dcterms:W3CDTF">2022-07-29T07:27:00Z</dcterms:created>
  <dcterms:modified xsi:type="dcterms:W3CDTF">2022-07-29T07:28:00Z</dcterms:modified>
</cp:coreProperties>
</file>