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26" w:rsidRPr="000273CF" w:rsidRDefault="00882126" w:rsidP="00882126">
      <w:pPr>
        <w:pStyle w:val="Tytu"/>
        <w:jc w:val="right"/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</w:pPr>
      <w:r w:rsidRPr="000273CF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Załącznik nr 4</w:t>
      </w:r>
      <w:r w:rsidR="000273CF" w:rsidRPr="000273CF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c</w:t>
      </w:r>
      <w:r w:rsidRPr="000273CF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 xml:space="preserve"> do SWZ</w:t>
      </w:r>
    </w:p>
    <w:p w:rsidR="00882126" w:rsidRPr="00882126" w:rsidRDefault="00882126" w:rsidP="00882126">
      <w:pPr>
        <w:pStyle w:val="Tytu"/>
        <w:rPr>
          <w:rFonts w:ascii="Calibri" w:hAnsi="Calibri" w:cs="Calibri"/>
          <w:color w:val="000000"/>
          <w:sz w:val="24"/>
        </w:rPr>
      </w:pPr>
      <w:r w:rsidRPr="00882126">
        <w:rPr>
          <w:rFonts w:ascii="Calibri" w:hAnsi="Calibri" w:cs="Calibri"/>
          <w:bCs w:val="0"/>
          <w:color w:val="000000" w:themeColor="text1"/>
          <w:sz w:val="20"/>
          <w:szCs w:val="20"/>
        </w:rPr>
        <w:t>Opis przedmiotu zamówienia – oferowane parametry</w:t>
      </w:r>
    </w:p>
    <w:p w:rsidR="00882126" w:rsidRPr="00882126" w:rsidRDefault="00882126" w:rsidP="0088212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82126" w:rsidRPr="00882126" w:rsidRDefault="00882126" w:rsidP="00882126">
      <w:pPr>
        <w:pStyle w:val="Tytu"/>
        <w:jc w:val="left"/>
        <w:rPr>
          <w:rFonts w:ascii="Calibri" w:hAnsi="Calibri" w:cs="Calibri"/>
          <w:color w:val="000000"/>
          <w:sz w:val="20"/>
          <w:szCs w:val="20"/>
        </w:rPr>
      </w:pPr>
      <w:r w:rsidRPr="00882126">
        <w:rPr>
          <w:rFonts w:ascii="Calibri" w:hAnsi="Calibri" w:cs="Calibri"/>
          <w:color w:val="000000"/>
          <w:sz w:val="20"/>
          <w:szCs w:val="20"/>
        </w:rPr>
        <w:t>Przedmiotem zamówienia jest dostawa bioreaktora</w:t>
      </w:r>
    </w:p>
    <w:p w:rsidR="00882126" w:rsidRPr="00882126" w:rsidRDefault="00882126" w:rsidP="00882126">
      <w:pPr>
        <w:tabs>
          <w:tab w:val="left" w:pos="5160"/>
        </w:tabs>
        <w:ind w:left="2040" w:hanging="2040"/>
        <w:rPr>
          <w:rFonts w:ascii="Calibri" w:hAnsi="Calibri" w:cs="Calibri"/>
          <w:sz w:val="22"/>
          <w:szCs w:val="22"/>
        </w:rPr>
      </w:pPr>
    </w:p>
    <w:p w:rsidR="00882126" w:rsidRPr="00882126" w:rsidRDefault="00882126" w:rsidP="00882126">
      <w:pPr>
        <w:tabs>
          <w:tab w:val="left" w:pos="5160"/>
        </w:tabs>
        <w:ind w:left="2040" w:hanging="2040"/>
        <w:rPr>
          <w:rFonts w:ascii="Calibri" w:hAnsi="Calibri" w:cs="Calibri"/>
          <w:sz w:val="20"/>
          <w:szCs w:val="20"/>
        </w:rPr>
      </w:pPr>
      <w:r w:rsidRPr="00882126">
        <w:rPr>
          <w:rFonts w:ascii="Calibri" w:hAnsi="Calibri" w:cs="Calibri"/>
          <w:sz w:val="20"/>
          <w:szCs w:val="20"/>
        </w:rPr>
        <w:t>Typ: .......................................</w:t>
      </w:r>
      <w:r w:rsidRPr="00882126">
        <w:rPr>
          <w:rFonts w:ascii="Calibri" w:hAnsi="Calibri" w:cs="Calibri"/>
          <w:sz w:val="20"/>
          <w:szCs w:val="20"/>
        </w:rPr>
        <w:tab/>
      </w:r>
      <w:r w:rsidRPr="00882126">
        <w:rPr>
          <w:rFonts w:ascii="Calibri" w:hAnsi="Calibri" w:cs="Calibri"/>
          <w:sz w:val="20"/>
          <w:szCs w:val="20"/>
        </w:rPr>
        <w:tab/>
        <w:t>Producent: ..........................................</w:t>
      </w:r>
    </w:p>
    <w:p w:rsidR="000C2E5B" w:rsidRPr="00882126" w:rsidRDefault="000C2E5B" w:rsidP="00882126"/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2"/>
        <w:gridCol w:w="2405"/>
        <w:gridCol w:w="10112"/>
        <w:gridCol w:w="1945"/>
      </w:tblGrid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Wymagany 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Opis parametru oferowanego</w:t>
            </w:r>
          </w:p>
        </w:tc>
      </w:tr>
      <w:tr w:rsidR="000C2E5B" w:rsidRPr="00882126" w:rsidTr="0092431A">
        <w:trPr>
          <w:cantSplit/>
          <w:trHeight w:val="450"/>
        </w:trPr>
        <w:tc>
          <w:tcPr>
            <w:tcW w:w="1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pStyle w:val="Nagwek1"/>
              <w:jc w:val="left"/>
              <w:rPr>
                <w:rFonts w:ascii="Arial" w:hAnsi="Arial" w:cs="Arial"/>
                <w:b/>
                <w:bCs/>
                <w:i w:val="0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b/>
                <w:bCs/>
                <w:i w:val="0"/>
                <w:sz w:val="20"/>
                <w:szCs w:val="20"/>
                <w:lang w:eastAsia="en-US"/>
              </w:rPr>
              <w:t>Wymagania techniczne</w:t>
            </w: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Wymiary (W x D x H) nie większe niż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Stacja dokująca: 340 x 360 x 290 mm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br/>
              <w:t>Kontroler: 230 x 600 x 450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Waga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Stacja dokująca: nie więcej niż 7 kg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br/>
              <w:t>Kontroler: nie więcej niż 20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Wykonanie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Panele boczne ze stali nierdzewnej, malowane proszkowo; góra, dół i akcesoria z poliwęglanu, aluminiowa powierzchnia wymiany ciepła z uszczelką poliuretanową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Zasilanie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100-240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Zużycie energii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120 W (bioreaktor) + 360 W (kontroler)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Zasilanie w gaz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2B3CC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2-6 bar / 29-87 psi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Typ mieszadła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Mieszadło magnetyczne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Zakres prędkości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100-1500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rpm</w:t>
            </w:r>
            <w:proofErr w:type="spellEnd"/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(dokładność +/- 20 RPM)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Maksymalna objętość robocza (pętla recyrkulacyjna)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10,9 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Metoda kontroli temperatury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534BB4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Rezystory (ogrzewanie) i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</w:rPr>
              <w:t>Peltier</w:t>
            </w:r>
            <w:proofErr w:type="spellEnd"/>
            <w:r w:rsidRPr="00882126">
              <w:rPr>
                <w:rFonts w:ascii="Arial" w:hAnsi="Arial" w:cs="Arial"/>
                <w:sz w:val="20"/>
                <w:szCs w:val="20"/>
              </w:rPr>
              <w:t xml:space="preserve"> (grzałka elektromechaniczna) z dodatkowym wentylatorem chłodzącym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970A37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Architektura sterowania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970A37" w:rsidP="00882126">
            <w:pPr>
              <w:pStyle w:val="Tabletext"/>
              <w:rPr>
                <w:rFonts w:cs="Arial"/>
              </w:rPr>
            </w:pPr>
            <w:r w:rsidRPr="00882126">
              <w:rPr>
                <w:rFonts w:cs="Arial"/>
              </w:rPr>
              <w:t>Beckhoff PLC, SBC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C2E5B" w:rsidRPr="00FC46C3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970A37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System operacyjny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37" w:rsidRPr="00882126" w:rsidRDefault="00970A37" w:rsidP="00882126">
            <w:pPr>
              <w:pStyle w:val="Tabletext"/>
              <w:rPr>
                <w:rFonts w:cs="Arial"/>
              </w:rPr>
            </w:pPr>
            <w:r w:rsidRPr="00882126">
              <w:rPr>
                <w:rFonts w:cs="Arial"/>
              </w:rPr>
              <w:t>Tower: Microsoft</w:t>
            </w:r>
            <w:r w:rsidRPr="00882126">
              <w:rPr>
                <w:rFonts w:cs="Arial"/>
                <w:vertAlign w:val="superscript"/>
              </w:rPr>
              <w:t xml:space="preserve">♦ </w:t>
            </w:r>
            <w:r w:rsidRPr="00882126">
              <w:rPr>
                <w:rFonts w:cs="Arial"/>
              </w:rPr>
              <w:t>Windows Embedded Compact</w:t>
            </w:r>
          </w:p>
          <w:p w:rsidR="000C2E5B" w:rsidRPr="00882126" w:rsidRDefault="00D8576D" w:rsidP="008821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val="en-US"/>
              </w:rPr>
              <w:t>SCADA Server: Microsoft Windows 10 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970A37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Automatyzacja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37" w:rsidRPr="00882126" w:rsidRDefault="00970A37" w:rsidP="00882126">
            <w:pPr>
              <w:pStyle w:val="Tabletext"/>
              <w:rPr>
                <w:rFonts w:cs="Arial"/>
                <w:lang w:val="pl-PL"/>
              </w:rPr>
            </w:pPr>
            <w:r w:rsidRPr="00882126">
              <w:rPr>
                <w:rFonts w:cs="Arial"/>
                <w:lang w:val="pl-PL"/>
              </w:rPr>
              <w:t>Opracowane i przetestowane zgodnie z</w:t>
            </w:r>
          </w:p>
          <w:p w:rsidR="000C2E5B" w:rsidRPr="00882126" w:rsidRDefault="00970A37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GAMP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pStyle w:val="Tabletext"/>
              <w:rPr>
                <w:rFonts w:cs="Arial"/>
                <w:lang w:val="pl-PL"/>
              </w:rPr>
            </w:pPr>
            <w:r w:rsidRPr="00882126">
              <w:rPr>
                <w:rFonts w:cs="Arial"/>
                <w:lang w:val="pl-PL"/>
              </w:rPr>
              <w:t>Zapisy elektroniczne i podpisy elektroniczne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53" w:rsidRPr="00746698" w:rsidRDefault="00257953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Zgodność z FDA 21 CFR Part 11 i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</w:rPr>
              <w:t>EudraLex</w:t>
            </w:r>
            <w:proofErr w:type="spellEnd"/>
            <w:r w:rsidRPr="00882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</w:rPr>
              <w:t>Annex</w:t>
            </w:r>
            <w:proofErr w:type="spellEnd"/>
            <w:r w:rsidRPr="00882126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Zgodność z siecią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Zintegrowany serwer OPC-UA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Eksport danych/komunikacja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USB, OPC-UA przez Ethernet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Obsługa zdalna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tabs>
                <w:tab w:val="left" w:pos="1380"/>
              </w:tabs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Tak, wsparcie dla zdalnego pulpitu i klientów mobilnych poprzez oprogramowanie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Praca samodzielna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Default="00257953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Nie, do działania wymaga oprogramowania</w:t>
            </w:r>
          </w:p>
          <w:p w:rsidR="00297FA1" w:rsidRPr="00882126" w:rsidRDefault="00297FA1" w:rsidP="00882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C3683" w:rsidRPr="00A150D1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83" w:rsidRPr="00882126" w:rsidRDefault="00935D28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83" w:rsidRPr="00882126" w:rsidRDefault="00DC3683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Oprogramowanie sieciowe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96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69"/>
              <w:gridCol w:w="1860"/>
              <w:gridCol w:w="7733"/>
            </w:tblGrid>
            <w:tr w:rsidR="0092431A" w:rsidRPr="0092431A" w:rsidTr="00FC46C3">
              <w:trPr>
                <w:trHeight w:val="450"/>
              </w:trPr>
              <w:tc>
                <w:tcPr>
                  <w:tcW w:w="1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jc w:val="center"/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3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38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 xml:space="preserve">Wydajność: wynik minimum 7200 punktów w teście </w:t>
                  </w:r>
                  <w:proofErr w:type="spellStart"/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PassMark</w:t>
                  </w:r>
                  <w:proofErr w:type="spellEnd"/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 xml:space="preserve"> CPU Mark  (załącznik nr.1 z dnia 24.07.2023)</w:t>
                  </w:r>
                </w:p>
              </w:tc>
            </w:tr>
            <w:tr w:rsidR="0092431A" w:rsidRPr="0092431A" w:rsidTr="00FC46C3">
              <w:trPr>
                <w:trHeight w:val="300"/>
              </w:trPr>
              <w:tc>
                <w:tcPr>
                  <w:tcW w:w="18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38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Układ graficzny wbudowany w procesor</w:t>
                  </w:r>
                </w:p>
              </w:tc>
            </w:tr>
            <w:tr w:rsidR="0092431A" w:rsidRPr="0092431A" w:rsidTr="00FC46C3">
              <w:trPr>
                <w:trHeight w:val="300"/>
              </w:trPr>
              <w:tc>
                <w:tcPr>
                  <w:tcW w:w="18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38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Liczba rdzeni: 4, liczba wątków: 4, częstotliwość procesora: 3,6GHz</w:t>
                  </w:r>
                </w:p>
              </w:tc>
            </w:tr>
            <w:tr w:rsidR="0092431A" w:rsidRPr="0092431A" w:rsidTr="00FC46C3">
              <w:trPr>
                <w:trHeight w:val="300"/>
              </w:trPr>
              <w:tc>
                <w:tcPr>
                  <w:tcW w:w="1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jc w:val="center"/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  <w:t>Zainstalowana pamięć RAM</w:t>
                  </w:r>
                </w:p>
              </w:tc>
              <w:tc>
                <w:tcPr>
                  <w:tcW w:w="38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16 GB</w:t>
                  </w:r>
                </w:p>
              </w:tc>
            </w:tr>
            <w:tr w:rsidR="0092431A" w:rsidRPr="0092431A" w:rsidTr="00FC46C3">
              <w:trPr>
                <w:trHeight w:val="300"/>
              </w:trPr>
              <w:tc>
                <w:tcPr>
                  <w:tcW w:w="1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jc w:val="center"/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  <w:t>Karta graficzna</w:t>
                  </w:r>
                </w:p>
              </w:tc>
              <w:tc>
                <w:tcPr>
                  <w:tcW w:w="38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Zintegrowana</w:t>
                  </w:r>
                </w:p>
              </w:tc>
            </w:tr>
            <w:tr w:rsidR="0092431A" w:rsidRPr="0092431A" w:rsidTr="00FC46C3">
              <w:trPr>
                <w:trHeight w:val="300"/>
              </w:trPr>
              <w:tc>
                <w:tcPr>
                  <w:tcW w:w="1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  <w:t>Dysk</w:t>
                  </w:r>
                </w:p>
              </w:tc>
              <w:tc>
                <w:tcPr>
                  <w:tcW w:w="38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SSD 1TB</w:t>
                  </w:r>
                </w:p>
              </w:tc>
            </w:tr>
            <w:tr w:rsidR="0092431A" w:rsidRPr="0092431A" w:rsidTr="00FC46C3">
              <w:trPr>
                <w:trHeight w:val="300"/>
              </w:trPr>
              <w:tc>
                <w:tcPr>
                  <w:tcW w:w="1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  <w:t>Porty wideo</w:t>
                  </w:r>
                </w:p>
              </w:tc>
              <w:tc>
                <w:tcPr>
                  <w:tcW w:w="38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1x HDMI</w:t>
                  </w:r>
                </w:p>
              </w:tc>
            </w:tr>
            <w:tr w:rsidR="0092431A" w:rsidRPr="0092431A" w:rsidTr="00FC46C3">
              <w:trPr>
                <w:trHeight w:val="300"/>
              </w:trPr>
              <w:tc>
                <w:tcPr>
                  <w:tcW w:w="1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jc w:val="center"/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  <w:t>Interfejs sieciowy</w:t>
                  </w:r>
                </w:p>
              </w:tc>
              <w:tc>
                <w:tcPr>
                  <w:tcW w:w="38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2 x Ethernet</w:t>
                  </w:r>
                </w:p>
              </w:tc>
            </w:tr>
            <w:tr w:rsidR="0092431A" w:rsidRPr="0092431A" w:rsidTr="00FC46C3">
              <w:trPr>
                <w:trHeight w:val="300"/>
              </w:trPr>
              <w:tc>
                <w:tcPr>
                  <w:tcW w:w="1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jc w:val="center"/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  <w:t>Porty</w:t>
                  </w:r>
                </w:p>
              </w:tc>
              <w:tc>
                <w:tcPr>
                  <w:tcW w:w="38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5x USB</w:t>
                  </w:r>
                </w:p>
              </w:tc>
            </w:tr>
            <w:tr w:rsidR="0092431A" w:rsidRPr="0092431A" w:rsidTr="00FC46C3">
              <w:trPr>
                <w:trHeight w:val="300"/>
              </w:trPr>
              <w:tc>
                <w:tcPr>
                  <w:tcW w:w="1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  <w:t>Zasilacz</w:t>
                  </w:r>
                </w:p>
              </w:tc>
              <w:tc>
                <w:tcPr>
                  <w:tcW w:w="38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AC-DC 19V PSU</w:t>
                  </w:r>
                </w:p>
              </w:tc>
            </w:tr>
            <w:tr w:rsidR="0092431A" w:rsidRPr="0092431A" w:rsidTr="00FC46C3">
              <w:trPr>
                <w:trHeight w:val="1800"/>
              </w:trPr>
              <w:tc>
                <w:tcPr>
                  <w:tcW w:w="1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38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sz w:val="18"/>
                      <w:szCs w:val="18"/>
                    </w:rPr>
                    <w:t xml:space="preserve">Microsoft Windows 10 Pro </w:t>
                  </w:r>
                  <w:proofErr w:type="spellStart"/>
                  <w:r w:rsidRPr="0092431A">
                    <w:rPr>
                      <w:rFonts w:ascii="Verdana" w:hAnsi="Verdana" w:cs="Calibri"/>
                      <w:sz w:val="18"/>
                      <w:szCs w:val="18"/>
                    </w:rPr>
                    <w:t>preinstalowany</w:t>
                  </w:r>
                  <w:proofErr w:type="spellEnd"/>
                  <w:r w:rsidRPr="0092431A">
                    <w:rPr>
                      <w:rFonts w:ascii="Verdana" w:hAnsi="Verdana" w:cs="Calibri"/>
                      <w:sz w:val="18"/>
                      <w:szCs w:val="18"/>
                    </w:rPr>
                    <w:t xml:space="preserve"> oraz aktywowany lub system równoważny - przez równoważność rozumie się: system w pełni obsługujący pracę w domenie w technologii </w:t>
                  </w:r>
                  <w:proofErr w:type="spellStart"/>
                  <w:r w:rsidRPr="0092431A">
                    <w:rPr>
                      <w:rFonts w:ascii="Verdana" w:hAnsi="Verdana" w:cs="Calibri"/>
                      <w:sz w:val="18"/>
                      <w:szCs w:val="18"/>
                    </w:rPr>
                    <w:t>ActiveDirectory</w:t>
                  </w:r>
                  <w:proofErr w:type="spellEnd"/>
                  <w:r w:rsidRPr="0092431A">
                    <w:rPr>
                      <w:rFonts w:ascii="Verdana" w:hAnsi="Verdana" w:cs="Calibri"/>
                      <w:sz w:val="18"/>
                      <w:szCs w:val="18"/>
                    </w:rPr>
                    <w:t xml:space="preserve"> systemu MS Windows Server, kontrolę użytkowników, zcentralizowane zarządzanie oprogramowaniem i konfigurację systemu w technologii Group Policy.  Licencja na zaoferowany system operacyjny musi być w pełni zgodna z warunkami licencjonowania producenta oprogramowania.</w:t>
                  </w:r>
                </w:p>
              </w:tc>
            </w:tr>
            <w:tr w:rsidR="0092431A" w:rsidRPr="00FC46C3" w:rsidTr="00FC46C3">
              <w:trPr>
                <w:trHeight w:val="1425"/>
              </w:trPr>
              <w:tc>
                <w:tcPr>
                  <w:tcW w:w="18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jc w:val="center"/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333333"/>
                      <w:sz w:val="18"/>
                      <w:szCs w:val="18"/>
                    </w:rPr>
                    <w:t>Oprogramowanie</w:t>
                  </w:r>
                </w:p>
              </w:tc>
              <w:tc>
                <w:tcPr>
                  <w:tcW w:w="38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en-US"/>
                    </w:rPr>
                  </w:pPr>
                  <w:r w:rsidRPr="0092431A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Ignition:</w:t>
                  </w: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en-US"/>
                    </w:rPr>
                    <w:t xml:space="preserve"> Ignition v8.1.17, Ignition Perspective License, Ignition OPC UA Server Module, Ignition Tag Historian License, </w:t>
                  </w:r>
                  <w:r w:rsidRPr="0092431A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Windows 10 LTSC</w:t>
                  </w: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en-US"/>
                    </w:rPr>
                    <w:t xml:space="preserve">: Win 10 </w:t>
                  </w:r>
                  <w:proofErr w:type="spellStart"/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en-US"/>
                    </w:rPr>
                    <w:t>IoT</w:t>
                  </w:r>
                  <w:proofErr w:type="spellEnd"/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en-US"/>
                    </w:rPr>
                    <w:t>Ent</w:t>
                  </w:r>
                  <w:proofErr w:type="spellEnd"/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en-US"/>
                    </w:rPr>
                    <w:t xml:space="preserve"> 2019 LTSC </w:t>
                  </w:r>
                  <w:proofErr w:type="spellStart"/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en-US"/>
                    </w:rPr>
                    <w:t>MultiLang</w:t>
                  </w:r>
                  <w:proofErr w:type="spellEnd"/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en-US"/>
                    </w:rPr>
                    <w:t xml:space="preserve"> ESD OEI Value, </w:t>
                  </w:r>
                  <w:r w:rsidRPr="0092431A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MSSQL Standard:</w:t>
                  </w: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en-US"/>
                    </w:rPr>
                    <w:t xml:space="preserve"> Microsoft SQL Server </w:t>
                  </w:r>
                  <w:proofErr w:type="spellStart"/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en-US"/>
                    </w:rPr>
                    <w:t>IoT</w:t>
                  </w:r>
                  <w:proofErr w:type="spellEnd"/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en-US"/>
                    </w:rPr>
                    <w:t xml:space="preserve"> 2019 Standard 4 Core (ESD)</w:t>
                  </w:r>
                </w:p>
              </w:tc>
            </w:tr>
            <w:tr w:rsidR="0092431A" w:rsidRPr="0092431A" w:rsidTr="00FC46C3">
              <w:trPr>
                <w:trHeight w:val="1095"/>
              </w:trPr>
              <w:tc>
                <w:tcPr>
                  <w:tcW w:w="18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31A" w:rsidRPr="0092431A" w:rsidRDefault="0092431A" w:rsidP="0092431A">
                  <w:pPr>
                    <w:jc w:val="center"/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3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Inne</w:t>
                  </w:r>
                </w:p>
              </w:tc>
              <w:tc>
                <w:tcPr>
                  <w:tcW w:w="38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sprzęt musi posiadać odpowiednią ilość portów RJ45/Serial port/USB aby umożliwić poprawną komunikację z systemem medycznym w którym został zastosowany.</w:t>
                  </w:r>
                </w:p>
              </w:tc>
            </w:tr>
            <w:tr w:rsidR="0092431A" w:rsidRPr="0092431A" w:rsidTr="00FC46C3">
              <w:trPr>
                <w:trHeight w:val="480"/>
              </w:trPr>
              <w:tc>
                <w:tcPr>
                  <w:tcW w:w="18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431A" w:rsidRPr="0092431A" w:rsidRDefault="0092431A" w:rsidP="0092431A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31A" w:rsidRPr="0092431A" w:rsidRDefault="0092431A" w:rsidP="0092431A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92431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wykonawca dokona instalacji i konfiguracji systemu oraz wyposaży urządzenie w konieczne do pracy akcesoria oraz okablowanie.</w:t>
                  </w:r>
                </w:p>
              </w:tc>
            </w:tr>
          </w:tbl>
          <w:p w:rsidR="00DC3683" w:rsidRPr="0092431A" w:rsidRDefault="00DC3683" w:rsidP="0092431A">
            <w:pPr>
              <w:ind w:left="1240" w:right="1354" w:hanging="1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83" w:rsidRPr="0092431A" w:rsidRDefault="00DC3683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935D28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0C2E5B"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57953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Wejście gazu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E186D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Łączniki 6 mm, przewód pneumatyczny śr. 6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E186D" w:rsidP="00882126">
            <w:pPr>
              <w:tabs>
                <w:tab w:val="center" w:pos="912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Kontrola przepływu gazu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E186D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6 termiczne masowe regulatory przepływu (TMFC)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2E186D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Zakres przepływu gazów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2E186D" w:rsidP="00882126">
            <w:pPr>
              <w:pStyle w:val="Tabletext"/>
              <w:rPr>
                <w:rFonts w:cs="Arial"/>
                <w:lang w:val="es-ES"/>
              </w:rPr>
            </w:pPr>
            <w:r w:rsidRPr="00882126">
              <w:rPr>
                <w:rFonts w:cs="Arial"/>
                <w:lang w:val="es-ES"/>
              </w:rPr>
              <w:t>O</w:t>
            </w:r>
            <w:r w:rsidRPr="00882126">
              <w:rPr>
                <w:rFonts w:cs="Arial"/>
                <w:vertAlign w:val="subscript"/>
                <w:lang w:val="es-ES"/>
              </w:rPr>
              <w:t>2</w:t>
            </w:r>
            <w:r w:rsidRPr="00882126">
              <w:rPr>
                <w:rFonts w:cs="Arial"/>
                <w:lang w:val="es-ES"/>
              </w:rPr>
              <w:t xml:space="preserve"> 0 - 1,000 mL/min*</w:t>
            </w:r>
          </w:p>
          <w:p w:rsidR="002E186D" w:rsidRPr="00882126" w:rsidRDefault="002E186D" w:rsidP="00882126">
            <w:pPr>
              <w:pStyle w:val="Tabletext"/>
              <w:rPr>
                <w:rFonts w:cs="Arial"/>
                <w:lang w:val="fr-CH"/>
              </w:rPr>
            </w:pPr>
            <w:r w:rsidRPr="00882126">
              <w:rPr>
                <w:rFonts w:cs="Arial"/>
                <w:lang w:val="es-ES"/>
              </w:rPr>
              <w:t>CO</w:t>
            </w:r>
            <w:r w:rsidRPr="00882126">
              <w:rPr>
                <w:rFonts w:cs="Arial"/>
                <w:vertAlign w:val="subscript"/>
                <w:lang w:val="es-ES"/>
              </w:rPr>
              <w:t>2 </w:t>
            </w:r>
            <w:r w:rsidRPr="00882126">
              <w:rPr>
                <w:rFonts w:cs="Arial"/>
                <w:lang w:val="es-ES"/>
              </w:rPr>
              <w:t>0 - 1,000 mL/min*</w:t>
            </w:r>
            <w:r w:rsidRPr="00882126">
              <w:rPr>
                <w:rFonts w:cs="Arial"/>
                <w:lang w:val="es-ES"/>
              </w:rPr>
              <w:br/>
            </w:r>
            <w:r w:rsidRPr="00882126">
              <w:rPr>
                <w:rFonts w:cs="Arial"/>
                <w:lang w:val="fr-CH"/>
              </w:rPr>
              <w:t>N</w:t>
            </w:r>
            <w:r w:rsidRPr="00882126">
              <w:rPr>
                <w:rFonts w:cs="Arial"/>
                <w:vertAlign w:val="subscript"/>
                <w:lang w:val="fr-CH"/>
              </w:rPr>
              <w:t>2</w:t>
            </w:r>
            <w:r w:rsidRPr="00882126">
              <w:rPr>
                <w:rFonts w:cs="Arial"/>
                <w:lang w:val="fr-CH"/>
              </w:rPr>
              <w:t xml:space="preserve"> 0 - 1,000 mL/min*</w:t>
            </w:r>
          </w:p>
          <w:p w:rsidR="000C2E5B" w:rsidRPr="00882126" w:rsidRDefault="002E186D" w:rsidP="00882126">
            <w:pPr>
              <w:pStyle w:val="Tabletext"/>
              <w:rPr>
                <w:rFonts w:cs="Arial"/>
              </w:rPr>
            </w:pPr>
            <w:r w:rsidRPr="00882126">
              <w:rPr>
                <w:rFonts w:cs="Arial"/>
                <w:lang w:val="fr-CH"/>
              </w:rPr>
              <w:t>Powietrze 0 - 1,000 mL/min*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E186D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2E186D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Metoda sterowania </w:t>
            </w:r>
            <w:r w:rsidRPr="00882126">
              <w:rPr>
                <w:rFonts w:ascii="Arial" w:hAnsi="Arial" w:cs="Arial"/>
                <w:sz w:val="20"/>
                <w:szCs w:val="20"/>
              </w:rPr>
              <w:lastRenderedPageBreak/>
              <w:t>przepływem gazu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2E186D" w:rsidP="00882126">
            <w:pPr>
              <w:pStyle w:val="Tabletext"/>
              <w:tabs>
                <w:tab w:val="left" w:pos="1215"/>
              </w:tabs>
              <w:rPr>
                <w:rFonts w:cs="Arial"/>
                <w:lang w:val="es-ES"/>
              </w:rPr>
            </w:pPr>
            <w:r w:rsidRPr="00882126">
              <w:rPr>
                <w:lang w:val="pl-PL"/>
              </w:rPr>
              <w:lastRenderedPageBreak/>
              <w:t xml:space="preserve">Masowe regulatory przepływu zapewniające stały przepływ w zakresie od 20 ml/min do 1 000 ml/min. W </w:t>
            </w:r>
            <w:r w:rsidRPr="00882126">
              <w:rPr>
                <w:lang w:val="pl-PL"/>
              </w:rPr>
              <w:lastRenderedPageBreak/>
              <w:t>przypadku przepływów poniżej 20 ml/min, masowe regulatory przepływu automatycznie przełączają się w tryb modulacji szerokości impulsu (PWM). Oznacza to, że - w zależności od wymaganego przepływu - regulator ustawi przepływ 20 ml/min, ale tylko przez niewielką część zdefiniowanego okresu czasu (standardowo ustawionego na 3 minuty), który odzwierciedla całkowity przepływ gazu, jaki regulator dostarczyłby przy skonfigurowanej wartości zadanej.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6D" w:rsidRPr="00882126" w:rsidRDefault="002E186D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E186D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9E6EB7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Metoda sterowania pompą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9E6EB7" w:rsidP="00882126">
            <w:pPr>
              <w:pStyle w:val="Tabletext"/>
              <w:rPr>
                <w:rFonts w:cs="Arial"/>
                <w:lang w:val="es-ES"/>
              </w:rPr>
            </w:pPr>
            <w:r w:rsidRPr="00882126">
              <w:rPr>
                <w:lang w:val="pl-PL"/>
              </w:rPr>
              <w:t>Jeżeli dla pomp wybrano wartość zadaną mniejszą niż 7 RPM, pompy będą pracować w trybie modulacji szerokości impulsów (PWM). Oznacza to - w zależności od wartości zadanej - że pompa będzie pracować z prędkością 7 RPM, ale tylko przez niewielką część zdefiniowanego okresu czasu (standardowo ustawionego na 1 minutę), który odzwierciedla całkowitą ilość obrotów, jakie pompa wykonałaby przy skonfigurowanej wartości zadanej.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6D" w:rsidRPr="00882126" w:rsidRDefault="002E186D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E186D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9E6EB7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Kompatybilne przewody /  Standardowy rozmiar rurek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9E6EB7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1.14 mm ID - 2.84 mm OD PharMed (pompa do zasad)</w:t>
            </w:r>
          </w:p>
          <w:p w:rsidR="002E186D" w:rsidRPr="00882126" w:rsidRDefault="009E6EB7" w:rsidP="00882126">
            <w:pPr>
              <w:pStyle w:val="Tabletext"/>
              <w:rPr>
                <w:rFonts w:cs="Arial"/>
                <w:lang w:val="es-ES"/>
              </w:rPr>
            </w:pPr>
            <w:r w:rsidRPr="00882126">
              <w:rPr>
                <w:lang w:val="pl-PL"/>
              </w:rPr>
              <w:t>3.2 mm ID - 6.35 mm OD PharMed tubing (pompa dozująca/odbierająca</w:t>
            </w:r>
            <w:r w:rsidRPr="00882126" w:rsidDel="00871531">
              <w:rPr>
                <w:lang w:val="pl-PL"/>
              </w:rPr>
              <w:t xml:space="preserve"> </w:t>
            </w:r>
            <w:r w:rsidRPr="00882126">
              <w:rPr>
                <w:lang w:val="pl-PL"/>
              </w:rPr>
              <w:t>medium)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6D" w:rsidRPr="00882126" w:rsidRDefault="002E186D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E186D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6D" w:rsidRPr="00882126" w:rsidRDefault="00D8576D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Przepływ ze standardowym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</w:rPr>
              <w:t>manifoldem</w:t>
            </w:r>
            <w:proofErr w:type="spellEnd"/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9E6EB7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0.04 – 8.2 mL/min (pompa do zasad)</w:t>
            </w:r>
          </w:p>
          <w:p w:rsidR="002E186D" w:rsidRPr="00882126" w:rsidRDefault="009E6EB7" w:rsidP="00882126">
            <w:pPr>
              <w:pStyle w:val="Tabletext"/>
              <w:rPr>
                <w:rFonts w:cs="Arial"/>
                <w:lang w:val="es-ES"/>
              </w:rPr>
            </w:pPr>
            <w:r w:rsidRPr="00882126">
              <w:rPr>
                <w:lang w:val="pl-PL"/>
              </w:rPr>
              <w:t>0.50 -</w:t>
            </w:r>
            <w:r w:rsidRPr="00882126" w:rsidDel="00871531">
              <w:rPr>
                <w:lang w:val="pl-PL"/>
              </w:rPr>
              <w:t xml:space="preserve"> </w:t>
            </w:r>
            <w:r w:rsidRPr="00882126">
              <w:rPr>
                <w:lang w:val="pl-PL"/>
              </w:rPr>
              <w:t>95 mL/mi (pompa dozująca/odbierająca</w:t>
            </w:r>
            <w:r w:rsidRPr="00882126" w:rsidDel="00871531">
              <w:rPr>
                <w:lang w:val="pl-PL"/>
              </w:rPr>
              <w:t xml:space="preserve"> </w:t>
            </w:r>
            <w:r w:rsidRPr="00882126">
              <w:rPr>
                <w:lang w:val="pl-PL"/>
              </w:rPr>
              <w:t>medium)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6D" w:rsidRPr="00882126" w:rsidRDefault="002E186D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E6EB7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9E6EB7" w:rsidP="008821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Wejścia/wyjścia konfigurowane przez użytkownika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9E6EB7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4 porty, 8-drożne żeńskie, kodowane M12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7" w:rsidRPr="00882126" w:rsidRDefault="009E6EB7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E6EB7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Moc wyjściowa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pStyle w:val="Tabletext"/>
              <w:rPr>
                <w:rFonts w:cs="Arial"/>
                <w:lang w:val="pl-PL"/>
              </w:rPr>
            </w:pPr>
            <w:r w:rsidRPr="00882126">
              <w:rPr>
                <w:rFonts w:cs="Arial"/>
              </w:rPr>
              <w:t>1 USB, tylko zasilanie, 2,1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7" w:rsidRPr="00882126" w:rsidRDefault="009E6EB7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E6EB7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Transfer danych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t>3 USB 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7" w:rsidRPr="00882126" w:rsidRDefault="009E6EB7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E6EB7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935D28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  <w:r w:rsidR="001F2C11"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Wyświetlanie danych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7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t>1 HDMI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7" w:rsidRPr="00882126" w:rsidRDefault="009E6EB7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Metoda kontroli temperatury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Sterowany PID - obwód z ogrzewaniem rezystancyjnym i chłodzeniem przez termoelektryczną pompę ciepła z wymuszoną konwekcją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Zakres temperatur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  <w:spacing w:before="0" w:after="0"/>
              <w:rPr>
                <w:color w:val="000000" w:themeColor="text1"/>
                <w:lang w:val="pl-PL"/>
              </w:rPr>
            </w:pPr>
            <w:r w:rsidRPr="00882126">
              <w:rPr>
                <w:color w:val="000000" w:themeColor="text1"/>
                <w:lang w:val="pl-PL"/>
              </w:rPr>
              <w:t>20* - 40 ° C</w:t>
            </w:r>
          </w:p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color w:val="000000" w:themeColor="text1"/>
                <w:lang w:val="pl-PL"/>
              </w:rPr>
              <w:t>*wydajność chłodzenia jest silnie uzależniona od temperatury pomieszczenia.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Regulacja temperatury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</w:pPr>
            <w:r w:rsidRPr="00882126">
              <w:t>± 0.2 °C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Metoda kontroli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Zaawansowany PID</w:t>
            </w:r>
          </w:p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Konfigurowalne wyjścia przełączane</w:t>
            </w:r>
          </w:p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Konfigurowalne martwe strefy z indywidualnym dostrajaniem PID dla dodawania kwasu i zasady</w:t>
            </w:r>
          </w:p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Typowe titranty: CO2, powietrze, zasada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Zakres pomiaru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</w:pPr>
            <w:r w:rsidRPr="00882126">
              <w:t xml:space="preserve">4 - 9 </w:t>
            </w:r>
            <w:r w:rsidRPr="00882126">
              <w:rPr>
                <w:color w:val="222222"/>
                <w:shd w:val="clear" w:color="auto" w:fill="FFFFFF"/>
              </w:rPr>
              <w:t xml:space="preserve">± 0.1 </w:t>
            </w:r>
            <w:r w:rsidRPr="00882126">
              <w:t>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Metoda kontroli DO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Zaawansowany PID</w:t>
            </w:r>
          </w:p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Konfigurowalne wyjścia przełączane</w:t>
            </w:r>
          </w:p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Typowe titranty: O2, Air, N2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Zakres pomiaru DO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0,05 - 300% nasycenia powietrza, wstępnie skalibrowane na poziomie morza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E-stop i blokady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Twardy stop awaryjny na kontrolerze, miękkie stopnie na wszystkich interfejsach użytkownika, programowalne i wstępnie skonfigurowane blokady bezpieczeństwa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F2C11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3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Stopień ochrony IP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1" w:rsidRPr="00882126" w:rsidRDefault="001F2C11" w:rsidP="00882126">
            <w:pPr>
              <w:pStyle w:val="Tabletext"/>
            </w:pPr>
            <w:r w:rsidRPr="00882126">
              <w:rPr>
                <w:lang w:val="pl-PL"/>
              </w:rPr>
              <w:t>IP54, IEC 60529 Ed 2.2 b 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1" w:rsidRPr="00882126" w:rsidRDefault="001F2C11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22F5E" w:rsidRPr="00882126" w:rsidTr="0092431A">
        <w:tc>
          <w:tcPr>
            <w:tcW w:w="1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F22F5E" w:rsidP="00882126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Akcesoria</w:t>
            </w:r>
          </w:p>
        </w:tc>
      </w:tr>
      <w:tr w:rsidR="00F22F5E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935D28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  <w:r w:rsidR="00F22F5E"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F22F5E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Osprzęt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F22F5E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>Pokrywa ze stali nierdzewnej i akcesoria do pokrywy, czujnik temperatury i kabel, sonda pH i kabel, sonda tlenu rozpuszczonego (DO) i kabel, sonda biomasy i zestaw sprzętu, kable komunikacyjne i zasilające stacji dokującej, płaszcz grzewczy filtra wylotowego, pęseta, klucz do pasków, pompa ręczna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5E" w:rsidRPr="00882126" w:rsidRDefault="00F22F5E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22F5E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F22F5E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F22F5E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 xml:space="preserve">Elektroda </w:t>
            </w:r>
            <w:proofErr w:type="spellStart"/>
            <w:r w:rsidRPr="00882126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F22F5E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 xml:space="preserve">Sterylizowalna, autoklawowalna; szklana; </w:t>
            </w:r>
            <w:r w:rsidR="00BB5E63" w:rsidRPr="00882126">
              <w:rPr>
                <w:lang w:val="pl-PL"/>
              </w:rPr>
              <w:t xml:space="preserve">średnica wkładu: 12 mm; długość sondy: 120 mm; zakres pH: 4-9; Regulacja: </w:t>
            </w:r>
            <w:r w:rsidR="00D8576D" w:rsidRPr="00882126">
              <w:rPr>
                <w:lang w:val="pl-PL"/>
              </w:rPr>
              <w:t>NaOH (aq)/ CO</w:t>
            </w:r>
            <w:r w:rsidR="00D8576D" w:rsidRPr="00882126">
              <w:rPr>
                <w:vertAlign w:val="subscript"/>
                <w:lang w:val="pl-PL"/>
              </w:rPr>
              <w:t>2</w:t>
            </w:r>
            <w:r w:rsidR="00D8576D" w:rsidRPr="00882126">
              <w:rPr>
                <w:lang w:val="pl-PL"/>
              </w:rPr>
              <w:t xml:space="preserve"> (g)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5E" w:rsidRPr="00882126" w:rsidRDefault="00F22F5E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22F5E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F22F5E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BB5E63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Sonda tlenu rozpuszczonego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E" w:rsidRPr="00882126" w:rsidRDefault="00BB5E63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 xml:space="preserve">Sterylizowalna, autoklawowalna; materiał: </w:t>
            </w:r>
            <w:r w:rsidR="00D8576D" w:rsidRPr="00882126">
              <w:rPr>
                <w:lang w:val="pl-PL"/>
              </w:rPr>
              <w:t>SS 316L; średnica wkładu: 12 mm; długość sondy: 120 mm;</w:t>
            </w:r>
            <w:r w:rsidRPr="00882126">
              <w:rPr>
                <w:lang w:val="pl-PL"/>
              </w:rPr>
              <w:t xml:space="preserve">  zakres DO: </w:t>
            </w:r>
            <w:r w:rsidR="00D8576D" w:rsidRPr="00882126">
              <w:rPr>
                <w:lang w:val="pl-PL"/>
              </w:rPr>
              <w:t>0.05 - 300 % nasycenia powietrzem; regulacja: dodawanie O</w:t>
            </w:r>
            <w:r w:rsidR="00D8576D" w:rsidRPr="00882126">
              <w:rPr>
                <w:vertAlign w:val="subscript"/>
                <w:lang w:val="pl-PL"/>
              </w:rPr>
              <w:t xml:space="preserve">2 </w:t>
            </w:r>
            <w:r w:rsidR="00D8576D" w:rsidRPr="00882126">
              <w:rPr>
                <w:lang w:val="pl-PL"/>
              </w:rPr>
              <w:t>/ N</w:t>
            </w:r>
            <w:r w:rsidR="00D8576D" w:rsidRPr="00882126">
              <w:rPr>
                <w:vertAlign w:val="subscript"/>
                <w:lang w:val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5E" w:rsidRPr="00882126" w:rsidRDefault="00F22F5E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B5E63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3" w:rsidRPr="00882126" w:rsidRDefault="00BB5E63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3" w:rsidRPr="00882126" w:rsidRDefault="00BB5E63" w:rsidP="00882126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Sonda biomasy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3" w:rsidRPr="00882126" w:rsidRDefault="0038653C" w:rsidP="00882126">
            <w:pPr>
              <w:pStyle w:val="Tabletext"/>
              <w:rPr>
                <w:lang w:val="pl-PL"/>
              </w:rPr>
            </w:pPr>
            <w:r w:rsidRPr="00882126">
              <w:rPr>
                <w:lang w:val="pl-PL"/>
              </w:rPr>
              <w:t xml:space="preserve">Z pierścieniami O-ring, sterylizowalna, autoklawowalna; materiał: </w:t>
            </w:r>
            <w:r w:rsidR="00D8576D" w:rsidRPr="00882126">
              <w:rPr>
                <w:lang w:val="pl-PL"/>
              </w:rPr>
              <w:t xml:space="preserve">SS 316L; średnica wkładu: 25 mm; długość sondy: 120 mm; w zestawie: </w:t>
            </w:r>
            <w:r w:rsidRPr="00882126">
              <w:rPr>
                <w:rFonts w:eastAsia="Batang"/>
                <w:lang w:val="pl-PL"/>
              </w:rPr>
              <w:t>1 przedwzmacniacz, 1 jednorazowa sonda ze stali nierdzewnej, 2 symulatory sygnału i adapter pokrywy do stosowania z pokrywą ze stali nierdzewnej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3" w:rsidRPr="00882126" w:rsidRDefault="00BB5E63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1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Wymagania pozostałe</w:t>
            </w: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F22F5E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0C2E5B"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Gwarancja i serwis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FA3A2C" w:rsidP="0074669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12 miesięcy; j</w:t>
            </w:r>
            <w:r w:rsidRPr="00882126">
              <w:rPr>
                <w:rFonts w:ascii="Arial" w:hAnsi="Arial" w:cs="Arial"/>
                <w:sz w:val="20"/>
                <w:szCs w:val="20"/>
                <w:lang w:eastAsia="en-GB"/>
              </w:rPr>
              <w:t>edna wizyta serwisowa w ramach konserwacji zapobiegawczej (PM) rocznie, zgodnie z harmonogramem klienta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0C2E5B"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7A471E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Dost</w:t>
            </w:r>
            <w:r w:rsidR="0074669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wa, instalacja, s</w:t>
            </w:r>
            <w:r w:rsidR="000C2E5B" w:rsidRPr="00882126">
              <w:rPr>
                <w:rFonts w:ascii="Arial" w:hAnsi="Arial" w:cs="Arial"/>
                <w:sz w:val="20"/>
                <w:szCs w:val="20"/>
                <w:lang w:eastAsia="en-US"/>
              </w:rPr>
              <w:t>zkolenie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FA3A2C" w:rsidP="00746698">
            <w:pPr>
              <w:rPr>
                <w:rFonts w:ascii="Arial" w:hAnsi="Arial" w:cs="Arial"/>
                <w:sz w:val="20"/>
                <w:szCs w:val="20"/>
              </w:rPr>
            </w:pPr>
            <w:r w:rsidRPr="0088212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C2E5B" w:rsidRPr="00882126" w:rsidTr="0092431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1F2C11" w:rsidP="0088212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935D28" w:rsidRPr="00882126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0C2E5B" w:rsidRPr="0088212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Dokumentacja i kwalifikacja IQ/OQ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5B" w:rsidRPr="00882126" w:rsidRDefault="00FA3A2C" w:rsidP="0074669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126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82126" w:rsidRDefault="000C2E5B" w:rsidP="008821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16496" w:rsidRPr="00882126" w:rsidRDefault="00716496" w:rsidP="00882126"/>
    <w:sectPr w:rsidR="00716496" w:rsidRPr="00882126" w:rsidSect="0092431A">
      <w:headerReference w:type="first" r:id="rId8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5D8AEB" w15:done="0"/>
  <w15:commentEx w15:paraId="2BF662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B1AC" w16cex:dateUtc="2023-06-19T08:51:00Z"/>
  <w16cex:commentExtensible w16cex:durableId="283AB23E" w16cex:dateUtc="2023-06-19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5D8AEB" w16cid:durableId="283AB1AC"/>
  <w16cid:commentId w16cid:paraId="2BF66273" w16cid:durableId="283AB23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06" w:rsidRDefault="00AA3106" w:rsidP="00A150D1">
      <w:r>
        <w:separator/>
      </w:r>
    </w:p>
  </w:endnote>
  <w:endnote w:type="continuationSeparator" w:id="0">
    <w:p w:rsidR="00AA3106" w:rsidRDefault="00AA3106" w:rsidP="00A15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06" w:rsidRDefault="00AA3106" w:rsidP="00A150D1">
      <w:r>
        <w:separator/>
      </w:r>
    </w:p>
  </w:footnote>
  <w:footnote w:type="continuationSeparator" w:id="0">
    <w:p w:rsidR="00AA3106" w:rsidRDefault="00AA3106" w:rsidP="00A15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D1" w:rsidRDefault="00A150D1" w:rsidP="00A150D1">
    <w:pPr>
      <w:pStyle w:val="Nagwek"/>
      <w:tabs>
        <w:tab w:val="clear" w:pos="4536"/>
        <w:tab w:val="clear" w:pos="9072"/>
        <w:tab w:val="left" w:pos="631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4386580</wp:posOffset>
          </wp:positionH>
          <wp:positionV relativeFrom="paragraph">
            <wp:posOffset>-278130</wp:posOffset>
          </wp:positionV>
          <wp:extent cx="1400175" cy="762000"/>
          <wp:effectExtent l="0" t="0" r="0" b="0"/>
          <wp:wrapTight wrapText="bothSides">
            <wp:wrapPolygon edited="0">
              <wp:start x="4114" y="3240"/>
              <wp:lineTo x="2351" y="3780"/>
              <wp:lineTo x="588" y="8640"/>
              <wp:lineTo x="588" y="13500"/>
              <wp:lineTo x="2939" y="17820"/>
              <wp:lineTo x="3820" y="17820"/>
              <wp:lineTo x="5878" y="17820"/>
              <wp:lineTo x="21159" y="15660"/>
              <wp:lineTo x="21453" y="12420"/>
              <wp:lineTo x="15282" y="11880"/>
              <wp:lineTo x="18220" y="9720"/>
              <wp:lineTo x="17045" y="5400"/>
              <wp:lineTo x="5584" y="3240"/>
              <wp:lineTo x="4114" y="3240"/>
            </wp:wrapPolygon>
          </wp:wrapTight>
          <wp:docPr id="1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150D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-167628</wp:posOffset>
          </wp:positionH>
          <wp:positionV relativeFrom="paragraph">
            <wp:posOffset>-162033</wp:posOffset>
          </wp:positionV>
          <wp:extent cx="1982278" cy="500332"/>
          <wp:effectExtent l="19050" t="0" r="0" b="0"/>
          <wp:wrapSquare wrapText="bothSides"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C10"/>
    <w:multiLevelType w:val="hybridMultilevel"/>
    <w:tmpl w:val="CF5A6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256FB"/>
    <w:multiLevelType w:val="hybridMultilevel"/>
    <w:tmpl w:val="28F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71FE9"/>
    <w:multiLevelType w:val="hybridMultilevel"/>
    <w:tmpl w:val="C636B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śniewski Dawid">
    <w15:presenceInfo w15:providerId="AD" w15:userId="S-1-5-21-1787453274-1719619119-941767090-143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E7A"/>
    <w:rsid w:val="000273CF"/>
    <w:rsid w:val="000C2E5B"/>
    <w:rsid w:val="00172FF3"/>
    <w:rsid w:val="001B3370"/>
    <w:rsid w:val="001F2C11"/>
    <w:rsid w:val="002168DE"/>
    <w:rsid w:val="00226DAC"/>
    <w:rsid w:val="00257953"/>
    <w:rsid w:val="00297FA1"/>
    <w:rsid w:val="002B3CC1"/>
    <w:rsid w:val="002E186D"/>
    <w:rsid w:val="002F32E0"/>
    <w:rsid w:val="00381C93"/>
    <w:rsid w:val="0038653C"/>
    <w:rsid w:val="003D1FD1"/>
    <w:rsid w:val="004710BE"/>
    <w:rsid w:val="00500E7A"/>
    <w:rsid w:val="00534BB4"/>
    <w:rsid w:val="006C749A"/>
    <w:rsid w:val="00716496"/>
    <w:rsid w:val="00746698"/>
    <w:rsid w:val="007A137A"/>
    <w:rsid w:val="007A471E"/>
    <w:rsid w:val="007D1FD8"/>
    <w:rsid w:val="00882126"/>
    <w:rsid w:val="009121BF"/>
    <w:rsid w:val="0092431A"/>
    <w:rsid w:val="00935D28"/>
    <w:rsid w:val="00970A37"/>
    <w:rsid w:val="009E6EB7"/>
    <w:rsid w:val="00A150D1"/>
    <w:rsid w:val="00A5253A"/>
    <w:rsid w:val="00AA3106"/>
    <w:rsid w:val="00AC4862"/>
    <w:rsid w:val="00B10D78"/>
    <w:rsid w:val="00BB5E63"/>
    <w:rsid w:val="00D103D4"/>
    <w:rsid w:val="00D8576D"/>
    <w:rsid w:val="00DC3683"/>
    <w:rsid w:val="00EF280F"/>
    <w:rsid w:val="00F22F5E"/>
    <w:rsid w:val="00F4585A"/>
    <w:rsid w:val="00F7151F"/>
    <w:rsid w:val="00F859D2"/>
    <w:rsid w:val="00FA3A2C"/>
    <w:rsid w:val="00FC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E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2E5B"/>
    <w:pPr>
      <w:keepNext/>
      <w:jc w:val="center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2E5B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0C2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C2E5B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C2E5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C2E5B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C2E5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C2E5B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2E5B"/>
    <w:pPr>
      <w:ind w:left="720"/>
      <w:contextualSpacing/>
    </w:pPr>
  </w:style>
  <w:style w:type="paragraph" w:customStyle="1" w:styleId="Tabletext">
    <w:name w:val="Table text"/>
    <w:basedOn w:val="Normalny"/>
    <w:qFormat/>
    <w:rsid w:val="00970A37"/>
    <w:pPr>
      <w:spacing w:before="40" w:after="40"/>
    </w:pPr>
    <w:rPr>
      <w:rFonts w:ascii="Arial" w:eastAsiaTheme="minorHAnsi" w:hAnsi="Arial" w:cstheme="minorBidi"/>
      <w:bCs/>
      <w:noProof/>
      <w:sz w:val="20"/>
      <w:szCs w:val="20"/>
      <w:lang w:val="en-GB" w:eastAsia="en-US"/>
    </w:rPr>
  </w:style>
  <w:style w:type="character" w:customStyle="1" w:styleId="Nagwek2Znak">
    <w:name w:val="Nagłówek 2 Znak"/>
    <w:basedOn w:val="Domylnaczcionkaakapitu"/>
    <w:link w:val="Nagwek2"/>
    <w:rsid w:val="002E186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0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0BE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168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6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8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8D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8D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15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50D1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98AA4-D45A-424A-86D2-72CF1F15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Wiśniewski Dawid</dc:creator>
  <cp:lastModifiedBy>agnieszkajan</cp:lastModifiedBy>
  <cp:revision>6</cp:revision>
  <dcterms:created xsi:type="dcterms:W3CDTF">2023-07-24T11:41:00Z</dcterms:created>
  <dcterms:modified xsi:type="dcterms:W3CDTF">2023-07-26T06:21:00Z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cd2c12eb48c6f24d16ca8e5ffee7efb166b1f848efa6bf47eb1684b5dd38eca5</vt:lpwstr>
  </property>
</Properties>
</file>