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11472640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SWZ/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439F1376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FD1403">
        <w:rPr>
          <w:rFonts w:ascii="Calibri" w:hAnsi="Calibri"/>
        </w:rPr>
        <w:t>odczynników do biologii komórkowej</w:t>
      </w:r>
      <w:r w:rsidR="00A41EF1" w:rsidRPr="00B106FB">
        <w:rPr>
          <w:rFonts w:ascii="Calibri" w:hAnsi="Calibri"/>
        </w:rPr>
        <w:t xml:space="preserve"> w podziale na </w:t>
      </w:r>
      <w:r w:rsidR="00FD1403">
        <w:rPr>
          <w:rFonts w:ascii="Calibri" w:hAnsi="Calibri"/>
        </w:rPr>
        <w:t>5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118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A262E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BA262E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FD1403" w:rsidRPr="004D3332" w14:paraId="446537A2" w14:textId="1970780D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2832C2D" w14:textId="0FE31A1B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D4281AD" w14:textId="4E38FFAE" w:rsidR="00FD1403" w:rsidRPr="00FD1403" w:rsidRDefault="00FD1403" w:rsidP="00FD1403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FITC </w:t>
            </w: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Izotiocyjanian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5-fluoresceiny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75C70E" w14:textId="7BB5984A" w:rsidR="00FD1403" w:rsidRPr="00FD1403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Barwnik fluorescencyjny, fluorescencja: </w:t>
            </w: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λex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492 </w:t>
            </w: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nm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λem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518 </w:t>
            </w: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nm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0.1 M fosforanie </w:t>
            </w: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8.0, masa cząsteczkowa 389.38, próba ≥90% (HPLC)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00A0462C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Opak.=50 mg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1FB0C00E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1403" w:rsidRPr="004D3332" w14:paraId="053E87F5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5341FCBA" w14:textId="758FD49F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893CDF" w14:textId="5AC4AA29" w:rsidR="00FD1403" w:rsidRPr="00FD1403" w:rsidRDefault="00FD1403" w:rsidP="00FD1403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DNAza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z trzustki wołowej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F0ED90" w14:textId="45C0BA67" w:rsidR="00FD1403" w:rsidRPr="00FD1403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DNAza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z trzustki wołowej, stopień II, poziom jakości 100, forma zliofilizowana, temperatura przechowywania 2-8C, produkt odpowiedni do ekstrakcji DNA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1D669C7" w14:textId="0DBBD8F0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 100 mg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A4E788" w14:textId="7A7E28A7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653505B" w14:textId="77777777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1403" w:rsidRPr="004D3332" w14:paraId="365E6231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0482215A" w14:textId="15761196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46326B" w14:textId="54EA9B15" w:rsidR="00FD1403" w:rsidRPr="00FD1403" w:rsidRDefault="00FD1403" w:rsidP="00FD1403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Lipopolisacharydy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Escherichia coli O111:B4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08F99B" w14:textId="474C5DC1" w:rsidR="00FD1403" w:rsidRPr="00FD1403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Lipopolisacharydy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Escherichia coli O111:B4 oczyszczone przez ekstrakcję fenolem, poziom jakości 300, postać zliofilizowanego proszku, rozpuszczalność w wodzie, wykorzystywane do testów ELISA, badań komórkowych oraz badania wiązań ligandu, kolor od jasnego kremowego do delikatnie żółtego, zanieczyszczenia: ≤3,00% białka (metoda </w:t>
            </w:r>
            <w:proofErr w:type="spellStart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Lowry</w:t>
            </w:r>
            <w:proofErr w:type="spellEnd"/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-TCA)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A5C74C4" w14:textId="57B588E2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opak.=10 mg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F86BA8" w14:textId="6A5122C9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046C774" w14:textId="77777777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1403" w:rsidRPr="004D3332" w14:paraId="730FD3C0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5DE9BC5B" w14:textId="66C1A168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AEBCD04" w14:textId="45B06D4F" w:rsidR="00FD1403" w:rsidRPr="00FD1403" w:rsidRDefault="00FD1403" w:rsidP="00FD1403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Błękit Evansa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250A1C" w14:textId="1C5E45F2" w:rsidR="00FD1403" w:rsidRPr="00FD1403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Błękit Evansa, zawartość barwnika &gt;= 75%, wzór sumaryczny C34H24N6Na4O14S4, masa cząsteczkowa 960.82, temperatura przechowywania +20C, numer CAS 314-13-6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F01D785" w14:textId="67AE0B03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opak.=10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B5F331" w14:textId="1AE9517A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33F6B9A" w14:textId="77777777" w:rsidR="00FD1403" w:rsidRPr="00FD1403" w:rsidRDefault="00FD1403" w:rsidP="00FD140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2CAF1292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FD1403" w:rsidRPr="00FD1403">
        <w:rPr>
          <w:rFonts w:asciiTheme="minorHAnsi" w:hAnsiTheme="minorHAnsi" w:cstheme="minorHAnsi"/>
          <w:b/>
          <w:sz w:val="22"/>
          <w:szCs w:val="22"/>
        </w:rPr>
        <w:t>WIM PW, Wołoska 141, 02-507 Warszawa, pokój 311</w:t>
      </w:r>
    </w:p>
    <w:p w14:paraId="67A4AE5F" w14:textId="0885100D" w:rsidR="0071096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FD1403" w:rsidRPr="00443F53" w14:paraId="1184D12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F7A13F" w14:textId="64772248" w:rsidR="00FD1403" w:rsidRPr="002F4A49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Błona podstawna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wyziolowana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z mysiego guza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Engelbreth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-Holm-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Swarm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(EHS)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F1AF4D" w14:textId="496B09AF" w:rsidR="00FD1403" w:rsidRPr="002F4A49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Płynna forma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blony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podstawnej wyizolowanej z mysiego guza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Engelbreth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-Holm-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Swarm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(EHS), wolna od wirusów w tym wirusa podnoszącego aktywność dehydrogenazy mlekowej (LDEV), główne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skłądniki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obejmują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lamininę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, kolagen IV,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entaktynę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proteoglikany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siarczanu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heparanu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; macierz oferuje średnio zmniejszenie kilku czynników wzrostu, stabilna koncentracja białka pomiędzy partiami, stężenie 12-18 mg/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, postać zamrożona, produkt sterylny, bez czerwieni fenolowej, okres przydatności 36 miesięcy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2A5F5D23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Opak.=5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2784C409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1403" w:rsidRPr="00443F53" w14:paraId="0ADA8B6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384742" w14:textId="2B614937" w:rsidR="00FD1403" w:rsidRPr="002F4A49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Odczynnik PCR Master Mix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129819" w14:textId="4E428272" w:rsidR="00FD1403" w:rsidRPr="002F4A49" w:rsidRDefault="00FD1403" w:rsidP="00FD1403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Odczynnik Master Mix do reakcji PCR, zestaw fiolek 5 x 5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zawiera, roztwór (2X) barwnik SYBR Green 1, polimerazę DNA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AmpliTaq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Gold™,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dNTP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-y z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dUTP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, Referencyjny Dodatek 1 (ROX) oraz zoptymalizowane składniki buforu. Dostarczone reagenta wystarczają na 1000 reakcji, przy założonym wolumenie reakcji 50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μl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Przechowywanie -20C, nie są wymagane sondy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TaqMan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6893237B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Opak.=5 x 5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6FC51E3E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FD1403" w:rsidRPr="002F4A49" w:rsidRDefault="00FD1403" w:rsidP="00FD1403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8655CF" w14:textId="77777777" w:rsidR="00581EAB" w:rsidRDefault="00581EAB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568E639B" w14:textId="7EB518D3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464DB3FB" w14:textId="5855F598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Adresy dostawy: </w:t>
      </w:r>
      <w:r w:rsidR="00FD1403" w:rsidRPr="00FD1403">
        <w:rPr>
          <w:rFonts w:asciiTheme="minorHAnsi" w:hAnsiTheme="minorHAnsi" w:cstheme="minorHAnsi"/>
          <w:b/>
          <w:bCs/>
          <w:sz w:val="22"/>
          <w:szCs w:val="22"/>
        </w:rPr>
        <w:t>WIM PW, Wołoska 141, 02-507 Warszawa, pokój 311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EFC58F" w14:textId="27555E66" w:rsidR="0068708D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43EC1F55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3"/>
        <w:gridCol w:w="1545"/>
        <w:gridCol w:w="3355"/>
        <w:gridCol w:w="1449"/>
        <w:gridCol w:w="566"/>
        <w:gridCol w:w="2340"/>
      </w:tblGrid>
      <w:tr w:rsidR="00D15E7E" w:rsidRPr="00443F53" w14:paraId="1E09D346" w14:textId="31D7FF3D" w:rsidTr="006835C2">
        <w:trPr>
          <w:trHeight w:val="454"/>
        </w:trPr>
        <w:tc>
          <w:tcPr>
            <w:tcW w:w="7478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340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6835C2">
        <w:trPr>
          <w:trHeight w:val="19"/>
        </w:trPr>
        <w:tc>
          <w:tcPr>
            <w:tcW w:w="563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5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355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49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6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340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6835C2">
        <w:trPr>
          <w:trHeight w:val="19"/>
        </w:trPr>
        <w:tc>
          <w:tcPr>
            <w:tcW w:w="563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5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55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D1403" w:rsidRPr="00443F53" w14:paraId="0D6EAFD7" w14:textId="2E1841EB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CC7C1A3" w14:textId="783F953B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565C59A3" w14:textId="286B5525" w:rsidR="00FD1403" w:rsidRPr="00443F53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Zestaw do izolacji RNA z małych ilości materiału (250 izolacji)</w:t>
            </w:r>
          </w:p>
        </w:tc>
        <w:tc>
          <w:tcPr>
            <w:tcW w:w="3355" w:type="dxa"/>
            <w:vAlign w:val="center"/>
          </w:tcPr>
          <w:p w14:paraId="2FE7B0BC" w14:textId="11585135" w:rsidR="00FD1403" w:rsidRPr="00443F53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izolacji całkowitego RNA z tkanek i komórek,  zestaw zawiera: - bufor do lizy, bufory płuczące i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elucyjny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, proteinaza K w postaci płynnej, gotowa do użycia, kolumny zawierające stałe złoża krzemionkowe psujące do 1,5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probówek typu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Eppendorf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, - dodatkowe kolumny zapewniające eliminacje genomowego DNA, - 2ml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probwki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elucyjne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; możliwość izolacji całkowitego RNA z 10 do 1x10^7 komórek, 0.5-30 mg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tkankek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ludzkich i zwierzęcych,  zastosowanie RT-PCR, temperatura przechowywania zestawu +15 do +25C. Zestaw na 250 izolacji. </w:t>
            </w:r>
          </w:p>
        </w:tc>
        <w:tc>
          <w:tcPr>
            <w:tcW w:w="1449" w:type="dxa"/>
            <w:vAlign w:val="center"/>
          </w:tcPr>
          <w:p w14:paraId="6673F310" w14:textId="1FB01CBB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opak.= 1 zestaw</w:t>
            </w:r>
          </w:p>
        </w:tc>
        <w:tc>
          <w:tcPr>
            <w:tcW w:w="566" w:type="dxa"/>
            <w:vAlign w:val="center"/>
          </w:tcPr>
          <w:p w14:paraId="094093B1" w14:textId="4E60FE0A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73A5A49E" w14:textId="77777777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403" w:rsidRPr="00443F53" w14:paraId="0B399491" w14:textId="00E37872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6A5C89F8" w14:textId="3A4CF8F0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7B25D824" w14:textId="0E164900" w:rsidR="00FD1403" w:rsidRPr="00443F53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syntezy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połączonym z usuwaniem genomowego DNA w próbkach RNA </w:t>
            </w:r>
          </w:p>
        </w:tc>
        <w:tc>
          <w:tcPr>
            <w:tcW w:w="3355" w:type="dxa"/>
            <w:vAlign w:val="center"/>
          </w:tcPr>
          <w:p w14:paraId="75E1D03D" w14:textId="41D7939C" w:rsidR="00FD1403" w:rsidRPr="00443F53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syntezy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połączonym z usuwaniem genomowego DNA w próbkach RNA; zestaw na pięćdziesiąt reakcji syntezy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o pojemności 20 ul, zestaw zawiera bufor GE (100 ul), 5x bufor BC3 (200 ul), roztwór RE3 odwrotnej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transkryptazy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(100 ul), kontrolę P2 (50 ul) oraz wodę wolną od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nukelaz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(1 ml) przeznaczony do użytku z RT2 Profiler PCR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Arrays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i RT2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lncRNA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PCR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Arrays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9" w:type="dxa"/>
            <w:vAlign w:val="center"/>
          </w:tcPr>
          <w:p w14:paraId="72FEBB67" w14:textId="3A329FDE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opak.=1 zestaw</w:t>
            </w:r>
          </w:p>
        </w:tc>
        <w:tc>
          <w:tcPr>
            <w:tcW w:w="566" w:type="dxa"/>
            <w:vAlign w:val="center"/>
          </w:tcPr>
          <w:p w14:paraId="31685960" w14:textId="05F4C465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1906756" w14:textId="77777777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403" w:rsidRPr="00443F53" w14:paraId="57FE78FC" w14:textId="42F96DA4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B05263D" w14:textId="35F6D672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4F98C867" w14:textId="4AFD5A24" w:rsidR="00FD1403" w:rsidRPr="00443F53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izolacji całkowitej DNA z krwi zwierzęcej i tkanek oraz z komórek,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drożdzy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, bakterii lub wirusów </w:t>
            </w:r>
          </w:p>
        </w:tc>
        <w:tc>
          <w:tcPr>
            <w:tcW w:w="3355" w:type="dxa"/>
            <w:vAlign w:val="center"/>
          </w:tcPr>
          <w:p w14:paraId="334CF3E1" w14:textId="5B8454BB" w:rsidR="00FD1403" w:rsidRPr="00443F53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izolacji całkowitej DNA z krwi i tkanek, zestaw zawiera 250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minikolumn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wirowania,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proteizanę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K, bufory oraz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collection</w:t>
            </w:r>
            <w:proofErr w:type="spellEnd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tubes</w:t>
            </w:r>
            <w:proofErr w:type="spellEnd"/>
          </w:p>
        </w:tc>
        <w:tc>
          <w:tcPr>
            <w:tcW w:w="1449" w:type="dxa"/>
            <w:vAlign w:val="center"/>
          </w:tcPr>
          <w:p w14:paraId="2A34DE20" w14:textId="355713F7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opak.=1 zestaw</w:t>
            </w:r>
          </w:p>
        </w:tc>
        <w:tc>
          <w:tcPr>
            <w:tcW w:w="566" w:type="dxa"/>
            <w:vAlign w:val="center"/>
          </w:tcPr>
          <w:p w14:paraId="493A2DDE" w14:textId="381D019D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7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75EFFCC9" w14:textId="77777777" w:rsidR="00FD1403" w:rsidRPr="00443F53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DD2233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Pr="00954DB4" w:rsidRDefault="0078255A" w:rsidP="00502434">
      <w:pPr>
        <w:rPr>
          <w:rFonts w:asciiTheme="minorHAnsi" w:hAnsiTheme="minorHAnsi" w:cstheme="minorHAnsi"/>
          <w:sz w:val="22"/>
          <w:szCs w:val="22"/>
        </w:rPr>
      </w:pPr>
    </w:p>
    <w:p w14:paraId="4063B2A2" w14:textId="7221C37B" w:rsid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 dostawy: </w:t>
      </w:r>
      <w:r w:rsidR="00FD1403" w:rsidRPr="00FD1403">
        <w:rPr>
          <w:rFonts w:asciiTheme="minorHAnsi" w:hAnsiTheme="minorHAnsi" w:cstheme="minorHAnsi"/>
          <w:b/>
          <w:bCs/>
          <w:sz w:val="22"/>
          <w:szCs w:val="22"/>
        </w:rPr>
        <w:t>WIM PW, Wołoska 141, 02-507 Warszawa, pokój 311</w:t>
      </w:r>
    </w:p>
    <w:p w14:paraId="1099922D" w14:textId="77777777" w:rsidR="00BB2F40" w:rsidRP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7665A" w14:textId="4BC8BDA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05D4727B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547ACB41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D1403" w:rsidRPr="00443F53" w14:paraId="2EC548CC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0D333C6F" w14:textId="73DFF39B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01A233A3" w14:textId="41BEADB8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IL-10</w:t>
            </w:r>
          </w:p>
        </w:tc>
        <w:tc>
          <w:tcPr>
            <w:tcW w:w="3207" w:type="dxa"/>
            <w:vAlign w:val="center"/>
          </w:tcPr>
          <w:p w14:paraId="46A3A85D" w14:textId="6F2DA92D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31.2 - 2,000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068" w:type="dxa"/>
            <w:vAlign w:val="center"/>
          </w:tcPr>
          <w:p w14:paraId="0F7EE1D0" w14:textId="7593FBD0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692" w:type="dxa"/>
            <w:noWrap/>
            <w:vAlign w:val="center"/>
          </w:tcPr>
          <w:p w14:paraId="11A9A854" w14:textId="5F0E4343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4AB6819" w14:textId="77777777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403" w:rsidRPr="00443F53" w14:paraId="77EB13E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186790C" w14:textId="71916436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7EDEB160" w14:textId="00AF30D3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IL-6</w:t>
            </w:r>
          </w:p>
        </w:tc>
        <w:tc>
          <w:tcPr>
            <w:tcW w:w="3207" w:type="dxa"/>
            <w:vAlign w:val="center"/>
          </w:tcPr>
          <w:p w14:paraId="40479EEB" w14:textId="3DCD23BD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9.4 - 600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068" w:type="dxa"/>
            <w:vAlign w:val="center"/>
          </w:tcPr>
          <w:p w14:paraId="16A87EB5" w14:textId="2D72E0EE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692" w:type="dxa"/>
            <w:noWrap/>
            <w:vAlign w:val="center"/>
          </w:tcPr>
          <w:p w14:paraId="5911975B" w14:textId="4B13A6FB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2E86157" w14:textId="77777777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403" w:rsidRPr="00443F53" w14:paraId="0B697982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10687CB0" w14:textId="71BE62D3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13841CB8" w14:textId="45C682D9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ELISA do oznaczania ludzkiego TNF-alfa </w:t>
            </w:r>
          </w:p>
        </w:tc>
        <w:tc>
          <w:tcPr>
            <w:tcW w:w="3207" w:type="dxa"/>
            <w:vAlign w:val="center"/>
          </w:tcPr>
          <w:p w14:paraId="4E4E7BD6" w14:textId="0901CBF7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TNF-alfa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15.6 - 1,000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068" w:type="dxa"/>
            <w:vAlign w:val="center"/>
          </w:tcPr>
          <w:p w14:paraId="33F1950A" w14:textId="38141B3C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692" w:type="dxa"/>
            <w:noWrap/>
            <w:vAlign w:val="center"/>
          </w:tcPr>
          <w:p w14:paraId="55EF615F" w14:textId="3637BB8F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B7750F4" w14:textId="77777777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403" w:rsidRPr="00443F53" w14:paraId="7717667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8673409" w14:textId="2FE2388E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96" w:type="dxa"/>
            <w:vAlign w:val="center"/>
          </w:tcPr>
          <w:p w14:paraId="5A4425DE" w14:textId="46A3CFF4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do oznaczania ludzkiego MMP2</w:t>
            </w:r>
          </w:p>
        </w:tc>
        <w:tc>
          <w:tcPr>
            <w:tcW w:w="3207" w:type="dxa"/>
            <w:vAlign w:val="center"/>
          </w:tcPr>
          <w:p w14:paraId="036DA55F" w14:textId="2B27F35F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Test immunoenzymatyczny ELISA do oznaczania ludzkiego MMP2, zakres 0.625-20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badany rodzaj próbek: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supernatanty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hodowli komórkowych, surowica i osocze,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konjugat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biotyny</w:t>
            </w:r>
          </w:p>
        </w:tc>
        <w:tc>
          <w:tcPr>
            <w:tcW w:w="1068" w:type="dxa"/>
            <w:vAlign w:val="center"/>
          </w:tcPr>
          <w:p w14:paraId="206DDA52" w14:textId="2567A97A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Opak.=15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plytek</w:t>
            </w:r>
            <w:proofErr w:type="spellEnd"/>
          </w:p>
        </w:tc>
        <w:tc>
          <w:tcPr>
            <w:tcW w:w="692" w:type="dxa"/>
            <w:noWrap/>
            <w:vAlign w:val="center"/>
          </w:tcPr>
          <w:p w14:paraId="315D4718" w14:textId="0BFF81F9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27D2C3F" w14:textId="77777777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1403" w:rsidRPr="00443F53" w14:paraId="48F3DAD8" w14:textId="48A25F7D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039998F6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696" w:type="dxa"/>
            <w:vAlign w:val="center"/>
          </w:tcPr>
          <w:p w14:paraId="07ADB943" w14:textId="386FE26D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do Oznaczania ludzkiego MMP9</w:t>
            </w:r>
          </w:p>
        </w:tc>
        <w:tc>
          <w:tcPr>
            <w:tcW w:w="3207" w:type="dxa"/>
            <w:vAlign w:val="center"/>
          </w:tcPr>
          <w:p w14:paraId="2EA90207" w14:textId="4DA40A8E" w:rsidR="00FD1403" w:rsidRPr="00954DB4" w:rsidRDefault="00FD1403" w:rsidP="00FD14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Test immunoenzymatyczny ELISA do oznaczania ludzkiego MMP9 (formy pro- o masie 92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aktywnej o masie 82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ale nie formy o masie 65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, zakres 0.312-20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czułość 0.156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068" w:type="dxa"/>
            <w:vAlign w:val="center"/>
          </w:tcPr>
          <w:p w14:paraId="24BF9359" w14:textId="0DD38711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692" w:type="dxa"/>
            <w:noWrap/>
            <w:vAlign w:val="center"/>
          </w:tcPr>
          <w:p w14:paraId="648477C6" w14:textId="7378E6F0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836248A" w14:textId="77777777" w:rsidR="00FD1403" w:rsidRPr="00954DB4" w:rsidRDefault="00FD1403" w:rsidP="00FD1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3E2558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C2B76AF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5108DE4" w14:textId="77777777" w:rsid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2CE5EA31" w14:textId="7654D2EE" w:rsidR="00954DB4" w:rsidRPr="00954DB4" w:rsidRDefault="00BB2F40" w:rsidP="00BB2F4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2F40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</w:t>
      </w:r>
      <w:r w:rsidR="00BA262E" w:rsidRPr="00BA262E">
        <w:rPr>
          <w:rFonts w:ascii="Calibri" w:hAnsi="Calibri" w:cs="Arial"/>
          <w:b/>
          <w:bCs/>
          <w:color w:val="000000"/>
          <w:sz w:val="22"/>
          <w:szCs w:val="22"/>
        </w:rPr>
        <w:t>WIM PW, Wołoska 141, 02-507 Warszawa, pokój 311</w:t>
      </w:r>
    </w:p>
    <w:p w14:paraId="3C1B4D16" w14:textId="77777777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C0D44EA" w14:textId="4720459C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78255A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78255A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BA262E" w:rsidRPr="00443F53" w14:paraId="15CB9DCF" w14:textId="77777777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5F4F8B6" w14:textId="13E91382" w:rsidR="00BA262E" w:rsidRPr="00954DB4" w:rsidRDefault="00BA262E" w:rsidP="00BA26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696" w:type="dxa"/>
            <w:vAlign w:val="center"/>
          </w:tcPr>
          <w:p w14:paraId="61F62D9D" w14:textId="7E60EF9E" w:rsidR="00BA262E" w:rsidRPr="00954DB4" w:rsidRDefault="00BA262E" w:rsidP="00BA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Przeciwciało specyficzne dla CD80</w:t>
            </w:r>
          </w:p>
        </w:tc>
        <w:tc>
          <w:tcPr>
            <w:tcW w:w="3207" w:type="dxa"/>
            <w:vAlign w:val="center"/>
          </w:tcPr>
          <w:p w14:paraId="3C40D586" w14:textId="67D57BCE" w:rsidR="00BA262E" w:rsidRPr="00954DB4" w:rsidRDefault="00BA262E" w:rsidP="00BA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Przeciwciało specyficzne dla ludzkiego CD80 wytworzone w króliku; Postać: płynna,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monoklonalne, niesprzężone, bufor przechowywania: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=7,2-7,4); Zawiera 0,1% azydku sodu, oraz PBS, 40% gliceryny, 0,05% BSA, zastosowanie: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Immunoprecypitacja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Cytofluorymetria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przepływowa,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Immunocytochemia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/Immunofluorescencja</w:t>
            </w:r>
          </w:p>
        </w:tc>
        <w:tc>
          <w:tcPr>
            <w:tcW w:w="1068" w:type="dxa"/>
            <w:vAlign w:val="center"/>
          </w:tcPr>
          <w:p w14:paraId="1E4C4854" w14:textId="03FB6DF9" w:rsidR="00BA262E" w:rsidRPr="00954DB4" w:rsidRDefault="00BA262E" w:rsidP="00BA26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Opak.=100 µL</w:t>
            </w:r>
          </w:p>
        </w:tc>
        <w:tc>
          <w:tcPr>
            <w:tcW w:w="692" w:type="dxa"/>
            <w:noWrap/>
            <w:vAlign w:val="center"/>
          </w:tcPr>
          <w:p w14:paraId="6F7F7F67" w14:textId="5FB69EA8" w:rsidR="00BA262E" w:rsidRPr="00954DB4" w:rsidRDefault="00BA262E" w:rsidP="00BA26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94777CD" w14:textId="77777777" w:rsidR="00BA262E" w:rsidRPr="00443F53" w:rsidRDefault="00BA262E" w:rsidP="00BA2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62E" w:rsidRPr="00443F53" w14:paraId="3F449803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24866855" w14:textId="3D45FF43" w:rsidR="00BA262E" w:rsidRPr="00954DB4" w:rsidRDefault="00BA262E" w:rsidP="00BA26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96" w:type="dxa"/>
            <w:vAlign w:val="center"/>
          </w:tcPr>
          <w:p w14:paraId="535D3C8D" w14:textId="7BF16B85" w:rsidR="00BA262E" w:rsidRPr="00954DB4" w:rsidRDefault="00BA262E" w:rsidP="00BA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przeciwciało przeciwko receptorowi mannozy (CD206)</w:t>
            </w:r>
          </w:p>
        </w:tc>
        <w:tc>
          <w:tcPr>
            <w:tcW w:w="3207" w:type="dxa"/>
            <w:vAlign w:val="center"/>
          </w:tcPr>
          <w:p w14:paraId="3AE8C57D" w14:textId="77B6BB02" w:rsidR="00BA262E" w:rsidRPr="00954DB4" w:rsidRDefault="00BA262E" w:rsidP="00BA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przeciwciało przeciwko receptorowi mannozy (CD206), wytworzone w króliku; Postać: płynna,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niesprzężone, bufor przechowywania: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=7,4); Zawiera 0,02% azydku sodu, oraz 9.8.98% PBS, 1% BSA</w:t>
            </w:r>
          </w:p>
        </w:tc>
        <w:tc>
          <w:tcPr>
            <w:tcW w:w="1068" w:type="dxa"/>
            <w:vAlign w:val="center"/>
          </w:tcPr>
          <w:p w14:paraId="0EED2534" w14:textId="383138EF" w:rsidR="00BA262E" w:rsidRPr="00954DB4" w:rsidRDefault="00BA262E" w:rsidP="00BA26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 100 µg</w:t>
            </w:r>
          </w:p>
        </w:tc>
        <w:tc>
          <w:tcPr>
            <w:tcW w:w="692" w:type="dxa"/>
            <w:noWrap/>
            <w:vAlign w:val="center"/>
          </w:tcPr>
          <w:p w14:paraId="3AB8F8BC" w14:textId="5361F061" w:rsidR="00BA262E" w:rsidRPr="00954DB4" w:rsidRDefault="00BA262E" w:rsidP="00BA26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52B0AA7" w14:textId="77777777" w:rsidR="00BA262E" w:rsidRPr="00443F53" w:rsidRDefault="00BA262E" w:rsidP="00BA2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0E9567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864ACA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039F38D7" w14:textId="0225E32C" w:rsidR="00F76265" w:rsidRPr="00954DB4" w:rsidRDefault="00F76265" w:rsidP="00502434">
      <w:pPr>
        <w:rPr>
          <w:rFonts w:asciiTheme="minorHAnsi" w:hAnsiTheme="minorHAnsi" w:cstheme="minorHAnsi"/>
          <w:sz w:val="22"/>
          <w:szCs w:val="22"/>
        </w:rPr>
      </w:pPr>
    </w:p>
    <w:p w14:paraId="0E8DA786" w14:textId="77777777" w:rsidR="00BA262E" w:rsidRPr="00954DB4" w:rsidRDefault="00BB2F40" w:rsidP="00BA262E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 dostawy: </w:t>
      </w:r>
      <w:r w:rsidR="00BA262E" w:rsidRPr="00BA262E">
        <w:rPr>
          <w:rFonts w:ascii="Calibri" w:hAnsi="Calibri" w:cs="Arial"/>
          <w:b/>
          <w:bCs/>
          <w:color w:val="000000"/>
          <w:sz w:val="22"/>
          <w:szCs w:val="22"/>
        </w:rPr>
        <w:t>WIM PW, Wołoska 141, 02-507 Warszawa, pokój 311</w:t>
      </w:r>
    </w:p>
    <w:p w14:paraId="0474564A" w14:textId="6B607B52" w:rsid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37A047" w14:textId="77777777" w:rsidR="00BB2F40" w:rsidRPr="00954DB4" w:rsidRDefault="00BB2F40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B4BD2A" w14:textId="7E1F19BD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E3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BFB8" w14:textId="77777777" w:rsidR="00E30794" w:rsidRDefault="00E30794">
      <w:r>
        <w:separator/>
      </w:r>
    </w:p>
  </w:endnote>
  <w:endnote w:type="continuationSeparator" w:id="0">
    <w:p w14:paraId="364C6EEE" w14:textId="77777777" w:rsidR="00E30794" w:rsidRDefault="00E3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6178" w14:textId="77777777" w:rsidR="008E5881" w:rsidRDefault="008E5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BAB1" w14:textId="77777777" w:rsidR="008E5881" w:rsidRDefault="008E5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6122" w14:textId="77777777" w:rsidR="00E30794" w:rsidRDefault="00E30794">
      <w:r>
        <w:separator/>
      </w:r>
    </w:p>
  </w:footnote>
  <w:footnote w:type="continuationSeparator" w:id="0">
    <w:p w14:paraId="7943A43B" w14:textId="77777777" w:rsidR="00E30794" w:rsidRDefault="00E3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1D86" w14:textId="77777777" w:rsidR="008E5881" w:rsidRDefault="008E5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3118F62E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="008E5881">
      <w:rPr>
        <w:rFonts w:ascii="Calibri" w:hAnsi="Calibri" w:cs="Arial"/>
        <w:i/>
        <w:color w:val="000000" w:themeColor="text1"/>
        <w:sz w:val="16"/>
        <w:szCs w:val="16"/>
        <w:lang w:val="pl-PL"/>
      </w:rPr>
      <w:t>5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2024-02-09T11:04:00Z</dcterms:created>
  <dcterms:modified xsi:type="dcterms:W3CDTF">2024-02-09T11:04:00Z</dcterms:modified>
</cp:coreProperties>
</file>