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4F" w:rsidRDefault="00792E4F" w:rsidP="00CE1302">
      <w:pPr>
        <w:pStyle w:val="Standard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792E4F" w:rsidRPr="00792E4F" w:rsidRDefault="00792E4F" w:rsidP="00792E4F">
      <w:pPr>
        <w:pStyle w:val="Standard"/>
        <w:numPr>
          <w:ilvl w:val="0"/>
          <w:numId w:val="1"/>
        </w:numPr>
        <w:rPr>
          <w:rFonts w:ascii="Arial" w:hAnsi="Arial" w:cs="Arial"/>
          <w:b/>
        </w:rPr>
      </w:pPr>
      <w:r w:rsidRPr="00792E4F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611183" cy="554990"/>
            <wp:effectExtent l="0" t="0" r="8255" b="0"/>
            <wp:docPr id="7" name="Obraz 7" descr="C:\Users\STANIS~1\AppData\Local\Temp\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~1\AppData\Local\Temp\F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69" cy="5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</w:r>
      <w:r w:rsidRPr="00792E4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2E4F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129085" cy="597969"/>
            <wp:effectExtent l="0" t="0" r="0" b="0"/>
            <wp:docPr id="6" name="Obraz 6" descr="C:\Users\STANIS~1\AppData\Local\Temp\Ministerstwo-Zdr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~1\AppData\Local\Temp\Ministerstwo-Zdrow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2" t="15879" r="5431" b="26732"/>
                    <a:stretch/>
                  </pic:blipFill>
                  <pic:spPr bwMode="auto">
                    <a:xfrm>
                      <a:off x="0" y="0"/>
                      <a:ext cx="1147707" cy="6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2E4F">
        <w:rPr>
          <w:rFonts w:ascii="Arial" w:hAnsi="Arial" w:cs="Arial"/>
          <w:b/>
        </w:rPr>
        <w:tab/>
      </w:r>
      <w:r w:rsidRPr="00792E4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2E4F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821976" cy="593677"/>
            <wp:effectExtent l="0" t="0" r="6985" b="0"/>
            <wp:docPr id="4" name="Obraz 4" descr="C:\Users\STANIS~1\AppData\Local\Temp\U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~1\AppData\Local\Temp\UE_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21" cy="6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02" w:rsidRPr="00212BBB" w:rsidRDefault="00CE1302" w:rsidP="00CE1302">
      <w:pPr>
        <w:pStyle w:val="Standard"/>
        <w:jc w:val="right"/>
        <w:rPr>
          <w:rFonts w:ascii="Arial" w:hAnsi="Arial" w:cs="Arial"/>
          <w:b/>
        </w:rPr>
      </w:pPr>
      <w:r w:rsidRPr="00212BBB">
        <w:rPr>
          <w:rFonts w:ascii="Arial" w:hAnsi="Arial" w:cs="Arial"/>
          <w:b/>
        </w:rPr>
        <w:t xml:space="preserve">Załącznik nr 4 - OPIS PRZEDMIOTU ZAMÓWIENIA </w:t>
      </w:r>
    </w:p>
    <w:p w:rsidR="00CE1302" w:rsidRDefault="00CE1302" w:rsidP="00CE1302">
      <w:pPr>
        <w:pStyle w:val="Standard"/>
        <w:rPr>
          <w:rFonts w:ascii="Arial" w:hAnsi="Arial" w:cs="Arial"/>
          <w:b/>
        </w:rPr>
      </w:pPr>
    </w:p>
    <w:p w:rsidR="00CE1302" w:rsidRDefault="00CE1302" w:rsidP="00CE1302">
      <w:pPr>
        <w:pStyle w:val="Standard"/>
        <w:rPr>
          <w:b/>
        </w:rPr>
      </w:pPr>
      <w:r>
        <w:t xml:space="preserve">Dostawa i montaż kompletnego zestawu rezonansu magnetycznego oraz wykonanie dostosowania wielobranżowego projektu obszaru rezonansu do potrzeb oferowanego urządzenia </w:t>
      </w:r>
      <w:r>
        <w:rPr>
          <w:b/>
        </w:rPr>
        <w:t>dla Szpitala Samodzielnego Publicznego Zakładu Opieki Zdrowotnej Ministerstwa Spraw Wewnętrznych i Administracji w Kielcach finansowana z funduszy europejskich w ramach projektu:</w:t>
      </w:r>
      <w:r>
        <w:t xml:space="preserve"> </w:t>
      </w:r>
      <w:r>
        <w:rPr>
          <w:b/>
        </w:rPr>
        <w:t>nr POIS.09.01.00-00-0264/18 pn. „Rozbudowa i doposażenie Samodzielnego Publicznego Zakładu Opieki Zdrowotnej MSWiA w Kielcach celem utworzenia Szpitalnego Oddziału Ratunkowego – I ETAP</w:t>
      </w:r>
    </w:p>
    <w:p w:rsidR="00CE1302" w:rsidRPr="00212BBB" w:rsidRDefault="00CE1302" w:rsidP="00CE1302">
      <w:pPr>
        <w:pStyle w:val="Standard"/>
        <w:rPr>
          <w:rFonts w:ascii="Arial" w:hAnsi="Arial" w:cs="Arial"/>
        </w:rPr>
      </w:pPr>
    </w:p>
    <w:tbl>
      <w:tblPr>
        <w:tblW w:w="15015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741"/>
        <w:gridCol w:w="1540"/>
        <w:gridCol w:w="36"/>
        <w:gridCol w:w="2433"/>
        <w:gridCol w:w="81"/>
        <w:gridCol w:w="2183"/>
      </w:tblGrid>
      <w:tr w:rsidR="00CE1302" w:rsidRPr="00212BBB" w:rsidTr="00E34EEB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Warunki wymagane i pożądane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parametr wymagany / 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punktacja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parametr oferowany – należy podać.</w:t>
            </w: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Informacje ogólne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1"/>
              <w:numPr>
                <w:ilvl w:val="0"/>
                <w:numId w:val="34"/>
              </w:numPr>
              <w:ind w:left="2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Producent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1"/>
              <w:numPr>
                <w:ilvl w:val="0"/>
                <w:numId w:val="16"/>
              </w:numPr>
              <w:ind w:left="2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Nazwa, typ i model urządzenia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1"/>
              <w:numPr>
                <w:ilvl w:val="0"/>
                <w:numId w:val="16"/>
              </w:numPr>
              <w:ind w:left="2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Kraj pochodzenia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Standard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Wszystkie elementy systemu fabrycznie nowe, nieużywane. Nie dopuszcza się elementów powystawowych i regenerowanych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Standard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Rok produkcji: 2020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lastRenderedPageBreak/>
              <w:t>Opis parametrów</w:t>
            </w:r>
          </w:p>
        </w:tc>
      </w:tr>
      <w:tr w:rsidR="00CE1302" w:rsidRPr="00212BBB" w:rsidTr="00E34EEB">
        <w:trPr>
          <w:trHeight w:val="245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Magnes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Indukcja stałego pola magnetycznego: ≥ 1,5 T (podać wartość [T])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Konstrukcja magnesu - tunelowa, zamknięta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Zamknięty system chłodzenia magnesu ciekłym helem w technologii zerowego zużycia helu </w:t>
            </w:r>
            <w:r w:rsidRPr="00212BBB">
              <w:rPr>
                <w:rFonts w:ascii="Arial" w:hAnsi="Arial" w:cs="Arial"/>
                <w:i/>
              </w:rPr>
              <w:t>(podać zużycie helu zgodne z dokumentacją producenta</w:t>
            </w:r>
            <w:r w:rsidR="00B60F35">
              <w:rPr>
                <w:rFonts w:ascii="Arial" w:hAnsi="Arial" w:cs="Arial"/>
                <w:i/>
              </w:rPr>
              <w:t xml:space="preserve"> wyrażone w litrach na rok</w:t>
            </w:r>
            <w:r w:rsidRPr="00212BB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Najniższa wartość </w:t>
            </w:r>
            <w:r w:rsidR="00874AEB">
              <w:rPr>
                <w:rFonts w:ascii="Arial" w:hAnsi="Arial" w:cs="Arial"/>
              </w:rPr>
              <w:t>4</w:t>
            </w:r>
            <w:r w:rsidRPr="00212BBB">
              <w:rPr>
                <w:rFonts w:ascii="Arial" w:hAnsi="Arial" w:cs="Arial"/>
              </w:rPr>
              <w:t xml:space="preserve"> pkt. </w:t>
            </w:r>
          </w:p>
          <w:p w:rsidR="00874AEB" w:rsidRPr="00212BBB" w:rsidRDefault="00874AEB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Najwyższa wartość – 0 pkt.</w:t>
            </w:r>
          </w:p>
          <w:p w:rsidR="00CE1302" w:rsidRPr="00212BBB" w:rsidRDefault="00CE1302" w:rsidP="00874A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Pozostałe </w:t>
            </w:r>
            <w:r w:rsidR="00874AEB">
              <w:rPr>
                <w:rFonts w:ascii="Arial" w:hAnsi="Arial" w:cs="Arial"/>
              </w:rPr>
              <w:t>- proporcjonalnie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27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Aktywny SHIM (</w:t>
            </w:r>
            <w:proofErr w:type="spellStart"/>
            <w:r w:rsidRPr="00212BBB">
              <w:rPr>
                <w:rFonts w:ascii="Arial" w:hAnsi="Arial" w:cs="Arial"/>
              </w:rPr>
              <w:t>shimming</w:t>
            </w:r>
            <w:proofErr w:type="spellEnd"/>
            <w:r w:rsidRPr="00212BBB">
              <w:rPr>
                <w:rFonts w:ascii="Arial" w:hAnsi="Arial" w:cs="Arial"/>
              </w:rPr>
              <w:t>) instalacyjny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2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Sprzętowa oraz programowa korekta homogeniczności pola po wprowadzeniu do magnesu pacjenta i cewek odbiorczych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239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Homogeniczność pola magnetycznego, wartość gwarantowana mierzona metodą Volume-</w:t>
            </w:r>
            <w:proofErr w:type="spellStart"/>
            <w:r w:rsidRPr="00212BBB">
              <w:rPr>
                <w:rFonts w:ascii="Arial" w:hAnsi="Arial" w:cs="Arial"/>
              </w:rPr>
              <w:t>root</w:t>
            </w:r>
            <w:proofErr w:type="spellEnd"/>
            <w:r w:rsidRPr="00212BBB">
              <w:rPr>
                <w:rFonts w:ascii="Arial" w:hAnsi="Arial" w:cs="Arial"/>
              </w:rPr>
              <w:t>-</w:t>
            </w:r>
            <w:proofErr w:type="spellStart"/>
            <w:r w:rsidRPr="00212BBB">
              <w:rPr>
                <w:rFonts w:ascii="Arial" w:hAnsi="Arial" w:cs="Arial"/>
              </w:rPr>
              <w:t>mean-square</w:t>
            </w:r>
            <w:proofErr w:type="spellEnd"/>
            <w:r w:rsidRPr="00212BBB">
              <w:rPr>
                <w:rFonts w:ascii="Arial" w:hAnsi="Arial" w:cs="Arial"/>
              </w:rPr>
              <w:t xml:space="preserve"> dla min. 24 płaszczyzn pomiarowych dla kuli (DSV - </w:t>
            </w:r>
            <w:proofErr w:type="spellStart"/>
            <w:r w:rsidRPr="00212BBB">
              <w:rPr>
                <w:rFonts w:ascii="Arial" w:hAnsi="Arial" w:cs="Arial"/>
              </w:rPr>
              <w:t>Diameter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spherical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volume</w:t>
            </w:r>
            <w:proofErr w:type="spellEnd"/>
            <w:r w:rsidRPr="00212BBB">
              <w:rPr>
                <w:rFonts w:ascii="Arial" w:hAnsi="Arial" w:cs="Arial"/>
              </w:rPr>
              <w:t>) w minimum 20 punktach pomiarowych: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t>11.1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 średnicy 10 cm, nie więcej niż 0,05 ppm </w:t>
            </w:r>
            <w:r w:rsidRPr="00212BBB">
              <w:rPr>
                <w:rFonts w:ascii="Arial" w:hAnsi="Arial" w:cs="Arial"/>
                <w:i/>
              </w:rPr>
              <w:t>– podać wartość [ppm]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t>11.2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 średnicy 20 cm, nie więcej niż 0,15 ppm </w:t>
            </w:r>
            <w:r w:rsidRPr="00212BBB">
              <w:rPr>
                <w:rFonts w:ascii="Arial" w:hAnsi="Arial" w:cs="Arial"/>
                <w:i/>
              </w:rPr>
              <w:t>– podać wartość [ppm]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t>11.3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 średnicy 30 cm, nie więcej niż 0,5 ppm </w:t>
            </w:r>
            <w:r w:rsidRPr="00212BBB">
              <w:rPr>
                <w:rFonts w:ascii="Arial" w:hAnsi="Arial" w:cs="Arial"/>
                <w:i/>
              </w:rPr>
              <w:t>– podać wartość [ppm]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t>11.4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 średnicy 40 cm, nie więcej niż 1,5 ppm </w:t>
            </w:r>
            <w:r w:rsidRPr="00212BBB">
              <w:rPr>
                <w:rFonts w:ascii="Arial" w:hAnsi="Arial" w:cs="Arial"/>
                <w:i/>
              </w:rPr>
              <w:t>– podać wartość [ppm]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454" w:rsidRDefault="00B81454" w:rsidP="00B8145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Najni</w:t>
            </w:r>
            <w:r w:rsidRPr="00212BBB">
              <w:rPr>
                <w:rFonts w:ascii="Arial" w:hAnsi="Arial" w:cs="Arial"/>
              </w:rPr>
              <w:t>ższa wartość</w:t>
            </w:r>
            <w:r>
              <w:rPr>
                <w:rFonts w:ascii="Arial" w:hAnsi="Arial" w:cs="Arial"/>
              </w:rPr>
              <w:t xml:space="preserve"> -</w:t>
            </w:r>
            <w:r w:rsidRPr="00212BBB">
              <w:rPr>
                <w:rFonts w:ascii="Arial" w:hAnsi="Arial" w:cs="Arial"/>
              </w:rPr>
              <w:t xml:space="preserve"> </w:t>
            </w:r>
            <w:r w:rsidR="00874AEB">
              <w:rPr>
                <w:rFonts w:ascii="Arial" w:hAnsi="Arial" w:cs="Arial"/>
              </w:rPr>
              <w:t>3</w:t>
            </w:r>
            <w:r w:rsidRPr="00212BBB">
              <w:rPr>
                <w:rFonts w:ascii="Arial" w:hAnsi="Arial" w:cs="Arial"/>
              </w:rPr>
              <w:t xml:space="preserve"> </w:t>
            </w:r>
            <w:r w:rsidRPr="00212BBB">
              <w:rPr>
                <w:rFonts w:ascii="Arial" w:hAnsi="Arial" w:cs="Arial"/>
              </w:rPr>
              <w:lastRenderedPageBreak/>
              <w:t xml:space="preserve">pkt. </w:t>
            </w:r>
          </w:p>
          <w:p w:rsidR="00B81454" w:rsidRPr="00212BBB" w:rsidRDefault="00B81454" w:rsidP="00B8145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Graniczna – 0 pkt</w:t>
            </w:r>
          </w:p>
          <w:p w:rsidR="00CE1302" w:rsidRPr="00212BBB" w:rsidRDefault="00B81454" w:rsidP="00B81454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Pozostałe </w:t>
            </w:r>
            <w:r>
              <w:rPr>
                <w:rFonts w:ascii="Arial" w:hAnsi="Arial" w:cs="Arial"/>
              </w:rPr>
              <w:t>- proporcjonalnie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B81454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454" w:rsidRPr="00212BBB" w:rsidRDefault="00B81454" w:rsidP="00E34EEB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t>11.5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454" w:rsidRPr="00212BBB" w:rsidRDefault="00B81454" w:rsidP="00B81454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 średnicy</w:t>
            </w:r>
            <w:r>
              <w:rPr>
                <w:rFonts w:ascii="Arial" w:hAnsi="Arial" w:cs="Arial"/>
              </w:rPr>
              <w:t xml:space="preserve"> 45 cm do 50 cm </w:t>
            </w:r>
            <w:r w:rsidRPr="00212BBB">
              <w:rPr>
                <w:rFonts w:ascii="Arial" w:hAnsi="Arial" w:cs="Arial"/>
              </w:rPr>
              <w:t xml:space="preserve">nie więcej niż 5,5 ppm </w:t>
            </w:r>
            <w:r w:rsidRPr="00212BBB">
              <w:rPr>
                <w:rFonts w:ascii="Arial" w:hAnsi="Arial" w:cs="Arial"/>
                <w:i/>
              </w:rPr>
              <w:t>– podać wartość [ppm]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454" w:rsidRPr="00212BBB" w:rsidRDefault="00B81454" w:rsidP="00DA1044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454" w:rsidRPr="00212BBB" w:rsidRDefault="00B81454" w:rsidP="00DA1044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454" w:rsidRPr="00212BBB" w:rsidRDefault="00B81454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Maksymalny wymiar FOV (field of </w:t>
            </w:r>
            <w:proofErr w:type="spellStart"/>
            <w:r w:rsidRPr="00212BBB">
              <w:rPr>
                <w:rFonts w:ascii="Arial" w:hAnsi="Arial" w:cs="Arial"/>
              </w:rPr>
              <w:t>view</w:t>
            </w:r>
            <w:proofErr w:type="spellEnd"/>
            <w:r w:rsidRPr="00212BBB">
              <w:rPr>
                <w:rFonts w:ascii="Arial" w:hAnsi="Arial" w:cs="Arial"/>
              </w:rPr>
              <w:t xml:space="preserve">)(statyczny) ≥ 48 [cm] – </w:t>
            </w:r>
            <w:r w:rsidRPr="00212BBB">
              <w:rPr>
                <w:rFonts w:ascii="Arial" w:hAnsi="Arial" w:cs="Arial"/>
                <w:i/>
              </w:rPr>
              <w:t>Podać wartość dla wszystkich osi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Średnica otworu </w:t>
            </w:r>
            <w:proofErr w:type="spellStart"/>
            <w:r w:rsidRPr="00212BBB">
              <w:rPr>
                <w:rFonts w:ascii="Arial" w:hAnsi="Arial" w:cs="Arial"/>
              </w:rPr>
              <w:t>gantry</w:t>
            </w:r>
            <w:proofErr w:type="spellEnd"/>
            <w:r w:rsidRPr="00212BBB">
              <w:rPr>
                <w:rFonts w:ascii="Arial" w:hAnsi="Arial" w:cs="Arial"/>
              </w:rPr>
              <w:t xml:space="preserve"> aparatu w najwęższym miejscu ≥ 70 cm (podać wartość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AbsatzTableFormat"/>
              <w:rPr>
                <w:szCs w:val="22"/>
              </w:rPr>
            </w:pPr>
            <w:r w:rsidRPr="00212BBB">
              <w:rPr>
                <w:bCs/>
                <w:szCs w:val="22"/>
              </w:rPr>
              <w:t xml:space="preserve">Wymiar pola rozproszonego 5 Gauss (0,5 </w:t>
            </w:r>
            <w:proofErr w:type="spellStart"/>
            <w:r w:rsidRPr="00212BBB">
              <w:rPr>
                <w:bCs/>
                <w:szCs w:val="22"/>
              </w:rPr>
              <w:t>mT</w:t>
            </w:r>
            <w:proofErr w:type="spellEnd"/>
            <w:r w:rsidRPr="00212BBB">
              <w:rPr>
                <w:bCs/>
                <w:szCs w:val="22"/>
              </w:rPr>
              <w:t xml:space="preserve">) w płaszczyźnie X/Y </w:t>
            </w:r>
            <w:r w:rsidRPr="00212BBB">
              <w:rPr>
                <w:szCs w:val="22"/>
              </w:rPr>
              <w:t>≤ 3,0 m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AbsatzTableFormat"/>
              <w:rPr>
                <w:szCs w:val="22"/>
              </w:rPr>
            </w:pPr>
            <w:r w:rsidRPr="00212BBB">
              <w:rPr>
                <w:bCs/>
                <w:szCs w:val="22"/>
              </w:rPr>
              <w:t xml:space="preserve">Wymiar pola rozproszonego 5 Gauss (0,5 </w:t>
            </w:r>
            <w:proofErr w:type="spellStart"/>
            <w:r w:rsidRPr="00212BBB">
              <w:rPr>
                <w:bCs/>
                <w:szCs w:val="22"/>
              </w:rPr>
              <w:t>mT</w:t>
            </w:r>
            <w:proofErr w:type="spellEnd"/>
            <w:r w:rsidRPr="00212BBB">
              <w:rPr>
                <w:bCs/>
                <w:szCs w:val="22"/>
              </w:rPr>
              <w:t xml:space="preserve">) w osi Z </w:t>
            </w:r>
            <w:r w:rsidRPr="00212BBB">
              <w:rPr>
                <w:szCs w:val="22"/>
              </w:rPr>
              <w:t>≤ 5,0 m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System gradientowy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Cewki gradientowe chłodzone wraz z pakietem redukującym hałas generowany przez gradienty. </w:t>
            </w:r>
            <w:r w:rsidRPr="00212BBB">
              <w:rPr>
                <w:rFonts w:ascii="Arial" w:hAnsi="Arial" w:cs="Arial"/>
                <w:i/>
              </w:rPr>
              <w:t>Podać maksymalny poziom hałasu [</w:t>
            </w:r>
            <w:proofErr w:type="spellStart"/>
            <w:r w:rsidRPr="00212BBB">
              <w:rPr>
                <w:rFonts w:ascii="Arial" w:hAnsi="Arial" w:cs="Arial"/>
                <w:i/>
              </w:rPr>
              <w:t>dB</w:t>
            </w:r>
            <w:proofErr w:type="spellEnd"/>
            <w:r w:rsidRPr="00212BBB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Maksymalna, rzeczywista amplituda we wszystkich osiach x, y, z możliwa do zastosowania w obrazowaniu klinicznym w max FOV  nie mniej niż 33 </w:t>
            </w:r>
            <w:proofErr w:type="spellStart"/>
            <w:r w:rsidRPr="00212BBB">
              <w:rPr>
                <w:rFonts w:ascii="Arial" w:hAnsi="Arial" w:cs="Arial"/>
              </w:rPr>
              <w:t>mT</w:t>
            </w:r>
            <w:proofErr w:type="spellEnd"/>
            <w:r w:rsidRPr="00212BBB">
              <w:rPr>
                <w:rFonts w:ascii="Arial" w:hAnsi="Arial" w:cs="Arial"/>
              </w:rPr>
              <w:t xml:space="preserve">/m </w:t>
            </w:r>
            <w:r w:rsidRPr="00212BBB">
              <w:rPr>
                <w:rFonts w:ascii="Arial" w:hAnsi="Arial" w:cs="Arial"/>
                <w:i/>
              </w:rPr>
              <w:t>– Podać [</w:t>
            </w:r>
            <w:proofErr w:type="spellStart"/>
            <w:r w:rsidRPr="00212BBB">
              <w:rPr>
                <w:rFonts w:ascii="Arial" w:hAnsi="Arial" w:cs="Arial"/>
                <w:i/>
              </w:rPr>
              <w:t>mT</w:t>
            </w:r>
            <w:proofErr w:type="spellEnd"/>
            <w:r w:rsidRPr="00212BBB">
              <w:rPr>
                <w:rFonts w:ascii="Arial" w:hAnsi="Arial" w:cs="Arial"/>
                <w:i/>
              </w:rPr>
              <w:t>/m]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Najwyższa wartość</w:t>
            </w:r>
            <w:r w:rsidR="002A7766">
              <w:rPr>
                <w:rFonts w:ascii="Arial" w:hAnsi="Arial" w:cs="Arial"/>
              </w:rPr>
              <w:t xml:space="preserve"> -</w:t>
            </w:r>
            <w:r w:rsidRPr="00212BBB">
              <w:rPr>
                <w:rFonts w:ascii="Arial" w:hAnsi="Arial" w:cs="Arial"/>
              </w:rPr>
              <w:t xml:space="preserve"> </w:t>
            </w:r>
            <w:r w:rsidR="00874AEB">
              <w:rPr>
                <w:rFonts w:ascii="Arial" w:hAnsi="Arial" w:cs="Arial"/>
              </w:rPr>
              <w:t>3</w:t>
            </w:r>
            <w:r w:rsidRPr="00212BBB">
              <w:rPr>
                <w:rFonts w:ascii="Arial" w:hAnsi="Arial" w:cs="Arial"/>
              </w:rPr>
              <w:t xml:space="preserve"> pkt. </w:t>
            </w:r>
          </w:p>
          <w:p w:rsidR="002A7766" w:rsidRPr="00212BBB" w:rsidRDefault="002A7766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Graniczna – 0 pkt</w:t>
            </w:r>
          </w:p>
          <w:p w:rsidR="00CE1302" w:rsidRPr="00212BBB" w:rsidRDefault="00CE1302" w:rsidP="002A7766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Pozostałe </w:t>
            </w:r>
            <w:r w:rsidR="002A7766">
              <w:rPr>
                <w:rFonts w:ascii="Arial" w:hAnsi="Arial" w:cs="Arial"/>
              </w:rPr>
              <w:t>- proporcjonalnie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17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1F779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Maksymalny, rzeczywisty </w:t>
            </w:r>
            <w:proofErr w:type="spellStart"/>
            <w:r w:rsidRPr="00212BBB">
              <w:rPr>
                <w:rFonts w:ascii="Arial" w:hAnsi="Arial" w:cs="Arial"/>
              </w:rPr>
              <w:t>SlewRate</w:t>
            </w:r>
            <w:proofErr w:type="spellEnd"/>
            <w:r w:rsidRPr="00212BBB">
              <w:rPr>
                <w:rFonts w:ascii="Arial" w:hAnsi="Arial" w:cs="Arial"/>
              </w:rPr>
              <w:t xml:space="preserve"> (we wszystkich osiach x, y, z), możliwy do zastosowania w obrazowaniu klinicznym, w max FOV nie mniej niż 12</w:t>
            </w:r>
            <w:r w:rsidR="001F7798">
              <w:rPr>
                <w:rFonts w:ascii="Arial" w:hAnsi="Arial" w:cs="Arial"/>
              </w:rPr>
              <w:t>0</w:t>
            </w:r>
            <w:r w:rsidRPr="00212BBB">
              <w:rPr>
                <w:rFonts w:ascii="Arial" w:hAnsi="Arial" w:cs="Arial"/>
              </w:rPr>
              <w:t xml:space="preserve"> T/m/s. </w:t>
            </w:r>
            <w:r w:rsidRPr="00212BBB">
              <w:rPr>
                <w:rFonts w:ascii="Arial" w:hAnsi="Arial" w:cs="Arial"/>
                <w:i/>
              </w:rPr>
              <w:lastRenderedPageBreak/>
              <w:t>– Podać [T/m/s]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766" w:rsidRDefault="002A7766" w:rsidP="002A7766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Najwyższa wartość</w:t>
            </w:r>
            <w:r>
              <w:rPr>
                <w:rFonts w:ascii="Arial" w:hAnsi="Arial" w:cs="Arial"/>
              </w:rPr>
              <w:t xml:space="preserve"> -</w:t>
            </w:r>
            <w:r w:rsidRPr="00212BBB">
              <w:rPr>
                <w:rFonts w:ascii="Arial" w:hAnsi="Arial" w:cs="Arial"/>
              </w:rPr>
              <w:t xml:space="preserve"> </w:t>
            </w:r>
            <w:r w:rsidR="00874AEB">
              <w:rPr>
                <w:rFonts w:ascii="Arial" w:hAnsi="Arial" w:cs="Arial"/>
              </w:rPr>
              <w:t>3</w:t>
            </w:r>
            <w:r w:rsidRPr="00212BBB">
              <w:rPr>
                <w:rFonts w:ascii="Arial" w:hAnsi="Arial" w:cs="Arial"/>
              </w:rPr>
              <w:t xml:space="preserve"> pkt. </w:t>
            </w:r>
          </w:p>
          <w:p w:rsidR="002A7766" w:rsidRPr="00212BBB" w:rsidRDefault="002A7766" w:rsidP="002A776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Graniczna – 0 pkt</w:t>
            </w:r>
          </w:p>
          <w:p w:rsidR="00CE1302" w:rsidRPr="00212BBB" w:rsidRDefault="002A7766" w:rsidP="002A7766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Pozostałe </w:t>
            </w:r>
            <w:r>
              <w:rPr>
                <w:rFonts w:ascii="Arial" w:hAnsi="Arial" w:cs="Arial"/>
              </w:rPr>
              <w:t>- proporcjonalnie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E34EEB">
        <w:trPr>
          <w:trHeight w:val="17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Min TR (</w:t>
            </w:r>
            <w:proofErr w:type="spellStart"/>
            <w:r w:rsidRPr="00212BBB">
              <w:rPr>
                <w:rFonts w:ascii="Arial" w:hAnsi="Arial" w:cs="Arial"/>
              </w:rPr>
              <w:t>repetition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time</w:t>
            </w:r>
            <w:proofErr w:type="spellEnd"/>
            <w:r w:rsidRPr="00212BBB">
              <w:rPr>
                <w:rFonts w:ascii="Arial" w:hAnsi="Arial" w:cs="Arial"/>
              </w:rPr>
              <w:t xml:space="preserve">) dla sekwencji EPI (DWI - </w:t>
            </w:r>
            <w:proofErr w:type="spellStart"/>
            <w:r w:rsidRPr="00212BBB">
              <w:rPr>
                <w:rFonts w:ascii="Arial" w:hAnsi="Arial" w:cs="Arial"/>
              </w:rPr>
              <w:t>diffusion-weighted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imaging</w:t>
            </w:r>
            <w:proofErr w:type="spellEnd"/>
            <w:r w:rsidRPr="00212BBB">
              <w:rPr>
                <w:rFonts w:ascii="Arial" w:hAnsi="Arial" w:cs="Arial"/>
              </w:rPr>
              <w:t>) przy matrycy 256x256, możliwy do uzyskania w zaoferowanej konfiguracji cewek (ocena wydajności systemu gradientowego) (podać wartość [ms])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E34EEB">
        <w:trPr>
          <w:trHeight w:val="17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Min TE (echo time) dla sekwencji EPI (Echo </w:t>
            </w:r>
            <w:proofErr w:type="spellStart"/>
            <w:r w:rsidRPr="00212BBB">
              <w:rPr>
                <w:rFonts w:ascii="Arial" w:hAnsi="Arial" w:cs="Arial"/>
              </w:rPr>
              <w:t>Planar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Imaging</w:t>
            </w:r>
            <w:proofErr w:type="spellEnd"/>
            <w:r w:rsidRPr="00212BBB">
              <w:rPr>
                <w:rFonts w:ascii="Arial" w:hAnsi="Arial" w:cs="Arial"/>
              </w:rPr>
              <w:t>) (DWI) przy matrycy 256x256, możliwy do uzyskania w zaoferowanej konfiguracji cewek (ocena wydajności systemu gradientowego) (podać wartość [ms])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E34EEB">
        <w:trPr>
          <w:trHeight w:val="253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 xml:space="preserve">System RF (radio </w:t>
            </w:r>
            <w:proofErr w:type="spellStart"/>
            <w:r w:rsidRPr="00212BBB">
              <w:rPr>
                <w:rFonts w:ascii="Arial" w:hAnsi="Arial" w:cs="Arial"/>
                <w:b/>
              </w:rPr>
              <w:t>frequency</w:t>
            </w:r>
            <w:proofErr w:type="spellEnd"/>
            <w:r w:rsidRPr="00212BBB">
              <w:rPr>
                <w:rFonts w:ascii="Arial" w:hAnsi="Arial" w:cs="Arial"/>
                <w:b/>
              </w:rPr>
              <w:t>)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Moc wzmacniacza RF ≥ 15 kW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17A63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874AEB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Najwyższa wartość – 2</w:t>
            </w:r>
            <w:r w:rsidR="004A25EC">
              <w:rPr>
                <w:rFonts w:ascii="Arial" w:hAnsi="Arial" w:cs="Arial"/>
              </w:rPr>
              <w:t xml:space="preserve"> pkt</w:t>
            </w:r>
          </w:p>
          <w:p w:rsidR="004A25EC" w:rsidRDefault="004A25EC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graniczna – 0 pkt</w:t>
            </w:r>
          </w:p>
          <w:p w:rsidR="004A25EC" w:rsidRPr="00212BBB" w:rsidRDefault="004A25EC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- proporcjonalnie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System z transmisją cyfrową i optyczną.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999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NormalnyWeb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2BBB">
              <w:rPr>
                <w:rFonts w:ascii="Arial" w:hAnsi="Arial" w:cs="Arial"/>
                <w:sz w:val="22"/>
                <w:szCs w:val="22"/>
              </w:rPr>
              <w:t>Maksymalna liczba elementów obrazujących zaoferowanych cewek możliwa do wykorzystania jednocześnie w obrazowaniu równoległym w pojedynczym skanie i pojedynczym FOV ≥ 32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Dynamika sygnału (SNR - </w:t>
            </w:r>
            <w:proofErr w:type="spellStart"/>
            <w:r w:rsidRPr="00212BBB">
              <w:rPr>
                <w:rFonts w:ascii="Arial" w:hAnsi="Arial" w:cs="Arial"/>
              </w:rPr>
              <w:t>signal</w:t>
            </w:r>
            <w:proofErr w:type="spellEnd"/>
            <w:r w:rsidRPr="00212BBB">
              <w:rPr>
                <w:rFonts w:ascii="Arial" w:hAnsi="Arial" w:cs="Arial"/>
              </w:rPr>
              <w:t xml:space="preserve"> to </w:t>
            </w:r>
            <w:proofErr w:type="spellStart"/>
            <w:r w:rsidRPr="00212BBB">
              <w:rPr>
                <w:rFonts w:ascii="Arial" w:hAnsi="Arial" w:cs="Arial"/>
              </w:rPr>
              <w:t>noise</w:t>
            </w:r>
            <w:proofErr w:type="spellEnd"/>
            <w:r w:rsidRPr="00212BBB">
              <w:rPr>
                <w:rFonts w:ascii="Arial" w:hAnsi="Arial" w:cs="Arial"/>
              </w:rPr>
              <w:t xml:space="preserve"> ratio) sekcji odbiorczej modułu RF </w:t>
            </w:r>
            <w:r w:rsidRPr="00212BBB">
              <w:rPr>
                <w:rFonts w:ascii="Arial" w:hAnsi="Arial" w:cs="Arial"/>
                <w:i/>
              </w:rPr>
              <w:t>– Podać [</w:t>
            </w:r>
            <w:proofErr w:type="spellStart"/>
            <w:r w:rsidRPr="00212BBB">
              <w:rPr>
                <w:rFonts w:ascii="Arial" w:hAnsi="Arial" w:cs="Arial"/>
                <w:i/>
              </w:rPr>
              <w:t>dB</w:t>
            </w:r>
            <w:proofErr w:type="spellEnd"/>
            <w:r w:rsidRPr="00212BBB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Cyfrowa filtracja RF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  <w:bCs/>
              </w:rPr>
            </w:pPr>
          </w:p>
        </w:tc>
      </w:tr>
      <w:tr w:rsidR="00CE1302" w:rsidRPr="00212BBB" w:rsidTr="00E34EEB">
        <w:trPr>
          <w:trHeight w:val="133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Kontrola częstotliwości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20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Kontrola fazy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Kontrola amplitudy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minimalizacji SAR (</w:t>
            </w:r>
            <w:proofErr w:type="spellStart"/>
            <w:r w:rsidRPr="00212BBB">
              <w:rPr>
                <w:rFonts w:ascii="Arial" w:hAnsi="Arial" w:cs="Arial"/>
              </w:rPr>
              <w:t>specific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absorption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rate</w:t>
            </w:r>
            <w:proofErr w:type="spellEnd"/>
            <w:r w:rsidRPr="00212BBB">
              <w:rPr>
                <w:rFonts w:ascii="Arial" w:hAnsi="Arial" w:cs="Arial"/>
              </w:rPr>
              <w:t xml:space="preserve">) </w:t>
            </w:r>
            <w:r w:rsidRPr="00212BBB">
              <w:rPr>
                <w:rFonts w:ascii="Arial" w:hAnsi="Arial" w:cs="Arial"/>
                <w:i/>
              </w:rPr>
              <w:t>(podać nazwę)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Liczba cewek możliwa jednocześnie do podłączenia do systemu MR (</w:t>
            </w:r>
            <w:proofErr w:type="spellStart"/>
            <w:r w:rsidRPr="00212BBB">
              <w:rPr>
                <w:rFonts w:ascii="Arial" w:hAnsi="Arial" w:cs="Arial"/>
              </w:rPr>
              <w:t>magnetic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resonance</w:t>
            </w:r>
            <w:proofErr w:type="spellEnd"/>
            <w:r w:rsidRPr="00212BBB">
              <w:rPr>
                <w:rFonts w:ascii="Arial" w:hAnsi="Arial" w:cs="Arial"/>
              </w:rPr>
              <w:t>) ≥ 3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Szerokość pasma przenoszenia odbiornika ≥ 1 MHz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Cewki</w:t>
            </w:r>
          </w:p>
        </w:tc>
      </w:tr>
      <w:tr w:rsidR="00CE1302" w:rsidRPr="00212BBB" w:rsidTr="00E34EEB">
        <w:trPr>
          <w:trHeight w:val="15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Zintegrowana cewka nadawczo – odbiorcza do badań całego ciała (hole body)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Wielokanałowa, dedykowana cewka przeznaczona do badań głowy i szyi pozwalająca na akwizycje równoległe.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Wymagane min. 16  kanałów odbiorczych/elementów odbiorczych w obrębie badanego obiektu. Podać ilość kanałów odbiorczych/elementów odbiorczych, nazwę zaoferowanej cewki (lub zestawu cewek) i techniki obrazowania równoległego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Regulacja kąta pochylenia cewki z punktu 34 umożliwiająca komfortowe badanie osób chorych.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 cewka lub zestaw cewek do badania całego kręgosłupa w zakresie min. 100 cm,  umożliwiająca stosowanie akwizycji równoległych całego obiektu; (Do realizacji funkcjonalności mogą być wykorzystane cewki oferowane w innych punktach)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24 kanały odbiorcze/elementy odbiorcze. Podać ilość kanałów odbiorczych/elementów odbiorczych, nazwę zaoferowanej cewki (lub zestawu cewek) zgodnie z nomenklaturą producenta i techniki obrazowania równoległego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179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 cewka powierzchniowa lub zestaw cewek do badania jamy brzusznej i klatki piersiowej w zakresie co najmniej max FOV urządzenia, umożliwiająca stosowanie w obrębie całego badanego obiektu akwizycji równoległych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12 kanałów odbiorczych/elementów odbiorczych w obrębie badanego obiektu - Podać nazwę zaoferowanej cewki (lub zestawu cewek) i techniki równoległej.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180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 cewka do badania stawu barkowego pozwalająca na akwizycje równoległe (Do realizacji funkcjonalności mogą być wykorzystane cewki oferowane w innych punktach)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3 kanały odbiorcze/elementy odbiorcze w obrębie badanego obiektu. Podać ilość kanałów odbiorczych/elementów odbiorczych nazwę zaoferowanej cewki i techniki obrazowania równoległego.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24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 cewka nadawczo odbiorcza dedykowana do badania stawu kolanowego pozwalająca na akwizycje równoległe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8 kanałów odbiorcze/elementy odbiorcze w obrębie badanego obiektu. Podać ilość kanałów odbiorczych/elementów odbiorczych nazwę zaoferowanej cewki i techniki obrazowania równoległego.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F930A4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F99" w:rsidRDefault="00F930A4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9723CD">
              <w:rPr>
                <w:rFonts w:ascii="Arial" w:hAnsi="Arial" w:cs="Arial"/>
              </w:rPr>
              <w:t xml:space="preserve">Wielokanałowa cewka nadawczo odbiorcza dedykowana do badania stawu kolanowego pozwalająca na akwizycje równoległe min. </w:t>
            </w:r>
            <w:r w:rsidR="007F4F99">
              <w:rPr>
                <w:rFonts w:ascii="Arial" w:hAnsi="Arial" w:cs="Arial"/>
              </w:rPr>
              <w:t>8 kanałów / elementów – 1 pkt</w:t>
            </w:r>
            <w:r w:rsidRPr="009723CD">
              <w:rPr>
                <w:rFonts w:ascii="Arial" w:hAnsi="Arial" w:cs="Arial"/>
              </w:rPr>
              <w:t xml:space="preserve"> </w:t>
            </w:r>
          </w:p>
          <w:p w:rsidR="00CE1302" w:rsidRPr="009723CD" w:rsidRDefault="007F4F99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Rozwiązania</w:t>
            </w:r>
            <w:r w:rsidR="00F930A4" w:rsidRPr="009723CD">
              <w:rPr>
                <w:rFonts w:ascii="Arial" w:hAnsi="Arial" w:cs="Arial"/>
                <w:bCs/>
              </w:rPr>
              <w:t xml:space="preserve"> dopuszczone przez Zamawiającego – 0 pkt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24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Cewka elastyczna lub częściowo elastyczna umożliwiająca obrazowanie kończyn, podudzia, kolana (obrzękniętego stawu), łokcia oraz nadgarstka pozwalająca na akwizycje równoległe.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8 kanałów odbiorczych/elementów odbiorczych w obrębie badanego obiektu. Podać ilość kanałów odbiorczych/elementów odbiorczych, nazwę zaoferowanej cewki i techniki obrazowania równoległego.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Cewka elastyczna typu „średni </w:t>
            </w:r>
            <w:proofErr w:type="spellStart"/>
            <w:r w:rsidRPr="00212BBB">
              <w:rPr>
                <w:rFonts w:ascii="Arial" w:hAnsi="Arial" w:cs="Arial"/>
              </w:rPr>
              <w:t>flex</w:t>
            </w:r>
            <w:proofErr w:type="spellEnd"/>
            <w:r w:rsidRPr="00212BBB">
              <w:rPr>
                <w:rFonts w:ascii="Arial" w:hAnsi="Arial" w:cs="Arial"/>
              </w:rPr>
              <w:t>” lub równoważna, umożliwiająca badania tętnic szyjnych, stawów skroniowo-żuchwowych oraz obrazowania małych stawów (np. łokieć, przedramię nadgarstek, kostka)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4 kanały odbiorcze/elementy odbiorcze w obrębie badanego obiektu. Podać ilość kanałów odbiorczych/elementów odbiorczych, nazwę zaoferowanej cewki i techniki obrazowania równoległego.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81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Dla zaoferowanych cewek elastycznych kompletny zestaw stabilizatorów pozwalający unieruchomić badany staw (w tym min.: stopa,  staw skokowy, staw kolanowy, staw barkowy)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System do uporządkowanego przechowywania oferowanych cewek i fantomów  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Otoczenie pacjenta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Maksymalna dopuszczalna masa pacjenta przy uwzględnieniu ruchu pionowego stołu minimum 250 kg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Minimalna wysokość stołu nad podłogą ≤ 55 cm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Kompletny system monitorowania pacjenta (EKG, puls i oddech) dla wypracowania sygnałów synchronizujących.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Dwukierunkowy system do komunikacji z pacjentem.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Sygnalizacja dodatkowa, np.: gruszka lub przycisk.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Marker laserowy lub świetlny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Nawiew powietrza w tunelu pacjenta.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Słuchawki (2 szt.)  dla pacjenta tłumiące hałas (jedne nauszne, drugie douszne)</w:t>
            </w:r>
            <w:r>
              <w:rPr>
                <w:rFonts w:ascii="Arial" w:hAnsi="Arial" w:cs="Arial"/>
              </w:rPr>
              <w:t xml:space="preserve"> </w:t>
            </w:r>
            <w:r w:rsidRPr="00212BBB">
              <w:rPr>
                <w:rFonts w:ascii="Arial" w:hAnsi="Arial" w:cs="Arial"/>
              </w:rPr>
              <w:t xml:space="preserve"> z  podłączeniem do systemu muzycznego  i dwukierunkowej komunikacji z pacjentem, dopuszczone do pracy w środowisku rezonansu magnetycznego</w:t>
            </w:r>
            <w:r w:rsidR="002A776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2A7766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2A7766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ze słuchawkami dousznymi – 2 pkt</w:t>
            </w:r>
          </w:p>
          <w:p w:rsidR="002A7766" w:rsidRPr="00212BBB" w:rsidRDefault="002A7766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bez słuchawek dousznych – 0 pkt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Zestaw podkładek do pozycjonowania przy różnych typach badań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dokonywania pauzy podczas sekwencji akwizycyjnych bez utraty danych zebranych w danej sekwencji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Kamera +  monitor umożliwiające obserwację badanego pacjenta ze sterowni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Rutynowe badania neurologiczne</w:t>
            </w:r>
          </w:p>
        </w:tc>
      </w:tr>
      <w:tr w:rsidR="00CE1302" w:rsidRPr="00212BBB" w:rsidTr="00E34EEB">
        <w:trPr>
          <w:trHeight w:val="44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Rutynowe badania morfologiczne obszaru głowy, kręgosłupa i rdzenia kręgowego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Sekwencje do badania układu nerwowego i przestrzeni płynowych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Sekwencje typu FSE (Fast Spin Echo) do wysokorozdzielczych badań wolumetrycznych T1, T2 i FLAIR (</w:t>
            </w:r>
            <w:r w:rsidRPr="00212BBB">
              <w:rPr>
                <w:rFonts w:ascii="Arial" w:hAnsi="Arial" w:cs="Arial"/>
                <w:i/>
                <w:iCs/>
              </w:rPr>
              <w:t>fluid-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attenuated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inversion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recovery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>)</w:t>
            </w:r>
            <w:r w:rsidRPr="00212BBB">
              <w:rPr>
                <w:rFonts w:ascii="Arial" w:hAnsi="Arial" w:cs="Arial"/>
              </w:rPr>
              <w:t xml:space="preserve">, umożliwiające szybkie rekonstrukcje warstw w dowolnej płaszczyźnie </w:t>
            </w:r>
            <w:r w:rsidRPr="00212BBB">
              <w:rPr>
                <w:rFonts w:ascii="Arial" w:hAnsi="Arial" w:cs="Arial"/>
              </w:rPr>
              <w:br/>
              <w:t xml:space="preserve">i o dowolnej grubości (także poniżej 1 mm) bez straty jakości obrazu (Fast Spin Echo, Turbo Spin Echo, Flair, Dark </w:t>
            </w:r>
            <w:r w:rsidRPr="00615F7A">
              <w:rPr>
                <w:rFonts w:ascii="Arial" w:hAnsi="Arial" w:cs="Arial"/>
              </w:rPr>
              <w:t>Fluid lub równoważne)</w:t>
            </w:r>
            <w:r>
              <w:rPr>
                <w:rFonts w:ascii="Arial" w:hAnsi="Arial" w:cs="Arial"/>
              </w:rPr>
              <w:t xml:space="preserve"> 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>Sekwencje typu GRE (</w:t>
            </w:r>
            <w:r w:rsidRPr="00212BBB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Pr="00212BBB">
              <w:rPr>
                <w:rFonts w:ascii="Arial" w:eastAsia="SimSun" w:hAnsi="Arial" w:cs="Arial"/>
                <w:i/>
                <w:iCs/>
                <w:color w:val="auto"/>
                <w:kern w:val="0"/>
                <w:sz w:val="22"/>
                <w:szCs w:val="22"/>
              </w:rPr>
              <w:t xml:space="preserve">gradient </w:t>
            </w:r>
            <w:proofErr w:type="spellStart"/>
            <w:r w:rsidRPr="00212BBB">
              <w:rPr>
                <w:rFonts w:ascii="Arial" w:eastAsia="SimSun" w:hAnsi="Arial" w:cs="Arial"/>
                <w:i/>
                <w:iCs/>
                <w:color w:val="auto"/>
                <w:kern w:val="0"/>
                <w:sz w:val="22"/>
                <w:szCs w:val="22"/>
              </w:rPr>
              <w:t>recalled</w:t>
            </w:r>
            <w:proofErr w:type="spellEnd"/>
            <w:r w:rsidRPr="00212BBB">
              <w:rPr>
                <w:rFonts w:ascii="Arial" w:eastAsia="SimSun" w:hAnsi="Arial" w:cs="Arial"/>
                <w:i/>
                <w:iCs/>
                <w:color w:val="auto"/>
                <w:kern w:val="0"/>
                <w:sz w:val="22"/>
                <w:szCs w:val="22"/>
              </w:rPr>
              <w:t xml:space="preserve"> echo</w:t>
            </w:r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>) do wysokorozdzielczych badań wolumetrycznych mózgu T1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Techniki obrazowania zakończeń nerwowych w rdzeniu kręgowym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Trójwymiarowe sekwencje do wysokorozdzielczego obrazowania drobnych struktur anatomicznych takich jak nerwy wewnątrzczaszkowe, ucha wewnętrznego czy kręgosłupa szyjnego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Sekwencje pozwalające na uzyskanie kilku typów obrazów m.in. tłumienia tłuszczu podczas jednej akwizycji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Default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 xml:space="preserve">Obrazowanie ważone podatnością magnetyczną tkanki (SWI - </w:t>
            </w:r>
            <w:proofErr w:type="spellStart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>susceptibi</w:t>
            </w:r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softHyphen/>
              <w:t>lity</w:t>
            </w:r>
            <w:proofErr w:type="spellEnd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>weighted</w:t>
            </w:r>
            <w:proofErr w:type="spellEnd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>imaging</w:t>
            </w:r>
            <w:proofErr w:type="spellEnd"/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Sekwencje do badań drobnych struktur OUN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pozycjonowanie i ułożenie przekrojów skanu lokalizującego głowy na podstawie jej cech anatomicznych, funkcjonujące niezależnie od wieku pacjenta, ułożenia głowy, czy ewentualnych zmian patologicznych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Dedykowane oprogramowanie umożliwiające zautomatyzowane przeprowadzanie badań mózgu w sposób powtarzalny dla każdego pacjenta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DWI w oparciu o sekwencje EPI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DWI z wysoką rozdzielczością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Wymagana  wartość współczynnika b w DWI w zakresie min: od 0 s/mm</w:t>
            </w:r>
            <w:r w:rsidRPr="00212BBB">
              <w:rPr>
                <w:rFonts w:ascii="Arial" w:hAnsi="Arial" w:cs="Arial"/>
                <w:vertAlign w:val="superscript"/>
              </w:rPr>
              <w:t xml:space="preserve">2 </w:t>
            </w:r>
            <w:r w:rsidRPr="00212BBB">
              <w:rPr>
                <w:rFonts w:ascii="Arial" w:hAnsi="Arial" w:cs="Arial"/>
              </w:rPr>
              <w:t>do 10 000 s/mm</w:t>
            </w:r>
            <w:r w:rsidRPr="00212BB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generowanie map ADC (</w:t>
            </w:r>
            <w:proofErr w:type="spellStart"/>
            <w:r w:rsidRPr="00212BBB">
              <w:rPr>
                <w:rFonts w:ascii="Arial" w:hAnsi="Arial" w:cs="Arial"/>
              </w:rPr>
              <w:t>Apparent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Diffusion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Coefficient</w:t>
            </w:r>
            <w:proofErr w:type="spellEnd"/>
            <w:r w:rsidRPr="00212BBB">
              <w:rPr>
                <w:rFonts w:ascii="Arial" w:hAnsi="Arial" w:cs="Arial"/>
              </w:rPr>
              <w:t>) na konsoli podstawowej przy badaniach DWI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DWI całego ciała ( </w:t>
            </w:r>
            <w:proofErr w:type="spellStart"/>
            <w:r w:rsidRPr="00212BBB">
              <w:rPr>
                <w:rFonts w:ascii="Arial" w:hAnsi="Arial" w:cs="Arial"/>
              </w:rPr>
              <w:t>whole</w:t>
            </w:r>
            <w:proofErr w:type="spellEnd"/>
            <w:r w:rsidRPr="00212BBB">
              <w:rPr>
                <w:rFonts w:ascii="Arial" w:hAnsi="Arial" w:cs="Arial"/>
              </w:rPr>
              <w:t xml:space="preserve"> body DWI)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Obrazowanie perfuzji (PWI - </w:t>
            </w:r>
            <w:proofErr w:type="spellStart"/>
            <w:r w:rsidRPr="00212BBB">
              <w:rPr>
                <w:rFonts w:ascii="Arial" w:hAnsi="Arial" w:cs="Arial"/>
              </w:rPr>
              <w:t>perfusion-weighted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imaging</w:t>
            </w:r>
            <w:proofErr w:type="spellEnd"/>
            <w:r w:rsidRPr="00212BBB">
              <w:rPr>
                <w:rFonts w:ascii="Arial" w:hAnsi="Arial" w:cs="Arial"/>
              </w:rPr>
              <w:t>) w oparciu o single-</w:t>
            </w:r>
            <w:proofErr w:type="spellStart"/>
            <w:r w:rsidRPr="00212BBB">
              <w:rPr>
                <w:rFonts w:ascii="Arial" w:hAnsi="Arial" w:cs="Arial"/>
              </w:rPr>
              <w:t>shot</w:t>
            </w:r>
            <w:proofErr w:type="spellEnd"/>
            <w:r w:rsidRPr="00212BBB">
              <w:rPr>
                <w:rFonts w:ascii="Arial" w:hAnsi="Arial" w:cs="Arial"/>
              </w:rPr>
              <w:t xml:space="preserve"> EPI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266BA6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perfuzja mózgu typu </w:t>
            </w:r>
            <w:proofErr w:type="spellStart"/>
            <w:r w:rsidRPr="00212BBB">
              <w:rPr>
                <w:rFonts w:ascii="Arial" w:hAnsi="Arial" w:cs="Arial"/>
              </w:rPr>
              <w:t>Arterial</w:t>
            </w:r>
            <w:proofErr w:type="spellEnd"/>
            <w:r w:rsidRPr="00212BBB">
              <w:rPr>
                <w:rFonts w:ascii="Arial" w:hAnsi="Arial" w:cs="Arial"/>
              </w:rPr>
              <w:t xml:space="preserve"> Spin </w:t>
            </w:r>
            <w:proofErr w:type="spellStart"/>
            <w:r w:rsidRPr="00212BBB">
              <w:rPr>
                <w:rFonts w:ascii="Arial" w:hAnsi="Arial" w:cs="Arial"/>
              </w:rPr>
              <w:t>Labeling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266BA6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266BA6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 –</w:t>
            </w:r>
            <w:r w:rsidR="00CF441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 pkt</w:t>
            </w:r>
          </w:p>
          <w:p w:rsidR="00266BA6" w:rsidRPr="00212BBB" w:rsidRDefault="00266BA6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 – 0 pkt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5D4D18" w:rsidRDefault="00CE1302" w:rsidP="00E34EEB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5D4D18">
              <w:rPr>
                <w:rFonts w:ascii="Arial" w:hAnsi="Arial" w:cs="Arial"/>
                <w:lang w:val="en-US"/>
              </w:rPr>
              <w:t>Obliczanie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prezentacja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map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perfuzyjnych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typu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TTP (Time To Peak), MTT (Mean Transit Time), CBV (Cerebral Blood Volume)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CBF (Cerebral Blood Flow)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Analiza perfuzji </w:t>
            </w:r>
            <w:proofErr w:type="spellStart"/>
            <w:r w:rsidRPr="00212BBB">
              <w:rPr>
                <w:rFonts w:ascii="Arial" w:hAnsi="Arial" w:cs="Arial"/>
              </w:rPr>
              <w:t>bezkontrastowej</w:t>
            </w:r>
            <w:proofErr w:type="spellEnd"/>
            <w:r w:rsidRPr="00212BBB">
              <w:rPr>
                <w:rFonts w:ascii="Arial" w:hAnsi="Arial" w:cs="Arial"/>
              </w:rPr>
              <w:t xml:space="preserve"> na konsoli operatorskiej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 xml:space="preserve">Obrazowanie tensora dyfuzji (DTI - </w:t>
            </w:r>
            <w:proofErr w:type="spellStart"/>
            <w:r w:rsidRPr="00212BBB">
              <w:rPr>
                <w:rFonts w:ascii="Arial" w:hAnsi="Arial" w:cs="Arial"/>
              </w:rPr>
              <w:t>Diffusion</w:t>
            </w:r>
            <w:proofErr w:type="spellEnd"/>
            <w:r w:rsidRPr="00212BBB">
              <w:rPr>
                <w:rFonts w:ascii="Arial" w:hAnsi="Arial" w:cs="Arial"/>
              </w:rPr>
              <w:t xml:space="preserve"> Tensor </w:t>
            </w:r>
            <w:proofErr w:type="spellStart"/>
            <w:r w:rsidRPr="00212BBB">
              <w:rPr>
                <w:rFonts w:ascii="Arial" w:hAnsi="Arial" w:cs="Arial"/>
              </w:rPr>
              <w:t>Imaging</w:t>
            </w:r>
            <w:proofErr w:type="spellEnd"/>
            <w:r w:rsidRPr="00212BBB">
              <w:rPr>
                <w:rFonts w:ascii="Arial" w:hAnsi="Arial" w:cs="Arial"/>
                <w:iCs/>
              </w:rPr>
              <w:t xml:space="preserve">) w oparciu o Single </w:t>
            </w:r>
            <w:proofErr w:type="spellStart"/>
            <w:r w:rsidRPr="00212BBB">
              <w:rPr>
                <w:rFonts w:ascii="Arial" w:hAnsi="Arial" w:cs="Arial"/>
                <w:iCs/>
              </w:rPr>
              <w:t>Shot</w:t>
            </w:r>
            <w:proofErr w:type="spellEnd"/>
            <w:r w:rsidRPr="00212BBB">
              <w:rPr>
                <w:rFonts w:ascii="Arial" w:hAnsi="Arial" w:cs="Arial"/>
                <w:iCs/>
              </w:rPr>
              <w:t xml:space="preserve"> EPI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>Pomiary DTI z różnymi kierunkami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  <w:iCs/>
              </w:rPr>
              <w:t>Traktografia</w:t>
            </w:r>
            <w:proofErr w:type="spellEnd"/>
            <w:r w:rsidRPr="00212BBB">
              <w:rPr>
                <w:rFonts w:ascii="Arial" w:hAnsi="Arial" w:cs="Arial"/>
                <w:iCs/>
              </w:rPr>
              <w:t xml:space="preserve"> Tensora Dyfuzji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Bez kontra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stowa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MRA (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Magnetic</w:t>
            </w:r>
            <w:proofErr w:type="spellEnd"/>
            <w:r w:rsidRPr="00212BBB">
              <w:rPr>
                <w:rStyle w:val="st"/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Resonance</w:t>
            </w:r>
            <w:proofErr w:type="spellEnd"/>
            <w:r w:rsidRPr="00212BBB">
              <w:rPr>
                <w:rStyle w:val="st"/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Angiography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techniką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Time-of-Flight MRA (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ToF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) 2D 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MRA  techniką 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Contrast</w:t>
            </w:r>
            <w:proofErr w:type="spellEnd"/>
            <w:r w:rsidRPr="00212BBB">
              <w:rPr>
                <w:rFonts w:ascii="Arial" w:hAnsi="Arial" w:cs="Arial"/>
              </w:rPr>
              <w:t xml:space="preserve"> MRA (PC) 2D i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Kontrastowe MRA (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4D (3D dynamiczne w czasie) przeznaczona do obrazowania tętnic szyjnych z wysoką rozdzielczością przestrzenną i czasową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Angiografia MR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Bez kontra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stowa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MRA (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Magnetic</w:t>
            </w:r>
            <w:proofErr w:type="spellEnd"/>
            <w:r w:rsidRPr="00212BBB">
              <w:rPr>
                <w:rStyle w:val="st"/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Resonance</w:t>
            </w:r>
            <w:proofErr w:type="spellEnd"/>
            <w:r w:rsidRPr="00212BBB">
              <w:rPr>
                <w:rStyle w:val="st"/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Angiography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techniką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Time-of-Flight MRA (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ToF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) 2D 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MRA  techniką 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Contrast</w:t>
            </w:r>
            <w:proofErr w:type="spellEnd"/>
            <w:r w:rsidRPr="00212BBB">
              <w:rPr>
                <w:rFonts w:ascii="Arial" w:hAnsi="Arial" w:cs="Arial"/>
              </w:rPr>
              <w:t xml:space="preserve"> MRA (PC) 2D i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śledzenie napływu środka kontrastowego (</w:t>
            </w:r>
            <w:proofErr w:type="spellStart"/>
            <w:r w:rsidRPr="00212BBB">
              <w:rPr>
                <w:rFonts w:ascii="Arial" w:hAnsi="Arial" w:cs="Arial"/>
              </w:rPr>
              <w:t>SmartPrep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Care</w:t>
            </w:r>
            <w:proofErr w:type="spellEnd"/>
            <w:r w:rsidRPr="00212BBB">
              <w:rPr>
                <w:rFonts w:ascii="Arial" w:hAnsi="Arial" w:cs="Arial"/>
              </w:rPr>
              <w:t xml:space="preserve"> Bolus, Bolus Trak </w:t>
            </w:r>
            <w:r w:rsidRPr="00615F7A">
              <w:rPr>
                <w:rFonts w:ascii="Arial" w:hAnsi="Arial" w:cs="Arial"/>
              </w:rPr>
              <w:t>lub równoważne</w:t>
            </w:r>
            <w:r>
              <w:rPr>
                <w:rFonts w:ascii="Arial" w:hAnsi="Arial" w:cs="Arial"/>
              </w:rPr>
              <w:t>, 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4D (3D dynamiczne w czasie) przeznaczone do obrazowania obszarów takich jak tętnice, naczynia płucne i naczynia obwodowe, z wysoką rozdzielczością przestrzenną i czasową pozwalające na wizualizację dynamiki napływu i odpływu środka </w:t>
            </w:r>
            <w:r w:rsidRPr="00615F7A">
              <w:rPr>
                <w:rFonts w:ascii="Arial" w:hAnsi="Arial" w:cs="Arial"/>
              </w:rPr>
              <w:t>kontrastującego z obszaru zainteresowania (TRICKS-XV, TWISTS, 4d-TRAK lub równoważne), 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</w:rPr>
              <w:t>Bezkontrastowe</w:t>
            </w:r>
            <w:proofErr w:type="spellEnd"/>
            <w:r w:rsidRPr="00212BBB">
              <w:rPr>
                <w:rFonts w:ascii="Arial" w:hAnsi="Arial" w:cs="Arial"/>
              </w:rPr>
              <w:t xml:space="preserve"> MRA techniką innego typu niż </w:t>
            </w:r>
            <w:proofErr w:type="spellStart"/>
            <w:r w:rsidRPr="00212BBB">
              <w:rPr>
                <w:rFonts w:ascii="Arial" w:hAnsi="Arial" w:cs="Arial"/>
              </w:rPr>
              <w:t>ToF</w:t>
            </w:r>
            <w:proofErr w:type="spellEnd"/>
            <w:r w:rsidRPr="00212BBB">
              <w:rPr>
                <w:rFonts w:ascii="Arial" w:hAnsi="Arial" w:cs="Arial"/>
              </w:rPr>
              <w:t xml:space="preserve"> i PC, przeznaczona do obrazowania tętniczych i żylnych naczyń abdominalnych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</w:rPr>
              <w:t>Bezkontrastowa</w:t>
            </w:r>
            <w:proofErr w:type="spellEnd"/>
            <w:r w:rsidRPr="00212BBB">
              <w:rPr>
                <w:rFonts w:ascii="Arial" w:hAnsi="Arial" w:cs="Arial"/>
              </w:rPr>
              <w:t xml:space="preserve"> MRA techniką innego typu niż </w:t>
            </w:r>
            <w:proofErr w:type="spellStart"/>
            <w:r w:rsidRPr="00212BBB">
              <w:rPr>
                <w:rFonts w:ascii="Arial" w:hAnsi="Arial" w:cs="Arial"/>
              </w:rPr>
              <w:t>ToF</w:t>
            </w:r>
            <w:proofErr w:type="spellEnd"/>
            <w:r w:rsidRPr="00212BBB">
              <w:rPr>
                <w:rFonts w:ascii="Arial" w:hAnsi="Arial" w:cs="Arial"/>
              </w:rPr>
              <w:t xml:space="preserve"> i PC, przeznaczona do obrazowania tętniczych i żylnych naczyń peryferyjnych z wysoką rozdzielczością przestrzenną (INHANCE, NATIVE, </w:t>
            </w:r>
            <w:r w:rsidRPr="00615F7A">
              <w:rPr>
                <w:rFonts w:ascii="Arial" w:hAnsi="Arial" w:cs="Arial"/>
              </w:rPr>
              <w:t>TRANCE lub równoważne), 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Badania w obszarze jamy brzusznej</w:t>
            </w:r>
          </w:p>
        </w:tc>
      </w:tr>
      <w:tr w:rsidR="00CE1302" w:rsidRPr="00212BBB" w:rsidTr="00E34EEB">
        <w:trPr>
          <w:trHeight w:val="283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4D (3D dynamiczne w czasie) przeznaczona do obrazowania naczyń z wysoką rozdzielczością przestrzenną i czasową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MRA techniką innego typu niż </w:t>
            </w:r>
            <w:proofErr w:type="spellStart"/>
            <w:r w:rsidRPr="00212BBB">
              <w:rPr>
                <w:rFonts w:ascii="Arial" w:hAnsi="Arial" w:cs="Arial"/>
              </w:rPr>
              <w:t>ToF</w:t>
            </w:r>
            <w:proofErr w:type="spellEnd"/>
            <w:r w:rsidRPr="00212BBB">
              <w:rPr>
                <w:rFonts w:ascii="Arial" w:hAnsi="Arial" w:cs="Arial"/>
              </w:rPr>
              <w:t xml:space="preserve"> i PC (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Contrast</w:t>
            </w:r>
            <w:proofErr w:type="spellEnd"/>
            <w:r w:rsidRPr="00212BBB">
              <w:rPr>
                <w:rFonts w:ascii="Arial" w:hAnsi="Arial" w:cs="Arial"/>
              </w:rPr>
              <w:t>), przeznaczona do obrazowania tętniczych i żylnych naczyń w jamie brzusznej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MRA techniką innego typu niż </w:t>
            </w:r>
            <w:proofErr w:type="spellStart"/>
            <w:r w:rsidRPr="00212BBB">
              <w:rPr>
                <w:rFonts w:ascii="Arial" w:hAnsi="Arial" w:cs="Arial"/>
              </w:rPr>
              <w:t>ToF</w:t>
            </w:r>
            <w:proofErr w:type="spellEnd"/>
            <w:r w:rsidRPr="00212BBB">
              <w:rPr>
                <w:rFonts w:ascii="Arial" w:hAnsi="Arial" w:cs="Arial"/>
              </w:rPr>
              <w:t xml:space="preserve"> i PC, przeznaczona do obrazowania tętniczych i żylnych naczyń obwodowych (peryferyjnych) z wysoką rozdzielczością przestrzenną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xl42"/>
              <w:spacing w:before="0" w:after="0"/>
              <w:rPr>
                <w:sz w:val="22"/>
                <w:szCs w:val="22"/>
              </w:rPr>
            </w:pPr>
            <w:r w:rsidRPr="00212BBB">
              <w:rPr>
                <w:sz w:val="22"/>
                <w:szCs w:val="22"/>
              </w:rPr>
              <w:t>Pakiet do dynamicznych badań wątroby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xl42"/>
              <w:spacing w:before="0" w:after="0"/>
              <w:rPr>
                <w:sz w:val="22"/>
                <w:szCs w:val="22"/>
              </w:rPr>
            </w:pPr>
            <w:r w:rsidRPr="00212BBB">
              <w:rPr>
                <w:sz w:val="22"/>
                <w:szCs w:val="22"/>
              </w:rPr>
              <w:t>Zaawansowana sekwencja do badań dynamicznych wątroby, pozwalająca na uzyskanie kilku typów obrazów podczas jednej akwizycji, tłumienie tłuszczu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Cholangiografia MR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Obrazowanie dyfuzyjne w obszarze abdominalnym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Obrazowanie całego ciała za pomocą oprogramowania pozwalającego na uzyskanie podczas jednej akwizycji obrazów typu ,,in-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>, out-of-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water-only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fat-only</w:t>
            </w:r>
            <w:proofErr w:type="spellEnd"/>
            <w:r w:rsidRPr="00212BBB">
              <w:rPr>
                <w:rFonts w:ascii="Arial" w:hAnsi="Arial" w:cs="Arial"/>
              </w:rPr>
              <w:t>’’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wątroby z pomiarem koncentracji żelaza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wątroby z oceną stopnia otłuszczenia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Techniki spektralnej saturacji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bookmarkStart w:id="1" w:name="Bookmark"/>
            <w:r w:rsidRPr="00212BBB">
              <w:rPr>
                <w:rFonts w:ascii="Arial" w:hAnsi="Arial" w:cs="Arial"/>
              </w:rPr>
              <w:t>Częstotliwościowo selektywna saturacja tłuszczu</w:t>
            </w:r>
            <w:bookmarkEnd w:id="1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Częstotliwościowo selektywna saturacja wody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Badania ortopedyczne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stawu kolanowego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stawu skokowego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barku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nadgarstka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łokcia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pozycjonowanie i ułożenie warstw skanu kręgosłupa na podstawie jego cech anatomicznych.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5F1DBD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5F1DBD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1 pkt</w:t>
            </w:r>
          </w:p>
          <w:p w:rsidR="005F1DBD" w:rsidRPr="00212BBB" w:rsidRDefault="005F1DBD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pkt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Pakiet oprogramowania pozwalający na symultaniczne uzyskanie podczas jednej akwizycji obrazów 4-ech typów: in-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>, out-of-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water-only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fat-only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 xml:space="preserve">Izotropowe sekwencje 3D pozwalające w </w:t>
            </w:r>
            <w:proofErr w:type="spellStart"/>
            <w:r w:rsidRPr="00212BBB">
              <w:rPr>
                <w:rFonts w:ascii="Arial" w:hAnsi="Arial" w:cs="Arial"/>
                <w:iCs/>
              </w:rPr>
              <w:t>postprocessingu</w:t>
            </w:r>
            <w:proofErr w:type="spellEnd"/>
            <w:r w:rsidRPr="00212BBB">
              <w:rPr>
                <w:rFonts w:ascii="Arial" w:hAnsi="Arial" w:cs="Arial"/>
                <w:iCs/>
              </w:rPr>
              <w:t xml:space="preserve"> 3D na uzyskanie rekonstrukcji dowolnej płaszczyzny bez straty jakości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Sekwencja 3D </w:t>
            </w:r>
            <w:bookmarkStart w:id="2" w:name="Bookmark1"/>
            <w:r w:rsidRPr="00212BBB">
              <w:rPr>
                <w:rFonts w:ascii="Arial" w:hAnsi="Arial" w:cs="Arial"/>
              </w:rPr>
              <w:t>do różnicowania chrząstki od płynu w badaniach stawów</w:t>
            </w:r>
            <w:bookmarkEnd w:id="2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Techniki redukcji artefaktów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Detekcja i korekcja artefaktów ruchowych minimum dla obrotu i translacji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Bramkowanie oddechowe i EKG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Nawigator oddechowy dla badań w obszarze abdominalnym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736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Technika redukcji artefaktów podatności, na styku tkanki miękkiej i powietrza </w:t>
            </w:r>
            <w:r w:rsidRPr="00212BBB">
              <w:rPr>
                <w:rFonts w:ascii="Arial" w:hAnsi="Arial" w:cs="Arial"/>
              </w:rPr>
              <w:br/>
              <w:t>w badaniach DWI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Techniki redukcji artefaktów pochodzących od sąsiedztwa implantów metalowych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Kompensacja przepływu krwi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bookmarkStart w:id="3" w:name="Bookmark2"/>
            <w:r w:rsidRPr="00212BBB">
              <w:rPr>
                <w:rFonts w:ascii="Arial" w:hAnsi="Arial" w:cs="Arial"/>
              </w:rPr>
              <w:t xml:space="preserve">Kompensacja ruchów oddechowych i czynnościowych </w:t>
            </w:r>
            <w:bookmarkEnd w:id="3"/>
            <w:r w:rsidRPr="00212BBB">
              <w:rPr>
                <w:rFonts w:ascii="Arial" w:hAnsi="Arial" w:cs="Arial"/>
              </w:rPr>
              <w:t>(np. perystaltycznych; ruchów serca)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Sekwencje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  <w:bCs/>
              </w:rPr>
              <w:t>Spin Echo (SE)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eastAsia="Calibri" w:hAnsi="Arial" w:cs="Arial"/>
                <w:bCs/>
              </w:rPr>
              <w:t>Inversion</w:t>
            </w:r>
            <w:proofErr w:type="spellEnd"/>
            <w:r w:rsidRPr="00212BBB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212BBB">
              <w:rPr>
                <w:rFonts w:ascii="Arial" w:eastAsia="Calibri" w:hAnsi="Arial" w:cs="Arial"/>
                <w:bCs/>
              </w:rPr>
              <w:t>Recovery</w:t>
            </w:r>
            <w:proofErr w:type="spellEnd"/>
            <w:r w:rsidRPr="00212BBB">
              <w:rPr>
                <w:rFonts w:ascii="Arial" w:eastAsia="Calibri" w:hAnsi="Arial" w:cs="Arial"/>
                <w:bCs/>
              </w:rPr>
              <w:t xml:space="preserve"> (IR)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  <w:bCs/>
              </w:rPr>
              <w:t>Gradient Echo (GRE)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CE1302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CE1302">
              <w:rPr>
                <w:rFonts w:ascii="Arial" w:eastAsia="Calibri" w:hAnsi="Arial" w:cs="Arial"/>
                <w:bCs/>
              </w:rPr>
              <w:t>2D i 3D SPGR ((</w:t>
            </w:r>
            <w:proofErr w:type="spellStart"/>
            <w:r w:rsidRPr="00CE1302">
              <w:rPr>
                <w:rFonts w:ascii="Arial" w:hAnsi="Arial" w:cs="Arial"/>
              </w:rPr>
              <w:t>Spoiled</w:t>
            </w:r>
            <w:proofErr w:type="spellEnd"/>
            <w:r w:rsidRPr="00CE1302">
              <w:rPr>
                <w:rFonts w:ascii="Arial" w:hAnsi="Arial" w:cs="Arial"/>
              </w:rPr>
              <w:t xml:space="preserve"> Gradient Echo)</w:t>
            </w:r>
            <w:r w:rsidRPr="00CE1302">
              <w:rPr>
                <w:rFonts w:ascii="Arial" w:eastAsia="Calibri" w:hAnsi="Arial" w:cs="Arial"/>
                <w:bCs/>
              </w:rPr>
              <w:t>, FLASH (</w:t>
            </w:r>
            <w:r w:rsidRPr="00CE1302">
              <w:rPr>
                <w:rFonts w:ascii="Arial" w:hAnsi="Arial" w:cs="Arial"/>
              </w:rPr>
              <w:t xml:space="preserve">Fast </w:t>
            </w:r>
            <w:proofErr w:type="spellStart"/>
            <w:r w:rsidRPr="00CE1302">
              <w:rPr>
                <w:rFonts w:ascii="Arial" w:hAnsi="Arial" w:cs="Arial"/>
              </w:rPr>
              <w:t>Low</w:t>
            </w:r>
            <w:proofErr w:type="spellEnd"/>
            <w:r w:rsidRPr="00CE1302">
              <w:rPr>
                <w:rFonts w:ascii="Arial" w:hAnsi="Arial" w:cs="Arial"/>
              </w:rPr>
              <w:t xml:space="preserve"> </w:t>
            </w:r>
            <w:proofErr w:type="spellStart"/>
            <w:r w:rsidRPr="00CE1302">
              <w:rPr>
                <w:rFonts w:ascii="Arial" w:hAnsi="Arial" w:cs="Arial"/>
              </w:rPr>
              <w:t>Angle</w:t>
            </w:r>
            <w:proofErr w:type="spellEnd"/>
            <w:r w:rsidRPr="00CE1302">
              <w:rPr>
                <w:rFonts w:ascii="Arial" w:hAnsi="Arial" w:cs="Arial"/>
              </w:rPr>
              <w:t xml:space="preserve"> </w:t>
            </w:r>
            <w:proofErr w:type="spellStart"/>
            <w:r w:rsidRPr="00CE1302">
              <w:rPr>
                <w:rFonts w:ascii="Arial" w:hAnsi="Arial" w:cs="Arial"/>
              </w:rPr>
              <w:t>Shot</w:t>
            </w:r>
            <w:proofErr w:type="spellEnd"/>
            <w:r w:rsidRPr="00CE1302">
              <w:rPr>
                <w:rFonts w:ascii="Arial" w:hAnsi="Arial" w:cs="Arial"/>
              </w:rPr>
              <w:t>)</w:t>
            </w:r>
            <w:r w:rsidRPr="00CE1302">
              <w:rPr>
                <w:rFonts w:ascii="Arial" w:eastAsia="Calibri" w:hAnsi="Arial" w:cs="Arial"/>
                <w:bCs/>
              </w:rPr>
              <w:t>, T1-FFE (T1-</w:t>
            </w:r>
            <w:r w:rsidRPr="00CE1302">
              <w:rPr>
                <w:rFonts w:ascii="Arial" w:hAnsi="Arial" w:cs="Arial"/>
              </w:rPr>
              <w:t xml:space="preserve"> Fast Field Echo)</w:t>
            </w:r>
            <w:r w:rsidRPr="00CE1302">
              <w:rPr>
                <w:rFonts w:ascii="Arial" w:eastAsia="Calibri" w:hAnsi="Arial" w:cs="Arial"/>
                <w:bCs/>
              </w:rPr>
              <w:t xml:space="preserve"> lub równoważne)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autoSpaceDE w:val="0"/>
              <w:adjustRightInd w:val="0"/>
              <w:spacing w:after="0" w:line="240" w:lineRule="auto"/>
              <w:rPr>
                <w:rFonts w:ascii="Arial" w:eastAsia="Dutch801PL-Italic" w:hAnsi="Arial" w:cs="Arial"/>
                <w:i/>
                <w:iCs/>
                <w:lang w:val="en-US" w:eastAsia="pl-PL"/>
              </w:rPr>
            </w:pPr>
            <w:r w:rsidRPr="00615F7A">
              <w:rPr>
                <w:rFonts w:ascii="Arial" w:eastAsia="Calibri" w:hAnsi="Arial" w:cs="Arial"/>
                <w:bCs/>
                <w:lang w:val="en-US"/>
              </w:rPr>
              <w:t xml:space="preserve">2D </w:t>
            </w:r>
            <w:proofErr w:type="spellStart"/>
            <w:r w:rsidRPr="00615F7A">
              <w:rPr>
                <w:rFonts w:ascii="Arial" w:eastAsia="Calibri" w:hAnsi="Arial" w:cs="Arial"/>
                <w:bCs/>
                <w:lang w:val="en-US"/>
              </w:rPr>
              <w:t>i</w:t>
            </w:r>
            <w:proofErr w:type="spellEnd"/>
            <w:r w:rsidRPr="00615F7A">
              <w:rPr>
                <w:rFonts w:ascii="Arial" w:eastAsia="Calibri" w:hAnsi="Arial" w:cs="Arial"/>
                <w:bCs/>
                <w:lang w:val="en-US"/>
              </w:rPr>
              <w:t xml:space="preserve"> 3D GRASS (</w:t>
            </w:r>
            <w:r w:rsidRPr="00615F7A">
              <w:rPr>
                <w:rFonts w:ascii="Arial" w:eastAsia="Dutch801PL-Italic" w:hAnsi="Arial" w:cs="Arial"/>
                <w:i/>
                <w:iCs/>
                <w:lang w:val="en-US" w:eastAsia="pl-PL"/>
              </w:rPr>
              <w:t xml:space="preserve">Gradient Recalled </w:t>
            </w:r>
            <w:proofErr w:type="spellStart"/>
            <w:r w:rsidRPr="00615F7A">
              <w:rPr>
                <w:rFonts w:ascii="Arial" w:eastAsia="Dutch801PL-Italic" w:hAnsi="Arial" w:cs="Arial"/>
                <w:i/>
                <w:iCs/>
                <w:lang w:val="en-US" w:eastAsia="pl-PL"/>
              </w:rPr>
              <w:t>Aquisition</w:t>
            </w:r>
            <w:proofErr w:type="spellEnd"/>
            <w:r w:rsidRPr="00615F7A">
              <w:rPr>
                <w:rFonts w:ascii="Arial" w:eastAsia="Dutch801PL-Italic" w:hAnsi="Arial" w:cs="Arial"/>
                <w:i/>
                <w:iCs/>
                <w:lang w:val="en-US" w:eastAsia="pl-PL"/>
              </w:rPr>
              <w:t xml:space="preserve"> Of Steady</w:t>
            </w:r>
          </w:p>
          <w:p w:rsidR="00CE1302" w:rsidRPr="00615F7A" w:rsidRDefault="00CE1302" w:rsidP="00E34EEB">
            <w:pPr>
              <w:pStyle w:val="Standard"/>
              <w:rPr>
                <w:rFonts w:ascii="Arial" w:hAnsi="Arial" w:cs="Arial"/>
                <w:lang w:val="en-US"/>
              </w:rPr>
            </w:pPr>
            <w:r w:rsidRPr="00615F7A">
              <w:rPr>
                <w:rFonts w:ascii="Arial" w:eastAsia="Dutch801PL-Italic" w:hAnsi="Arial" w:cs="Arial"/>
                <w:i/>
                <w:iCs/>
                <w:kern w:val="0"/>
                <w:lang w:val="en-US" w:eastAsia="pl-PL"/>
              </w:rPr>
              <w:t>State)</w:t>
            </w:r>
            <w:r w:rsidRPr="00615F7A">
              <w:rPr>
                <w:rFonts w:ascii="Arial" w:eastAsia="Calibri" w:hAnsi="Arial" w:cs="Arial"/>
                <w:bCs/>
                <w:lang w:val="en-US"/>
              </w:rPr>
              <w:t>, FISP (</w:t>
            </w:r>
            <w:r w:rsidRPr="00615F7A">
              <w:rPr>
                <w:rFonts w:ascii="Arial" w:hAnsi="Arial" w:cs="Arial"/>
                <w:lang w:val="en-US"/>
              </w:rPr>
              <w:t>Fast Imaging with Steady State Free Precession)</w:t>
            </w:r>
            <w:r w:rsidRPr="00615F7A">
              <w:rPr>
                <w:rFonts w:ascii="Arial" w:eastAsia="Calibri" w:hAnsi="Arial" w:cs="Arial"/>
                <w:bCs/>
                <w:lang w:val="en-US"/>
              </w:rPr>
              <w:t>, FFE (</w:t>
            </w:r>
            <w:r w:rsidRPr="00615F7A">
              <w:rPr>
                <w:rFonts w:ascii="Arial" w:hAnsi="Arial" w:cs="Arial"/>
                <w:lang w:val="en-US"/>
              </w:rPr>
              <w:t>Fast Field Echo)</w:t>
            </w:r>
            <w:r w:rsidRPr="00615F7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  <w:lang w:val="en-US"/>
              </w:rPr>
              <w:t>lub</w:t>
            </w:r>
            <w:proofErr w:type="spellEnd"/>
            <w:r w:rsidRPr="00615F7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  <w:lang w:val="en-US"/>
              </w:rPr>
              <w:t>równoważne</w:t>
            </w:r>
            <w:proofErr w:type="spellEnd"/>
            <w:r w:rsidRPr="00CE130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E1302">
              <w:rPr>
                <w:rFonts w:ascii="Arial" w:hAnsi="Arial" w:cs="Arial"/>
                <w:lang w:val="en-US"/>
              </w:rPr>
              <w:t>zgodnie</w:t>
            </w:r>
            <w:proofErr w:type="spellEnd"/>
            <w:r w:rsidRPr="00CE1302">
              <w:rPr>
                <w:rFonts w:ascii="Arial" w:hAnsi="Arial" w:cs="Arial"/>
                <w:lang w:val="en-US"/>
              </w:rPr>
              <w:t xml:space="preserve"> z </w:t>
            </w:r>
            <w:proofErr w:type="spellStart"/>
            <w:r w:rsidRPr="00CE1302">
              <w:rPr>
                <w:rFonts w:ascii="Arial" w:hAnsi="Arial" w:cs="Arial"/>
                <w:lang w:val="en-US"/>
              </w:rPr>
              <w:t>rozdziałem</w:t>
            </w:r>
            <w:proofErr w:type="spellEnd"/>
            <w:r w:rsidRPr="00CE1302">
              <w:rPr>
                <w:rFonts w:ascii="Arial" w:hAnsi="Arial" w:cs="Arial"/>
                <w:lang w:val="en-US"/>
              </w:rPr>
              <w:t xml:space="preserve"> III, </w:t>
            </w:r>
            <w:proofErr w:type="spellStart"/>
            <w:r w:rsidRPr="00CE1302">
              <w:rPr>
                <w:rFonts w:ascii="Arial" w:hAnsi="Arial" w:cs="Arial"/>
                <w:lang w:val="en-US"/>
              </w:rPr>
              <w:t>ust</w:t>
            </w:r>
            <w:proofErr w:type="spellEnd"/>
            <w:r w:rsidRPr="00CE1302">
              <w:rPr>
                <w:rFonts w:ascii="Arial" w:hAnsi="Arial" w:cs="Arial"/>
                <w:lang w:val="en-US"/>
              </w:rPr>
              <w:t xml:space="preserve"> 5 </w:t>
            </w:r>
            <w:proofErr w:type="spellStart"/>
            <w:r w:rsidRPr="00CE1302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CE1302">
              <w:rPr>
                <w:rFonts w:ascii="Arial" w:hAnsi="Arial" w:cs="Arial"/>
                <w:lang w:val="en-US"/>
              </w:rPr>
              <w:t xml:space="preserve">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2D i 3D Fast GRE (</w:t>
            </w:r>
            <w:r w:rsidRPr="00615F7A">
              <w:rPr>
                <w:rFonts w:ascii="Arial" w:hAnsi="Arial" w:cs="Arial"/>
              </w:rPr>
              <w:t xml:space="preserve">Gradient </w:t>
            </w:r>
            <w:proofErr w:type="spellStart"/>
            <w:r w:rsidRPr="00615F7A">
              <w:rPr>
                <w:rFonts w:ascii="Arial" w:hAnsi="Arial" w:cs="Arial"/>
              </w:rPr>
              <w:t>Recalled</w:t>
            </w:r>
            <w:proofErr w:type="spellEnd"/>
            <w:r w:rsidRPr="00615F7A">
              <w:rPr>
                <w:rFonts w:ascii="Arial" w:hAnsi="Arial" w:cs="Arial"/>
              </w:rPr>
              <w:t xml:space="preserve"> Echo)</w:t>
            </w:r>
            <w:r w:rsidRPr="00615F7A">
              <w:rPr>
                <w:rFonts w:ascii="Arial" w:eastAsia="Calibri" w:hAnsi="Arial" w:cs="Arial"/>
                <w:bCs/>
              </w:rPr>
              <w:t xml:space="preserve"> z impulsami preparacyjnymi (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TurboFLASH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>, MPGRASS, TFE lub równoważne)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Szybkie 3D GRE z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quick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Fat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saturation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(tj. tylko jeden impuls saturacji tłuszczu na cykl kodowania 3D) dla wysokorozdzielczego obrazowania 3D w obszarze brzucha przy zatrzymanym oddechu (VIBE, LAVA, THRIVE lub równoważne,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CE1302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CE1302">
              <w:rPr>
                <w:rFonts w:ascii="Arial" w:eastAsia="Calibri" w:hAnsi="Arial" w:cs="Arial"/>
                <w:bCs/>
              </w:rPr>
              <w:t xml:space="preserve">2D i 3D GRE z </w:t>
            </w:r>
            <w:proofErr w:type="spellStart"/>
            <w:r w:rsidRPr="00CE1302">
              <w:rPr>
                <w:rFonts w:ascii="Arial" w:eastAsia="Calibri" w:hAnsi="Arial" w:cs="Arial"/>
                <w:bCs/>
              </w:rPr>
              <w:t>full</w:t>
            </w:r>
            <w:proofErr w:type="spellEnd"/>
            <w:r w:rsidRPr="00CE1302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CE1302">
              <w:rPr>
                <w:rFonts w:ascii="Arial" w:eastAsia="Calibri" w:hAnsi="Arial" w:cs="Arial"/>
                <w:bCs/>
              </w:rPr>
              <w:t>transverse</w:t>
            </w:r>
            <w:proofErr w:type="spellEnd"/>
            <w:r w:rsidRPr="00CE1302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CE1302">
              <w:rPr>
                <w:rFonts w:ascii="Arial" w:eastAsia="Calibri" w:hAnsi="Arial" w:cs="Arial"/>
                <w:bCs/>
              </w:rPr>
              <w:t>rephasing</w:t>
            </w:r>
            <w:proofErr w:type="spellEnd"/>
            <w:r w:rsidRPr="00CE1302">
              <w:rPr>
                <w:rFonts w:ascii="Arial" w:eastAsia="Calibri" w:hAnsi="Arial" w:cs="Arial"/>
                <w:bCs/>
              </w:rPr>
              <w:t xml:space="preserve"> (</w:t>
            </w:r>
            <w:proofErr w:type="spellStart"/>
            <w:r w:rsidRPr="00CE1302">
              <w:rPr>
                <w:rFonts w:ascii="Arial" w:eastAsia="Calibri" w:hAnsi="Arial" w:cs="Arial"/>
                <w:bCs/>
              </w:rPr>
              <w:t>TrueFISP</w:t>
            </w:r>
            <w:proofErr w:type="spellEnd"/>
            <w:r w:rsidRPr="00CE1302">
              <w:rPr>
                <w:rFonts w:ascii="Arial" w:eastAsia="Calibri" w:hAnsi="Arial" w:cs="Arial"/>
                <w:bCs/>
              </w:rPr>
              <w:t xml:space="preserve">, </w:t>
            </w:r>
            <w:proofErr w:type="spellStart"/>
            <w:r w:rsidRPr="00CE1302">
              <w:rPr>
                <w:rFonts w:ascii="Arial" w:eastAsia="Calibri" w:hAnsi="Arial" w:cs="Arial"/>
                <w:bCs/>
              </w:rPr>
              <w:t>Balanced</w:t>
            </w:r>
            <w:proofErr w:type="spellEnd"/>
            <w:r w:rsidRPr="00CE1302">
              <w:rPr>
                <w:rFonts w:ascii="Arial" w:eastAsia="Calibri" w:hAnsi="Arial" w:cs="Arial"/>
                <w:bCs/>
              </w:rPr>
              <w:t xml:space="preserve"> FFE, FIESTA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2D i 3D GRE z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full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transverse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rephasing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w kombinacji ze spektralną saturacją tłuszczu (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TrueFISP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with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Fat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Saturation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, 3D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FatSat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FIESTA lub odpowiednio do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2D i 3D GRE z RF-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rephasing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(PSIF, SSFP, T2-FFE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  <w:lang w:val="en-US"/>
              </w:rPr>
            </w:pPr>
            <w:r w:rsidRPr="00615F7A">
              <w:rPr>
                <w:rFonts w:ascii="Arial" w:eastAsia="Calibri" w:hAnsi="Arial" w:cs="Arial"/>
                <w:bCs/>
                <w:lang w:val="en-US"/>
              </w:rPr>
              <w:t>Turbo Spin Echo, Fast Spin Echo (TSE, FSE)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Multi-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Shot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Single-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Shot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  <w:lang w:val="en-US"/>
              </w:rPr>
            </w:pPr>
            <w:r w:rsidRPr="00615F7A">
              <w:rPr>
                <w:rFonts w:ascii="Arial" w:eastAsia="Calibri" w:hAnsi="Arial" w:cs="Arial"/>
                <w:bCs/>
                <w:lang w:val="en-US"/>
              </w:rPr>
              <w:t>Turbo IR (Turbo</w:t>
            </w:r>
            <w:r w:rsidRPr="00615F7A">
              <w:rPr>
                <w:rFonts w:ascii="Arial" w:hAnsi="Arial" w:cs="Arial"/>
                <w:lang w:val="en-US"/>
              </w:rPr>
              <w:t xml:space="preserve"> Inversion Recovery)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Izotropowe sekwencje 3D pozwalające w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postprocessingu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3D na uzyskanie rekonstrukcji dowolnej płaszczyzny bez straty jakości (SPACE, BRAVO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Sekwencje pozwalające na uzyskanie podczas jednej akwizycji obrazów typu , in-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phase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>, out-of-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phase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,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water-only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,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fat-only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’’ (IDEAL, DIXON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Sekwencja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Steady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State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3D do badań drobnych struktur OUN (typu FIESTA-C, 3D CISS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Sekwencja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Steady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State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3D do różnicowania chrząstki od płynu w badaniach stawów (typu 3D DESS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Obrazowanie ważone podatnością magnetyczną,  tkanki (SWI,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Susceptibility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Weighted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Imaging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>, SWAN lub równoważne)</w:t>
            </w:r>
            <w:r w:rsidRPr="00615F7A">
              <w:rPr>
                <w:rFonts w:ascii="Arial" w:hAnsi="Arial" w:cs="Arial"/>
              </w:rPr>
              <w:t xml:space="preserve"> 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  <w:b/>
              </w:rPr>
              <w:t>Akwizycja danych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</w:rPr>
              <w:t xml:space="preserve">Minimalna wartość FOV: wymagane ≤1 cm </w:t>
            </w:r>
            <w:r w:rsidRPr="00615F7A">
              <w:rPr>
                <w:rFonts w:ascii="Arial" w:hAnsi="Arial" w:cs="Arial"/>
                <w:i/>
              </w:rPr>
              <w:t>– Podać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</w:rPr>
              <w:t xml:space="preserve">Maksymalna wartość FOV (w osiach x, y): wymagane ≥ 50 cm </w:t>
            </w:r>
            <w:r w:rsidRPr="00615F7A">
              <w:rPr>
                <w:rFonts w:ascii="Arial" w:hAnsi="Arial" w:cs="Arial"/>
                <w:i/>
              </w:rPr>
              <w:t>– Podać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E77AA0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Najwyższa wartość – </w:t>
            </w:r>
            <w:r w:rsidR="00874AE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pkt</w:t>
            </w:r>
          </w:p>
          <w:p w:rsidR="00E77AA0" w:rsidRDefault="00E77AA0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Graniczna – 0 pkt</w:t>
            </w:r>
          </w:p>
          <w:p w:rsidR="00E77AA0" w:rsidRPr="00212BBB" w:rsidRDefault="00E77AA0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- proporcjonalnie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704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</w:rPr>
              <w:t xml:space="preserve">Maksymalna wartość FOV (statyczny FOV) w osi z (dla wszystkich oferowanych aplikacji i sekwencji skanowania): wymagane ≥ 48 cm </w:t>
            </w:r>
            <w:r w:rsidRPr="00615F7A">
              <w:rPr>
                <w:rFonts w:ascii="Arial" w:hAnsi="Arial" w:cs="Arial"/>
                <w:i/>
              </w:rPr>
              <w:t>– Podać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1F4FD4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73B1" w:rsidRDefault="00B473B1" w:rsidP="00B473B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Najwyższa wartość – </w:t>
            </w:r>
            <w:r w:rsidR="00874AE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pkt</w:t>
            </w:r>
          </w:p>
          <w:p w:rsidR="00B473B1" w:rsidRDefault="00B473B1" w:rsidP="00B473B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Graniczna – 0 pkt</w:t>
            </w:r>
          </w:p>
          <w:p w:rsidR="00CE1302" w:rsidRPr="00212BBB" w:rsidRDefault="00B473B1" w:rsidP="00B473B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- proporcjonalnie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754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</w:rPr>
              <w:t xml:space="preserve">Matryca akwizycyjna i rekonstrukcyjna: Wymagane ≥ 1024 x 1024, bez interpolacji </w:t>
            </w:r>
            <w:r w:rsidRPr="00615F7A">
              <w:rPr>
                <w:rFonts w:ascii="Arial" w:hAnsi="Arial" w:cs="Arial"/>
                <w:i/>
              </w:rPr>
              <w:t>– Podać [</w:t>
            </w:r>
            <w:proofErr w:type="spellStart"/>
            <w:r w:rsidRPr="00615F7A">
              <w:rPr>
                <w:rFonts w:ascii="Arial" w:hAnsi="Arial" w:cs="Arial"/>
                <w:i/>
              </w:rPr>
              <w:t>px</w:t>
            </w:r>
            <w:proofErr w:type="spellEnd"/>
            <w:r w:rsidRPr="00615F7A">
              <w:rPr>
                <w:rFonts w:ascii="Arial" w:hAnsi="Arial" w:cs="Arial"/>
                <w:i/>
              </w:rPr>
              <w:t xml:space="preserve"> x </w:t>
            </w:r>
            <w:proofErr w:type="spellStart"/>
            <w:r w:rsidRPr="00615F7A">
              <w:rPr>
                <w:rFonts w:ascii="Arial" w:hAnsi="Arial" w:cs="Arial"/>
                <w:i/>
              </w:rPr>
              <w:t>px</w:t>
            </w:r>
            <w:proofErr w:type="spellEnd"/>
            <w:r w:rsidRPr="00615F7A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Minimalna grubość warstwy (skany 2D): wymagane ≤ 0,5 mm </w:t>
            </w:r>
            <w:r w:rsidRPr="00212BBB">
              <w:rPr>
                <w:rFonts w:ascii="Arial" w:hAnsi="Arial" w:cs="Arial"/>
                <w:i/>
              </w:rPr>
              <w:t>– Podać [mm]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Minimalna grubość warstwy (skany 3D): wymagane ≤ 0,1 mm </w:t>
            </w:r>
            <w:r w:rsidRPr="00212BBB">
              <w:rPr>
                <w:rFonts w:ascii="Arial" w:hAnsi="Arial" w:cs="Arial"/>
                <w:i/>
              </w:rPr>
              <w:t>– Podać [mm]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A308E1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8E1" w:rsidRDefault="00A308E1" w:rsidP="00A308E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Najniższa wartość – </w:t>
            </w:r>
            <w:r w:rsidR="00874AE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pkt</w:t>
            </w:r>
          </w:p>
          <w:p w:rsidR="00A308E1" w:rsidRDefault="00A308E1" w:rsidP="00A308E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Graniczna – 0 pkt</w:t>
            </w:r>
          </w:p>
          <w:p w:rsidR="00CE1302" w:rsidRPr="00212BBB" w:rsidRDefault="00A308E1" w:rsidP="00A308E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- proporcjonalnie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KONSOLA OPERATORSKA APARATU</w:t>
            </w: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Komputer sterujący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861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Komputer dostosowany do obsługi zaoferowanego urządzenia w zestawie z zasilaczem UPS  (zasilacz gwarantujący podtrzymanie czasu pracy do min. 15 minut)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29248C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29248C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min. i więcej – 1 pkt</w:t>
            </w:r>
          </w:p>
          <w:p w:rsidR="0029248C" w:rsidRPr="00212BBB" w:rsidRDefault="0029248C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15 min. – 0 pkt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861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Ilość obrazów archiwizowana na dysku z matrycą 256 x 256 bez kompresji, minimum 500 000 obrazów </w:t>
            </w:r>
            <w:r w:rsidRPr="00212BBB">
              <w:rPr>
                <w:rFonts w:ascii="Arial" w:hAnsi="Arial" w:cs="Arial"/>
                <w:i/>
              </w:rPr>
              <w:t>– Podać [obrazy]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861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Archiwizacja obrazów na CD lub DVD lub Blu-ray z dogrywaniem przeglądarki DICOM (DICOM Viewer), umożliwiającej odtwarzanie obrazów na PC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Komputer obrazowy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Komputer dostosowany do obsługi zaoferowanego urządzenia. w zestawie z zasilaczem UPS (zasilacz gwarantujący podtrzymanie czasu pracy do min. 15 minut)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Szybkość rekonstrukcji dla obrazów w matrycy 256 x 256 przy pełnym FOV: wymagane minimum 12 000 obrazów/s </w:t>
            </w:r>
            <w:r w:rsidRPr="00212BBB">
              <w:rPr>
                <w:rFonts w:ascii="Arial" w:hAnsi="Arial" w:cs="Arial"/>
                <w:i/>
              </w:rPr>
              <w:t>– Podać [obrazów/s]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Monitor/monitory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Monitor / monitory w technologii LCD lub LED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Przekątna monitora: minimum 19” lub stacja dwumonitorowa z monitorami min. 19”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Matryca monitora: minimum 1280 x 1024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Oprogramowanie konsoli operatorskiej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Pomiary geometryczne (odległości, kąty, powierzchnie, objętości)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39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Pomiary analityczne: intensywność sygnału, profile, histogramy.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MPR (</w:t>
            </w:r>
            <w:proofErr w:type="spellStart"/>
            <w:r w:rsidRPr="00212BBB">
              <w:rPr>
                <w:rFonts w:ascii="Arial" w:hAnsi="Arial" w:cs="Arial"/>
              </w:rPr>
              <w:t>Multiplanar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Reformated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Reconstructions</w:t>
            </w:r>
            <w:proofErr w:type="spellEnd"/>
            <w:r w:rsidRPr="00212BBB"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MIP (Maximum </w:t>
            </w:r>
            <w:proofErr w:type="spellStart"/>
            <w:r w:rsidRPr="00212BBB">
              <w:rPr>
                <w:rFonts w:ascii="Arial" w:hAnsi="Arial" w:cs="Arial"/>
              </w:rPr>
              <w:t>Intensity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Projection</w:t>
            </w:r>
            <w:proofErr w:type="spellEnd"/>
            <w:r w:rsidRPr="00212BBB"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5D4D18" w:rsidRDefault="00CE1302" w:rsidP="00E34EEB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D4D18">
              <w:rPr>
                <w:rFonts w:ascii="Arial" w:hAnsi="Arial" w:cs="Arial"/>
                <w:lang w:val="en-US"/>
              </w:rPr>
              <w:t>Rekonstrukcje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3D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SSD </w:t>
            </w:r>
            <w:r w:rsidRPr="005D4D18">
              <w:rPr>
                <w:rFonts w:ascii="Arial" w:hAnsi="Arial" w:cs="Arial"/>
                <w:i/>
                <w:lang w:val="en-US"/>
              </w:rPr>
              <w:t>(surface shaded display)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Oprogramowanie do obróbki widm i obrazów spektroskopowych SVS, 2D CSI i 3D CSI (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Chemical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Shift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Imaging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>)</w:t>
            </w:r>
            <w:r w:rsidRPr="00212BBB">
              <w:rPr>
                <w:rFonts w:ascii="Arial" w:hAnsi="Arial" w:cs="Arial"/>
              </w:rPr>
              <w:t>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Oprogramowanie do łączenia poszczególnych obrazów z krokowych badań obszarów rozległych w jeden obraz </w:t>
            </w:r>
            <w:r w:rsidRPr="00212BBB">
              <w:rPr>
                <w:rFonts w:ascii="Arial" w:hAnsi="Arial" w:cs="Arial"/>
                <w:i/>
              </w:rPr>
              <w:t>– Podać nazwę oferowanego rozwiązania.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Oprogramowanie do łączenia poszczególnych obrazów z krokowych badań obszarów rozległych w jeden obraz, funkcjonujące w sposób automatyczny.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Filtr obrazów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Praca w sieci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DICOM 3.0 – SEND / RECEIVE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DICOM 3.0 – QUERY / RETRIEVE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DICOM 3.0 – DICOM PRINT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DICOM 3.0 – Storage </w:t>
            </w:r>
            <w:proofErr w:type="spellStart"/>
            <w:r w:rsidRPr="00212BBB">
              <w:rPr>
                <w:rFonts w:ascii="Arial" w:hAnsi="Arial" w:cs="Arial"/>
              </w:rPr>
              <w:t>Commitment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DICOM 3.0 – </w:t>
            </w:r>
            <w:proofErr w:type="spellStart"/>
            <w:r w:rsidRPr="00212BBB">
              <w:rPr>
                <w:rFonts w:ascii="Arial" w:hAnsi="Arial" w:cs="Arial"/>
              </w:rPr>
              <w:t>Modality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Worklist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SYSTEM KONSOL DIAGNOSTYCZNYCH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Producent, nazwa i wersja oprogramowania. Należy podać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Bezterminowe licencje na dostarczone oprogramowanie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D93" w:rsidRPr="00451D93" w:rsidRDefault="00451D93" w:rsidP="00451D93">
            <w:pPr>
              <w:pStyle w:val="Standard"/>
              <w:jc w:val="both"/>
              <w:rPr>
                <w:rFonts w:ascii="Arial" w:eastAsia="Calibri" w:hAnsi="Arial" w:cs="Arial"/>
                <w:bCs/>
              </w:rPr>
            </w:pPr>
            <w:r w:rsidRPr="00451D93">
              <w:rPr>
                <w:rFonts w:ascii="Arial" w:eastAsia="Calibri" w:hAnsi="Arial" w:cs="Arial"/>
                <w:bCs/>
              </w:rPr>
              <w:t>Dedykowany przez producenta systemu serwer lub system serwerów o parametrach zgodnych z wymaganiami zaoferowanego oprogramowania do post-</w:t>
            </w:r>
            <w:proofErr w:type="spellStart"/>
            <w:r w:rsidRPr="00451D93">
              <w:rPr>
                <w:rFonts w:ascii="Arial" w:eastAsia="Calibri" w:hAnsi="Arial" w:cs="Arial"/>
                <w:bCs/>
              </w:rPr>
              <w:t>processingu</w:t>
            </w:r>
            <w:proofErr w:type="spellEnd"/>
            <w:r w:rsidRPr="00451D93">
              <w:rPr>
                <w:rFonts w:ascii="Arial" w:eastAsia="Calibri" w:hAnsi="Arial" w:cs="Arial"/>
                <w:bCs/>
              </w:rPr>
              <w:t xml:space="preserve">. </w:t>
            </w:r>
          </w:p>
          <w:p w:rsidR="00451D93" w:rsidRPr="00451D93" w:rsidRDefault="00451D93" w:rsidP="00451D93">
            <w:pPr>
              <w:pStyle w:val="Standard"/>
              <w:jc w:val="both"/>
              <w:rPr>
                <w:rFonts w:ascii="Arial" w:eastAsia="Calibri" w:hAnsi="Arial" w:cs="Arial"/>
                <w:bCs/>
              </w:rPr>
            </w:pPr>
            <w:r w:rsidRPr="00451D93">
              <w:rPr>
                <w:rFonts w:ascii="Arial" w:eastAsia="Calibri" w:hAnsi="Arial" w:cs="Arial"/>
                <w:bCs/>
              </w:rPr>
              <w:t>Serwer wyposażony w UPS gwarantujący podtrzymanie czasu pracy do min. 5 minut.</w:t>
            </w:r>
          </w:p>
          <w:p w:rsidR="00CE1302" w:rsidRPr="00212BBB" w:rsidRDefault="00451D93" w:rsidP="00451D93">
            <w:pPr>
              <w:pStyle w:val="Standard"/>
              <w:jc w:val="both"/>
              <w:rPr>
                <w:rFonts w:ascii="Arial" w:hAnsi="Arial" w:cs="Arial"/>
              </w:rPr>
            </w:pPr>
            <w:r w:rsidRPr="00451D93">
              <w:rPr>
                <w:rFonts w:ascii="Arial" w:eastAsia="Calibri" w:hAnsi="Arial" w:cs="Arial"/>
                <w:bCs/>
              </w:rPr>
              <w:t>W przypadku serwera RACK dedykowana szafka.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  <w:bCs/>
              </w:rPr>
              <w:t xml:space="preserve">System stacji lekarskich musi pracować w oparciu o serwer aplikacyjny wraz z modelem licencji pływających, umożliwiając zainstalowanie oprogramowania klienckiego na </w:t>
            </w:r>
            <w:r w:rsidRPr="00212BBB">
              <w:rPr>
                <w:rFonts w:ascii="Arial" w:hAnsi="Arial" w:cs="Arial"/>
                <w:bCs/>
              </w:rPr>
              <w:t xml:space="preserve">minimum 3 stacjach </w:t>
            </w:r>
            <w:r w:rsidRPr="00212BBB">
              <w:rPr>
                <w:rFonts w:ascii="Arial" w:eastAsia="Calibri" w:hAnsi="Arial" w:cs="Arial"/>
                <w:bCs/>
              </w:rPr>
              <w:t>klienckich. Możliwość ściągnięcia i instalacji klienta na komputer PC / serwer mający dostęp do serwera aplikacyjnego. Możliwość zdalnej pracy stacji klienckiej diagnostycznej na serwerze bez konieczności ściągania badania na stację kliencką, pozwalająca na otwarcie dowolnego badania z użyciem stosownej aplikacji z dowolnej stacji lekarskiej będącej klientem serwera aplikacyjnego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1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opisu badań z tomografu komputerowego firmy Toshiba TSX-030 z 2016 roku posiadanego przez Zamawiającego na oferowanym rozwiązaniu bez konieczności ponoszenia przez Zamawiającego dodatkowych kosztów i inwestycji.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1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przetwarzania przez serwer lub system serwerów i oprogramowanie systemu konsol diagnostycznych min. 24 000 warstw jednocześnie.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1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Stanowisko diagnostyczne (stacja kliencka serwera) – konsola lekarska – 3 komplety. Jeden komplet składa się z:</w:t>
            </w:r>
          </w:p>
          <w:p w:rsidR="00CE1302" w:rsidRPr="00212BBB" w:rsidRDefault="00CE1302" w:rsidP="009D6BE0">
            <w:pPr>
              <w:pStyle w:val="Akapitzlist"/>
              <w:numPr>
                <w:ilvl w:val="1"/>
                <w:numId w:val="41"/>
              </w:numPr>
              <w:suppressAutoHyphens/>
              <w:autoSpaceDN w:val="0"/>
              <w:spacing w:after="0" w:line="240" w:lineRule="auto"/>
              <w:ind w:left="351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komputer </w:t>
            </w:r>
          </w:p>
          <w:p w:rsidR="00CE1302" w:rsidRPr="00212BBB" w:rsidRDefault="00CE1302" w:rsidP="009D6BE0">
            <w:pPr>
              <w:pStyle w:val="Akapitzlist"/>
              <w:numPr>
                <w:ilvl w:val="1"/>
                <w:numId w:val="41"/>
              </w:numPr>
              <w:suppressAutoHyphens/>
              <w:autoSpaceDN w:val="0"/>
              <w:spacing w:after="0" w:line="240" w:lineRule="auto"/>
              <w:ind w:left="351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jeden monitor diagnostyczny min. 30” o rozdzielczości min. 6 </w:t>
            </w:r>
            <w:proofErr w:type="spellStart"/>
            <w:r w:rsidRPr="00212BBB">
              <w:rPr>
                <w:rFonts w:ascii="Arial" w:hAnsi="Arial" w:cs="Arial"/>
              </w:rPr>
              <w:t>Mpx</w:t>
            </w:r>
            <w:proofErr w:type="spellEnd"/>
          </w:p>
          <w:p w:rsidR="00CE1302" w:rsidRPr="00212BBB" w:rsidRDefault="00CE1302" w:rsidP="009D6BE0">
            <w:pPr>
              <w:pStyle w:val="Akapitzlist"/>
              <w:numPr>
                <w:ilvl w:val="1"/>
                <w:numId w:val="41"/>
              </w:numPr>
              <w:suppressAutoHyphens/>
              <w:autoSpaceDN w:val="0"/>
              <w:spacing w:after="0" w:line="240" w:lineRule="auto"/>
              <w:ind w:left="351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jeden monitor RIS min. 21”</w:t>
            </w:r>
          </w:p>
          <w:p w:rsidR="00CE1302" w:rsidRPr="00212BBB" w:rsidRDefault="00CE1302" w:rsidP="00E34EE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Dodatkowo w każdym zestawie znajdują się minimum: klawiatura, mysz, zasilacz UPS (zasilacz gwarantujący podtrzymanie czasu pracy do min. 15 minut), zestaw do kalibracji monitora diagnostycznego, przewody przyłączeniowe gwarantujące pracę w najwyższej wspieranej rozdzielczości.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1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Komputer (stacja kliencka serwera) o min. parametrach: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procesor czterordzeniowy, min. 2,90 GHz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min. 16 GB RAM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dysk SSD o pojemności min. 1TB 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operacyjny niezbędny do uruchomienia aplikacji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nagrywarka DVD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Karta graficzna obsługująca parametry ww. monitorów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Podać konfigurację komputera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153"/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pracujący w architekturze klient – serwer.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145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System musi zapewniać wszystkie opisane funkcjonalności (w tym przeglądanie obrazów w jakości diagnostycznej, rekonstrukcje i funkcje zaawansowanej wizualizacji) w technologii klienta (dane obrazowe nie są przechowywane na stacji klienckiej). 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Wyświetlanie w jakości diagnostycznej badań wielu modalności min. CT, MR, RTG, USG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120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Natychmiastowy dostęp w ramach jednego wspólnego serwera aplikacyjnego do wszystkich badań oraz zaawansowanych aplikacji do ich analizy, bez konieczności przełączania się pomiędzy różnymi serwerami oraz bez konieczności ściągania badania na konsolę lekarską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Całkowita liczba licencji na jednocześnie pracujących użytkowników systemu wynosi min. 3. Każdy z użytkowników ma jednoczesny dostęp do każdej z wymaganych aplikacji klinicznych </w:t>
            </w:r>
            <w:r w:rsidRPr="00212BBB">
              <w:rPr>
                <w:rFonts w:ascii="Arial" w:hAnsi="Arial" w:cs="Arial"/>
                <w:i/>
              </w:rPr>
              <w:t>(należy podać ilość licencji)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Licencja obejmuje wszystkie wymagane funkcjonalności systemu, z aplikacjami klinicznymi włącznie. Każdy jednoczesny użytkownik systemu musi mieć dostęp do tych samych funkcjonalności i aplikacji klinicznych w tym samym czasie.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3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możliwy do skonfigurowania z Active Directory i LDAP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wspiera wirtualizację na platformie Vmware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importu i eksportu badań z/do nośnika USB i CD/DVD, z poziomu komputera (stacji klienckiej serwera) również w przypadku brakujących plików DICOMDIR.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Archiwizacja badań pacjentów na CD/DVD/USB w standardzie DICOM 3.0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Interfejs sieciowy zgodny z DICOM 3.0 zgodny z min. następującymi klasami serwisowymi: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</w:rPr>
              <w:t>Send</w:t>
            </w:r>
            <w:proofErr w:type="spellEnd"/>
            <w:r w:rsidRPr="00212BBB">
              <w:rPr>
                <w:rFonts w:ascii="Arial" w:hAnsi="Arial" w:cs="Arial"/>
              </w:rPr>
              <w:t xml:space="preserve"> / </w:t>
            </w:r>
            <w:proofErr w:type="spellStart"/>
            <w:r w:rsidRPr="00212BBB">
              <w:rPr>
                <w:rFonts w:ascii="Arial" w:hAnsi="Arial" w:cs="Arial"/>
              </w:rPr>
              <w:t>Receive</w:t>
            </w:r>
            <w:proofErr w:type="spellEnd"/>
          </w:p>
          <w:p w:rsidR="00CE1302" w:rsidRPr="00212BBB" w:rsidRDefault="00CE1302" w:rsidP="009D6BE0">
            <w:pPr>
              <w:pStyle w:val="Standard"/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Basic </w:t>
            </w:r>
            <w:proofErr w:type="spellStart"/>
            <w:r w:rsidRPr="00212BBB">
              <w:rPr>
                <w:rFonts w:ascii="Arial" w:hAnsi="Arial" w:cs="Arial"/>
              </w:rPr>
              <w:t>Print</w:t>
            </w:r>
            <w:proofErr w:type="spellEnd"/>
          </w:p>
          <w:p w:rsidR="00CE1302" w:rsidRPr="00212BBB" w:rsidRDefault="00CE1302" w:rsidP="009D6BE0">
            <w:pPr>
              <w:pStyle w:val="Standard"/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Query / </w:t>
            </w:r>
            <w:proofErr w:type="spellStart"/>
            <w:r w:rsidRPr="00212BBB">
              <w:rPr>
                <w:rFonts w:ascii="Arial" w:hAnsi="Arial" w:cs="Arial"/>
              </w:rPr>
              <w:t>Retrieve</w:t>
            </w:r>
            <w:proofErr w:type="spellEnd"/>
          </w:p>
          <w:p w:rsidR="00CE1302" w:rsidRPr="00212BBB" w:rsidRDefault="00CE1302" w:rsidP="009D6BE0">
            <w:pPr>
              <w:pStyle w:val="Standard"/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Storage </w:t>
            </w:r>
            <w:proofErr w:type="spellStart"/>
            <w:r w:rsidRPr="00212BBB">
              <w:rPr>
                <w:rFonts w:ascii="Arial" w:hAnsi="Arial" w:cs="Arial"/>
              </w:rPr>
              <w:t>Commitment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631A72">
              <w:rPr>
                <w:rFonts w:ascii="Arial" w:hAnsi="Arial" w:cs="Arial"/>
              </w:rPr>
              <w:t>System ma umożliwiać zapisanie</w:t>
            </w:r>
            <w:r w:rsidRPr="00212BBB">
              <w:rPr>
                <w:rFonts w:ascii="Arial" w:hAnsi="Arial" w:cs="Arial"/>
              </w:rPr>
              <w:t xml:space="preserve"> obrazów kluczowych zgodnie z standardem </w:t>
            </w:r>
            <w:proofErr w:type="spellStart"/>
            <w:r w:rsidRPr="00212BBB">
              <w:rPr>
                <w:rFonts w:ascii="Arial" w:hAnsi="Arial" w:cs="Arial"/>
              </w:rPr>
              <w:t>Key</w:t>
            </w:r>
            <w:proofErr w:type="spellEnd"/>
            <w:r w:rsidRPr="00212BBB">
              <w:rPr>
                <w:rFonts w:ascii="Arial" w:hAnsi="Arial" w:cs="Arial"/>
              </w:rPr>
              <w:t xml:space="preserve"> Object </w:t>
            </w:r>
            <w:proofErr w:type="spellStart"/>
            <w:r w:rsidRPr="00212BBB">
              <w:rPr>
                <w:rFonts w:ascii="Arial" w:hAnsi="Arial" w:cs="Arial"/>
              </w:rPr>
              <w:t>Selection</w:t>
            </w:r>
            <w:proofErr w:type="spellEnd"/>
            <w:r w:rsidRPr="00212BBB">
              <w:rPr>
                <w:rFonts w:ascii="Arial" w:hAnsi="Arial" w:cs="Arial"/>
              </w:rPr>
              <w:t xml:space="preserve"> Dokument (DICOM SOP 1.2.840.10008.5.1.4.1.1.88.59) oraz zapewnia pełną zgodność ze standardem </w:t>
            </w:r>
            <w:proofErr w:type="spellStart"/>
            <w:r w:rsidRPr="00212BBB">
              <w:rPr>
                <w:rFonts w:ascii="Arial" w:hAnsi="Arial" w:cs="Arial"/>
              </w:rPr>
              <w:t>Enchanced</w:t>
            </w:r>
            <w:proofErr w:type="spellEnd"/>
            <w:r w:rsidRPr="00212BBB">
              <w:rPr>
                <w:rFonts w:ascii="Arial" w:hAnsi="Arial" w:cs="Arial"/>
              </w:rPr>
              <w:t xml:space="preserve"> DICOM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System umożliwiający zapisanie zrzutu ekranu i wysłanie go do systemu PACS jako DICOM </w:t>
            </w:r>
            <w:proofErr w:type="spellStart"/>
            <w:r w:rsidRPr="00212BBB">
              <w:rPr>
                <w:rFonts w:ascii="Arial" w:hAnsi="Arial" w:cs="Arial"/>
              </w:rPr>
              <w:t>Secondary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Capture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631A72">
              <w:rPr>
                <w:rFonts w:ascii="Arial" w:hAnsi="Arial" w:cs="Arial"/>
              </w:rPr>
              <w:t>System ma umożliwiać wybór danych, które mają być wyświetlone w przeglądarce. Możliwość wyboru: pojedyncze badanie, wiele badań, wybrane serie z pojedynczego badania, wybrane serie z wielu badań oraz dowolnie wybrany fragment serii pojedynczego badania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 poziomu użytkownika aplikacji klienckiej musi istnieć możliwość monitorowania zasobów serwera aplikacyjnego lub z poziomu administratora w tym min.: liczba aktualnie zalogowanych użytkowników, użycie pamięci RAM i CPU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631A72">
              <w:rPr>
                <w:rFonts w:ascii="Arial" w:hAnsi="Arial" w:cs="Arial"/>
              </w:rPr>
              <w:t>System musi pozwalać</w:t>
            </w:r>
            <w:r w:rsidRPr="00212BBB">
              <w:rPr>
                <w:rFonts w:ascii="Arial" w:hAnsi="Arial" w:cs="Arial"/>
              </w:rPr>
              <w:t xml:space="preserve"> na pełne wykorzystanie myszy 3-przyciskowej zarówno w oknie wyszukiwarki badań, przeglądarkach i aplikacjach klinicznych.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631A72">
              <w:rPr>
                <w:rFonts w:ascii="Arial" w:hAnsi="Arial" w:cs="Arial"/>
              </w:rPr>
              <w:t>System ma umożliwiać</w:t>
            </w:r>
            <w:r w:rsidRPr="00212BBB">
              <w:rPr>
                <w:rFonts w:ascii="Arial" w:hAnsi="Arial" w:cs="Arial"/>
              </w:rPr>
              <w:t xml:space="preserve"> włączenie i zmianę kompresji obrazów (bezstratną i stratną) z poziomu okna logowania i przeglądarki obrazów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instalacji klienta systemu na systemach operacyjnych min.: Windows 10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Pełne wsparcie klienta systemu dla systemów operacyjnych w architekturze 64-bitowej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Zdalny dostęp z pełną funkcjonalnością (również spoza sieci lokalnej) do systemu pozwalający na instalację klienta i ocenę obrazów i pracę w każdej zaawansowanej aplikacji, również w jakości diagnostycznej.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2BBB">
              <w:rPr>
                <w:rFonts w:ascii="Arial" w:eastAsia="Times New Roman" w:hAnsi="Arial" w:cs="Arial"/>
                <w:lang w:eastAsia="pl-PL"/>
              </w:rPr>
              <w:t xml:space="preserve">Zamawiający wymaga dostarczenia wszystkich licencji oraz pełnej integracji i konfiguracji dostarczanego systemu oraz jego elementów składowych z posiadanym systemem RIS/PACS firmy </w:t>
            </w:r>
            <w:proofErr w:type="spellStart"/>
            <w:r w:rsidRPr="00212BBB">
              <w:rPr>
                <w:rFonts w:ascii="Arial" w:eastAsia="Times New Roman" w:hAnsi="Arial" w:cs="Arial"/>
                <w:lang w:eastAsia="pl-PL"/>
              </w:rPr>
              <w:t>CompuGroup</w:t>
            </w:r>
            <w:proofErr w:type="spellEnd"/>
            <w:r w:rsidRPr="00212BB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212BBB">
              <w:rPr>
                <w:rFonts w:ascii="Arial" w:eastAsia="Times New Roman" w:hAnsi="Arial" w:cs="Arial"/>
                <w:lang w:eastAsia="pl-PL"/>
              </w:rPr>
              <w:t>Medical</w:t>
            </w:r>
            <w:proofErr w:type="spellEnd"/>
            <w:r w:rsidRPr="00212BBB">
              <w:rPr>
                <w:rFonts w:ascii="Arial" w:eastAsia="Times New Roman" w:hAnsi="Arial" w:cs="Arial"/>
                <w:lang w:eastAsia="pl-PL"/>
              </w:rPr>
              <w:t xml:space="preserve"> Polska na koszt Wykonawcy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2BBB">
              <w:rPr>
                <w:rFonts w:ascii="Arial" w:eastAsia="Times New Roman" w:hAnsi="Arial" w:cs="Arial"/>
                <w:lang w:eastAsia="pl-PL"/>
              </w:rPr>
              <w:t>Zamawiający wymaga aby całość przedmiotu zamówienia w tym elementy zapewniające poprawną komunikację aparatu z systemem RIS/PACS były objęte gwarancją na okres jak w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Aplikacje konsoli lekarskiej zainstalowane na poziomie serwera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34"/>
              </w:tabs>
              <w:suppressAutoHyphens/>
              <w:autoSpaceDN w:val="0"/>
              <w:spacing w:after="0" w:line="240" w:lineRule="auto"/>
              <w:ind w:left="217" w:right="-212"/>
              <w:contextualSpacing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jednoczesnego wyświetlenia w dwóch osobnych oknach przeglądarki tej samej serii badania CT lub MR z różnymi ustawieniami poziomu okna (np. kostne i tkanek miękkich) wraz zapewnieniem synchronizacji.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</w:rPr>
              <w:t xml:space="preserve">Oprogramowanie kliniczne dedykowane dla min. </w:t>
            </w:r>
            <w:r w:rsidRPr="00212BBB">
              <w:rPr>
                <w:rFonts w:ascii="Arial" w:hAnsi="Arial" w:cs="Arial"/>
              </w:rPr>
              <w:t>3</w:t>
            </w:r>
            <w:r w:rsidRPr="00212BBB">
              <w:rPr>
                <w:rFonts w:ascii="Arial" w:eastAsia="Calibri" w:hAnsi="Arial" w:cs="Arial"/>
              </w:rPr>
              <w:t xml:space="preserve"> jednoczesnych użytkowników.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</w:rPr>
              <w:t>Możliwość jednoczesnego przetwarzania min 24 000 warstw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304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porównywania obrazów między modalnościami, pomiarów, adnotacji, subtrakcji między dwoma seriami badań oraz oceny intensywności w czasie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Analiza CT oraz MR: badania naczyniowe, badania jamy brzusznej, MSK, neurologiczne (mózg oraz kręgosłup)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Edytor raportów z możliwością edycji oraz wydruku na drukarkach DICOM lub </w:t>
            </w:r>
            <w:proofErr w:type="spellStart"/>
            <w:r w:rsidRPr="00212BBB">
              <w:rPr>
                <w:rFonts w:ascii="Arial" w:hAnsi="Arial" w:cs="Arial"/>
              </w:rPr>
              <w:t>Postscipt</w:t>
            </w:r>
            <w:proofErr w:type="spellEnd"/>
            <w:r w:rsidRPr="00212BBB">
              <w:rPr>
                <w:rFonts w:ascii="Arial" w:hAnsi="Arial" w:cs="Arial"/>
              </w:rPr>
              <w:t xml:space="preserve"> oraz eksportem do formatu MS Word, PDF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40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Publikowanie danych na CD/DVD z przeglądarką DICOM w formie pojedynczej oraz pakietowej („</w:t>
            </w:r>
            <w:proofErr w:type="spellStart"/>
            <w:r w:rsidRPr="00212BBB">
              <w:rPr>
                <w:rFonts w:ascii="Arial" w:hAnsi="Arial" w:cs="Arial"/>
              </w:rPr>
              <w:t>batch</w:t>
            </w:r>
            <w:proofErr w:type="spellEnd"/>
            <w:r w:rsidRPr="00212BBB">
              <w:rPr>
                <w:rFonts w:ascii="Arial" w:hAnsi="Arial" w:cs="Arial"/>
              </w:rPr>
              <w:t>”) z możliwością eksportu do obrazów i/lub filmów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469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Łączenie obrazów MR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F941C3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F941C3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 serwer aplikacyjny – 2 pkt</w:t>
            </w:r>
          </w:p>
          <w:p w:rsidR="00F941C3" w:rsidRPr="00212BBB" w:rsidRDefault="00F941C3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 konsolę operatorską – 0 pkt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Domyślny lub automatyczny dostęp do poprzednich badań w systemie PACS danego pacjenta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6F2AAE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6F2AAE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1 pkt</w:t>
            </w:r>
          </w:p>
          <w:p w:rsidR="006F2AAE" w:rsidRPr="00212BBB" w:rsidRDefault="006F2AAE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pkt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Wbudowana pomoc kontekstowa dostępna z poziomu każdej aplikacji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Aplikacje dedykowane obsłudze badań tomografii komputerowej</w:t>
            </w:r>
          </w:p>
        </w:tc>
      </w:tr>
      <w:tr w:rsidR="00CE1302" w:rsidRPr="00212BBB" w:rsidTr="00E34EEB">
        <w:trPr>
          <w:trHeight w:val="386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Jednoczesny dostęp dla min. 3 użytkowników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52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Pakiet aplikacji zaawansowanych umożliwiających minimum: badania naczyniowe, badania jamy brzusznej, MSK, neurologiczne (mózg oraz kręgosłup)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429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>Pakiet oprogramowania do oceny i analizy naczyń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Aplikacje dedykowane obsłudze badań rezonansu magnetycznego</w:t>
            </w:r>
          </w:p>
        </w:tc>
      </w:tr>
      <w:tr w:rsidR="006B5D7C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D7C" w:rsidRPr="00212BBB" w:rsidRDefault="006B5D7C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D7C" w:rsidRPr="006B5D7C" w:rsidRDefault="006B5D7C" w:rsidP="00E34EEB">
            <w:pPr>
              <w:pStyle w:val="Standard"/>
              <w:rPr>
                <w:rFonts w:ascii="Arial" w:hAnsi="Arial" w:cs="Arial"/>
              </w:rPr>
            </w:pPr>
            <w:r w:rsidRPr="006B5D7C">
              <w:rPr>
                <w:rFonts w:ascii="Arial" w:hAnsi="Arial" w:cs="Arial"/>
                <w:strike/>
                <w:color w:val="FF0000"/>
              </w:rPr>
              <w:t xml:space="preserve">Jednoczesny dostęp dla min. 3 użytkowników (należy podać) </w:t>
            </w:r>
            <w:r w:rsidRPr="006B5D7C">
              <w:rPr>
                <w:rFonts w:ascii="Arial" w:hAnsi="Arial" w:cs="Arial"/>
                <w:b/>
                <w:color w:val="FF0000"/>
              </w:rPr>
              <w:t>- USUNIĘTY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D7C" w:rsidRPr="00212BBB" w:rsidRDefault="006B5D7C" w:rsidP="00DA1044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D7C" w:rsidRPr="00212BBB" w:rsidRDefault="006B5D7C" w:rsidP="00DA1044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D7C" w:rsidRPr="00212BBB" w:rsidRDefault="006B5D7C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953F57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F57" w:rsidRPr="00212BBB" w:rsidRDefault="00953F57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F57" w:rsidRDefault="00953F57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Pakiet aplikacji zaawansowanych umożliwiających minimum: badania naczyniowe, badania jamy brzusznej, MSK, neurologiczne (mózg oraz kręgosłup)</w:t>
            </w:r>
          </w:p>
          <w:p w:rsidR="00953F57" w:rsidRPr="00212BBB" w:rsidRDefault="00953F57" w:rsidP="00E34E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Jednoczesny dostęp dla minimum 3 użytkowników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F57" w:rsidRPr="00212BBB" w:rsidRDefault="00953F57" w:rsidP="00DA1044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F57" w:rsidRPr="00212BBB" w:rsidRDefault="00953F57" w:rsidP="00DA1044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F57" w:rsidRPr="00212BBB" w:rsidRDefault="00953F57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Analiza badań dyfuzyjnych, min. w zakresie: analiza Ilościowa, kalkulacja i prezentacja map ADC</w:t>
            </w:r>
          </w:p>
          <w:p w:rsidR="00953F57" w:rsidRPr="00212BBB" w:rsidRDefault="00953F57" w:rsidP="00953F5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Jednoczesny dostęp dla minimum 1 użytkownika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Analiza badań perfuzyjnych min. w zakresie: analiza Ilościowa, kalkulacja i prezentacja w kolorze wskaźników MTT, CBV, CBF, MTT z możliwością obliczania obszaru niedopasowania perfuzji i dyfuzji, analiza porównawcza badań wraz z oceną progresji.</w:t>
            </w:r>
          </w:p>
          <w:p w:rsidR="00CE1302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Wyznaczanie map perfuzyjnych z wykorzystaniem czterech algorytmów rozplotowych, algorytm do korekcji artefaktów ruchowych</w:t>
            </w:r>
          </w:p>
          <w:p w:rsidR="00D715B2" w:rsidRPr="00212BBB" w:rsidRDefault="00D715B2" w:rsidP="00E34E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Jednoczesny dostęp dla minimum 1 użytkownika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Analiza krzywych kinetycznych, ROI, statystyki, histogramy, segmentacja objętości, „</w:t>
            </w:r>
            <w:proofErr w:type="spellStart"/>
            <w:r w:rsidRPr="00212BBB">
              <w:rPr>
                <w:rFonts w:ascii="Arial" w:hAnsi="Arial" w:cs="Arial"/>
              </w:rPr>
              <w:t>follow-up</w:t>
            </w:r>
            <w:proofErr w:type="spellEnd"/>
            <w:r w:rsidRPr="00212BBB">
              <w:rPr>
                <w:rFonts w:ascii="Arial" w:hAnsi="Arial" w:cs="Arial"/>
              </w:rPr>
              <w:t>”.</w:t>
            </w:r>
          </w:p>
          <w:p w:rsidR="00D715B2" w:rsidRPr="00212BBB" w:rsidRDefault="00D715B2" w:rsidP="00E34E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Jednoczesny dostęp dla minimum 1 użytkownika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Pomiar wzmocnienia kontrastowego z wykorzystaniem analizy krzywych kinetycznych</w:t>
            </w:r>
          </w:p>
          <w:p w:rsidR="00D715B2" w:rsidRPr="00212BBB" w:rsidRDefault="00D715B2" w:rsidP="00E34E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Jednoczesny dostęp dla minimum 1 użytkownika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Śledzenie zmian w różnych punktach czasowych,</w:t>
            </w:r>
          </w:p>
          <w:p w:rsidR="00D715B2" w:rsidRPr="00212BBB" w:rsidRDefault="00D715B2" w:rsidP="00E34E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Jednoczesny dostęp dla minimum 1 użytkownika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Dynamika przepływu krwi</w:t>
            </w:r>
          </w:p>
          <w:p w:rsidR="00D715B2" w:rsidRPr="00212BBB" w:rsidRDefault="00D715B2" w:rsidP="00E34E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Jednoczesny dostęp dla minimum 1 użytkownika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Zautomatyzowana obróbka badań mózgu</w:t>
            </w:r>
          </w:p>
          <w:p w:rsidR="00D715B2" w:rsidRPr="00212BBB" w:rsidRDefault="00D715B2" w:rsidP="00E34E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Jednoczesny dostęp dla minimum 1 użytkownika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593A24" w:rsidP="00E34E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E1302" w:rsidRPr="00212BBB">
              <w:rPr>
                <w:rFonts w:ascii="Arial" w:hAnsi="Arial" w:cs="Arial"/>
              </w:rPr>
              <w:t>bliczanie map dyfuzyjnych i przepuszczalności (</w:t>
            </w:r>
            <w:proofErr w:type="spellStart"/>
            <w:r w:rsidR="00CE1302" w:rsidRPr="00212BBB">
              <w:rPr>
                <w:rFonts w:ascii="Arial" w:hAnsi="Arial" w:cs="Arial"/>
              </w:rPr>
              <w:t>permeability</w:t>
            </w:r>
            <w:proofErr w:type="spellEnd"/>
            <w:r w:rsidR="00CE1302" w:rsidRPr="00212BBB">
              <w:rPr>
                <w:rFonts w:ascii="Arial" w:hAnsi="Arial" w:cs="Arial"/>
              </w:rPr>
              <w:t>)</w:t>
            </w:r>
          </w:p>
          <w:p w:rsidR="00D715B2" w:rsidRPr="00212BBB" w:rsidRDefault="00D715B2" w:rsidP="00E34E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Jednoczesny dostęp dla minimum 1 użytkownika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593A24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593A24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Automatycznie – 2 pkt</w:t>
            </w:r>
          </w:p>
          <w:p w:rsidR="00593A24" w:rsidRPr="00212BBB" w:rsidRDefault="00593A24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Nieautomatycznie – 0 pkt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173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D715B2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Tworzenie sprawozdań w celu wydruku na papierze wyników klinicznych ze stacji lekarskiej, włączając wyświetlanie obrazów kluczowych i ramek wyników. Sprawozdanie dostępne dla rozpowszechnienia zwykłego na papierze lub elektronicznego do lekarzy kierujących, pacjentów lub zapisów lekarskich. Sprawozdanie do zapisu jako plik PDF w celu transmisji cyfrowej lub do wydruku na papierze oraz możliwość zapisu jako DICOM </w:t>
            </w:r>
            <w:proofErr w:type="spellStart"/>
            <w:r w:rsidRPr="00212BBB">
              <w:rPr>
                <w:rFonts w:ascii="Arial" w:hAnsi="Arial" w:cs="Arial"/>
              </w:rPr>
              <w:t>secondary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capture</w:t>
            </w:r>
            <w:proofErr w:type="spellEnd"/>
            <w:r w:rsidRPr="00212BBB">
              <w:rPr>
                <w:rFonts w:ascii="Arial" w:hAnsi="Arial" w:cs="Arial"/>
              </w:rPr>
              <w:t xml:space="preserve"> lub DICOM </w:t>
            </w:r>
            <w:proofErr w:type="spellStart"/>
            <w:r w:rsidRPr="00212BBB">
              <w:rPr>
                <w:rFonts w:ascii="Arial" w:hAnsi="Arial" w:cs="Arial"/>
              </w:rPr>
              <w:t>embeded</w:t>
            </w:r>
            <w:proofErr w:type="spellEnd"/>
            <w:r w:rsidRPr="00212BBB">
              <w:rPr>
                <w:rFonts w:ascii="Arial" w:hAnsi="Arial" w:cs="Arial"/>
              </w:rPr>
              <w:t xml:space="preserve"> PDF do przechowywania w obrębie systemu PACS.</w:t>
            </w:r>
            <w:r w:rsidR="00D715B2">
              <w:rPr>
                <w:rFonts w:ascii="Arial" w:hAnsi="Arial" w:cs="Arial"/>
              </w:rPr>
              <w:t xml:space="preserve"> Jednoczesny dostęp dla minimum 3 użytkowników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413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12BBB">
              <w:rPr>
                <w:rFonts w:ascii="Arial" w:hAnsi="Arial" w:cs="Arial"/>
                <w:b/>
              </w:rPr>
              <w:t>Bezprzewodowa dwukomorowa strzykawka automatyczna do podawania środka kontrastowego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Strzykawka </w:t>
            </w:r>
            <w:r>
              <w:rPr>
                <w:rFonts w:ascii="Arial" w:hAnsi="Arial" w:cs="Arial"/>
              </w:rPr>
              <w:t>ma być przeznaczona</w:t>
            </w:r>
            <w:r w:rsidRPr="00212BBB">
              <w:rPr>
                <w:rFonts w:ascii="Arial" w:hAnsi="Arial" w:cs="Arial"/>
              </w:rPr>
              <w:t xml:space="preserve"> do pracy w środowisku rezonansu magnetycznego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359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Pobieranie środka cieniującego i roztworu NaCl bezpośrednio z oryginalnych opakowań różnych producentów środków cieniujących, bez konieczności przelewania do specjalistycznych wkładów.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Regulowana prędkość przepływu  w minimalnym zakresie od 0,1 ml/s do 10 ml/s.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 wypełnianie wężyka pacjenta w końcowej fazie iniekcji roztworem NaCl.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wykrywania pęcherzyków powietrza w wężykach z sygnalizacją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0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</w:rPr>
              <w:t>Wstrzykiwacz</w:t>
            </w:r>
            <w:proofErr w:type="spellEnd"/>
            <w:r w:rsidRPr="00212BBB">
              <w:rPr>
                <w:rFonts w:ascii="Arial" w:hAnsi="Arial" w:cs="Arial"/>
              </w:rPr>
              <w:t xml:space="preserve"> wyposażony w min. jeden dotykowy panel sterujący – interfejs w języku polskim.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tworzenia i zapamiętywania dedykowanych programów podawania kontrastu i roztworu NaCl (protokołów)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pracy z materiałami zużywalnymi o certyfikowanej sterylności przez 24 h niezależnie od ilości wykonanych iniekcji oraz zużytego środka kontrastowego czy NaCl.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Eksploatacja oferowanego </w:t>
            </w:r>
            <w:proofErr w:type="spellStart"/>
            <w:r>
              <w:rPr>
                <w:rFonts w:ascii="Arial" w:hAnsi="Arial" w:cs="Arial"/>
              </w:rPr>
              <w:t>wstrzykiwacza</w:t>
            </w:r>
            <w:proofErr w:type="spellEnd"/>
            <w:r>
              <w:rPr>
                <w:rFonts w:ascii="Arial" w:hAnsi="Arial" w:cs="Arial"/>
              </w:rPr>
              <w:t xml:space="preserve"> musi być prowadzona z </w:t>
            </w:r>
            <w:r w:rsidRPr="00212BBB">
              <w:rPr>
                <w:rFonts w:ascii="Arial" w:hAnsi="Arial" w:cs="Arial"/>
              </w:rPr>
              <w:t xml:space="preserve">wykorzystaniem wyłącznie materiałów eksploatacyjnych </w:t>
            </w:r>
            <w:r>
              <w:rPr>
                <w:rFonts w:ascii="Arial" w:hAnsi="Arial" w:cs="Arial"/>
              </w:rPr>
              <w:t>nie</w:t>
            </w:r>
            <w:r w:rsidRPr="00212BBB">
              <w:rPr>
                <w:rFonts w:ascii="Arial" w:hAnsi="Arial" w:cs="Arial"/>
              </w:rPr>
              <w:t xml:space="preserve"> zawierających związków DEHP (</w:t>
            </w:r>
            <w:proofErr w:type="spellStart"/>
            <w:r w:rsidRPr="00212BBB">
              <w:rPr>
                <w:rFonts w:ascii="Arial" w:hAnsi="Arial" w:cs="Arial"/>
              </w:rPr>
              <w:t>ftalany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dietyloheksylu</w:t>
            </w:r>
            <w:proofErr w:type="spellEnd"/>
            <w:r w:rsidRPr="00212BBB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spacing w:after="12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Rodzaj połączenia strzykawki z konsolą sterującą –  bezprzewodowy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413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12BBB">
              <w:rPr>
                <w:rFonts w:ascii="Arial" w:hAnsi="Arial" w:cs="Arial"/>
                <w:b/>
              </w:rPr>
              <w:t>Sieciowy duplikator do nagrywania płyt CD/DVD z badaniami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Urządzenie do nagrywania i nadrukowywania etykiet na płytach dla pacjentów: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Pojemnik na czyste płyty min. 2 x 50 sztuk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 xml:space="preserve">Technologia druku atramentowa o rozdzielczości minimum 720 x 720 </w:t>
            </w:r>
            <w:proofErr w:type="spellStart"/>
            <w:r w:rsidRPr="00212BBB">
              <w:rPr>
                <w:rFonts w:ascii="Arial" w:hAnsi="Arial" w:cs="Arial"/>
                <w:shd w:val="clear" w:color="auto" w:fill="FFFFFF"/>
              </w:rPr>
              <w:t>dpi</w:t>
            </w:r>
            <w:proofErr w:type="spellEnd"/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Szybkość publikowania minimum 15 płyt / godzina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Minimum dwa napędy nagrywające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Cały system w jednej zwartej obudowie.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2"/>
              </w:numPr>
              <w:tabs>
                <w:tab w:val="left" w:pos="-4253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definiowania dowolnej ilości użytkowników pracujących w aplikacji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2"/>
              </w:numPr>
              <w:tabs>
                <w:tab w:val="left" w:pos="-4253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Podgląd statusów przygotowywanych zadań wraz z progresem (informacja jest automatycznie aktualizowana)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2"/>
              </w:numPr>
              <w:tabs>
                <w:tab w:val="left" w:pos="-4253"/>
              </w:tabs>
              <w:suppressAutoHyphens/>
              <w:spacing w:after="0" w:line="240" w:lineRule="auto"/>
              <w:ind w:right="778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kasowanie najstarszych badań z komputera sterującego w przypadku przekroczenia limitu zajętości dysku.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2"/>
              </w:numPr>
              <w:tabs>
                <w:tab w:val="left" w:pos="-4253"/>
              </w:tabs>
              <w:suppressAutoHyphens/>
              <w:spacing w:after="0" w:line="240" w:lineRule="auto"/>
              <w:ind w:right="778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dopasowania wyglądu strony powitalnej aplikacji startującej po włożeniu nagranego nośnika do napędu komputera (z uwzględnieniem logo zamawiającego) z możliwością wyboru przeglądarki DICOM bądź otwarcia opisu wybranego badania.</w:t>
            </w:r>
          </w:p>
          <w:p w:rsidR="00CE1302" w:rsidRPr="00212BBB" w:rsidRDefault="00CE1302" w:rsidP="00E34EEB">
            <w:pPr>
              <w:tabs>
                <w:tab w:val="left" w:pos="-4253"/>
              </w:tabs>
              <w:spacing w:after="0" w:line="240" w:lineRule="auto"/>
              <w:ind w:left="360" w:right="778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(należy podać producenta, model oraz parametry)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 xml:space="preserve">Komputer sterujący typu </w:t>
            </w:r>
            <w:proofErr w:type="spellStart"/>
            <w:r w:rsidRPr="00212BBB">
              <w:rPr>
                <w:rFonts w:ascii="Arial" w:hAnsi="Arial" w:cs="Arial"/>
                <w:shd w:val="clear" w:color="auto" w:fill="FFFFFF"/>
              </w:rPr>
              <w:t>AllinOne</w:t>
            </w:r>
            <w:proofErr w:type="spellEnd"/>
            <w:r w:rsidRPr="00212BBB">
              <w:rPr>
                <w:rFonts w:ascii="Arial" w:hAnsi="Arial" w:cs="Arial"/>
                <w:shd w:val="clear" w:color="auto" w:fill="FFFFFF"/>
              </w:rPr>
              <w:t>: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212BBB">
              <w:rPr>
                <w:rFonts w:ascii="Arial" w:hAnsi="Arial" w:cs="Arial"/>
                <w:shd w:val="clear" w:color="auto" w:fill="FFFFFF"/>
                <w:lang w:val="en-GB"/>
              </w:rPr>
              <w:t>Procesor</w:t>
            </w:r>
            <w:proofErr w:type="spellEnd"/>
            <w:r w:rsidRPr="00212BBB">
              <w:rPr>
                <w:rFonts w:ascii="Arial" w:hAnsi="Arial" w:cs="Arial"/>
                <w:shd w:val="clear" w:color="auto" w:fill="FFFFFF"/>
                <w:lang w:val="en-GB"/>
              </w:rPr>
              <w:t xml:space="preserve">: min. 2 </w:t>
            </w:r>
            <w:proofErr w:type="spellStart"/>
            <w:r w:rsidRPr="00212BBB">
              <w:rPr>
                <w:rFonts w:ascii="Arial" w:hAnsi="Arial" w:cs="Arial"/>
                <w:shd w:val="clear" w:color="auto" w:fill="FFFFFF"/>
                <w:lang w:val="en-GB"/>
              </w:rPr>
              <w:t>rdzenie</w:t>
            </w:r>
            <w:proofErr w:type="spellEnd"/>
            <w:r w:rsidRPr="00212BBB">
              <w:rPr>
                <w:rFonts w:ascii="Arial" w:hAnsi="Arial" w:cs="Arial"/>
                <w:shd w:val="clear" w:color="auto" w:fill="FFFFFF"/>
                <w:lang w:val="en-GB"/>
              </w:rPr>
              <w:t xml:space="preserve"> 2,4GHz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Pamięć RAM: minimum 4GB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Dysk twardy: minimum 256GB SSD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System operacyjny: MS Windows 10 PRO lub równoważny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Monitor o przekątnej min. 21”</w:t>
            </w:r>
          </w:p>
          <w:p w:rsidR="00CE1302" w:rsidRPr="00212BBB" w:rsidRDefault="00CE1302" w:rsidP="00E34EE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i/>
              </w:rPr>
              <w:t>(należy podać parametry)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Wymagania funkcjonalne oprogramowania: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odbiór badań za pośrednictwem komunikacji DICOM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odbieranie skompresowanych plików (JPEG2000)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nagrywanie na nośniki CD/DVD wraz z przeglądarką DICOM nieskompresowanych plików .dcm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odbiór opisów badań za pośrednictwem komunikacji HL7 </w:t>
            </w:r>
            <w:r w:rsidR="009F4E80">
              <w:rPr>
                <w:rFonts w:ascii="Arial" w:hAnsi="Arial" w:cs="Arial"/>
              </w:rPr>
              <w:t xml:space="preserve">lub za pośrednictwem PACS i zapisu </w:t>
            </w:r>
            <w:proofErr w:type="spellStart"/>
            <w:r w:rsidR="009F4E80">
              <w:rPr>
                <w:rFonts w:ascii="Arial" w:hAnsi="Arial" w:cs="Arial"/>
              </w:rPr>
              <w:t>Encapsulated</w:t>
            </w:r>
            <w:proofErr w:type="spellEnd"/>
            <w:r w:rsidR="009F4E80">
              <w:rPr>
                <w:rFonts w:ascii="Arial" w:hAnsi="Arial" w:cs="Arial"/>
              </w:rPr>
              <w:t xml:space="preserve"> pdf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nagrywanie na nośniki CD/DVD opisu w formacie .pdf oraz .txt</w:t>
            </w:r>
            <w:r w:rsidR="009F4E80">
              <w:rPr>
                <w:rFonts w:ascii="Arial" w:hAnsi="Arial" w:cs="Arial"/>
              </w:rPr>
              <w:t xml:space="preserve"> lub w formie DICOM </w:t>
            </w:r>
            <w:proofErr w:type="spellStart"/>
            <w:r w:rsidR="009F4E80">
              <w:rPr>
                <w:rFonts w:ascii="Arial" w:hAnsi="Arial" w:cs="Arial"/>
              </w:rPr>
              <w:t>Encapsulated</w:t>
            </w:r>
            <w:proofErr w:type="spellEnd"/>
            <w:r w:rsidR="009F4E80">
              <w:rPr>
                <w:rFonts w:ascii="Arial" w:hAnsi="Arial" w:cs="Arial"/>
              </w:rPr>
              <w:t xml:space="preserve"> PDF</w:t>
            </w:r>
            <w:r w:rsidRPr="00212BBB">
              <w:rPr>
                <w:rFonts w:ascii="Arial" w:hAnsi="Arial" w:cs="Arial"/>
              </w:rPr>
              <w:t xml:space="preserve"> 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zdefiniowania szablonu opisu badania nagrywanego na nośnik w zależności od modalności badania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zdefiniowania szablonu etykietki drukowanej na nośnik w zależności od modalności badania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nagrywanie dowolnej ilości wybranych badań na jeden nośnik (jeżeli objętość wybranych badań przekroczy dostępne miejsce na nośniku to aplikacja powinna automatycznie wypalić zadanie na kilku płytach). 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obsługa wszystkich modeli robotów marek min. EPSON, RIMAGE (zmiana robota nie wymaga wykupienia dodatkowej licencji)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optymalizacja kosztów i automatyczny dobór nośników (CD/DVD) dla robotów umożliwiających pracę zarówno z nośnikami CD jak i z DVD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weryfikacja poprawności przygotowanego zadania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interfejs użytkownika desktopowy bądź webowy chroniony hasłem umożliwiający min.: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5"/>
              </w:numPr>
              <w:tabs>
                <w:tab w:val="left" w:pos="-4253"/>
              </w:tabs>
              <w:suppressAutoHyphens/>
              <w:spacing w:after="0" w:line="240" w:lineRule="auto"/>
              <w:ind w:left="1060"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Filtrowanie dostępnych badań zarchiwizowanych w systemie min po: imię, nazwisko; data urodzenia; data badania; modalność; nazwa badania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5"/>
              </w:numPr>
              <w:tabs>
                <w:tab w:val="left" w:pos="-4253"/>
              </w:tabs>
              <w:suppressAutoHyphens/>
              <w:spacing w:after="0" w:line="240" w:lineRule="auto"/>
              <w:ind w:left="1060"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Przeszukiwanie innych podpiętych systemów przez DICOM Query/</w:t>
            </w:r>
            <w:proofErr w:type="spellStart"/>
            <w:r w:rsidRPr="00212BBB">
              <w:rPr>
                <w:rFonts w:ascii="Arial" w:hAnsi="Arial" w:cs="Arial"/>
              </w:rPr>
              <w:t>Retrieve</w:t>
            </w:r>
            <w:proofErr w:type="spellEnd"/>
            <w:r w:rsidRPr="00212BBB">
              <w:rPr>
                <w:rFonts w:ascii="Arial" w:hAnsi="Arial" w:cs="Arial"/>
              </w:rPr>
              <w:t xml:space="preserve"> min po: imię, nazwisko; data urodzenia; data badania; modalność; nazwa badania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5"/>
              </w:numPr>
              <w:tabs>
                <w:tab w:val="left" w:pos="-4253"/>
              </w:tabs>
              <w:suppressAutoHyphens/>
              <w:spacing w:after="0" w:line="240" w:lineRule="auto"/>
              <w:ind w:left="1060"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pobierania badań z dodanych węzłów DICOM przez DICOM Query/</w:t>
            </w:r>
            <w:proofErr w:type="spellStart"/>
            <w:r w:rsidRPr="00212BBB">
              <w:rPr>
                <w:rFonts w:ascii="Arial" w:hAnsi="Arial" w:cs="Arial"/>
              </w:rPr>
              <w:t>Retrieve</w:t>
            </w:r>
            <w:proofErr w:type="spellEnd"/>
            <w:r w:rsidRPr="00212BBB">
              <w:rPr>
                <w:rFonts w:ascii="Arial" w:hAnsi="Arial" w:cs="Arial"/>
              </w:rPr>
              <w:t xml:space="preserve"> (konieczny podgląd statusu i progresu) [informacja jest automatycznie aktualizowana]</w:t>
            </w:r>
          </w:p>
          <w:p w:rsidR="00CE1302" w:rsidRPr="00212BBB" w:rsidRDefault="00CE1302" w:rsidP="00E34EEB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413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Niezbędne wyposażenie systemu MR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r w:rsidRPr="00212BBB">
              <w:rPr>
                <w:rFonts w:ascii="Arial" w:hAnsi="Arial" w:cs="Arial"/>
              </w:rPr>
              <w:t xml:space="preserve"> fa</w:t>
            </w:r>
            <w:r>
              <w:rPr>
                <w:rFonts w:ascii="Arial" w:hAnsi="Arial" w:cs="Arial"/>
              </w:rPr>
              <w:t xml:space="preserve">ntomów do przeprowadzenia pełnej </w:t>
            </w:r>
            <w:proofErr w:type="spellStart"/>
            <w:r>
              <w:rPr>
                <w:rFonts w:ascii="Arial" w:hAnsi="Arial" w:cs="Arial"/>
              </w:rPr>
              <w:t>kalibraci</w:t>
            </w:r>
            <w:proofErr w:type="spellEnd"/>
            <w:r w:rsidRPr="00212BBB">
              <w:rPr>
                <w:rFonts w:ascii="Arial" w:hAnsi="Arial" w:cs="Arial"/>
              </w:rPr>
              <w:t xml:space="preserve"> systemu MR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obserwacji pacjenta (kamera video i monitor) dedykowany do pracy z oferowanym systemem MR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Dwukierunkowy system komunikacji z pacjentem (interkom oraz słuchawki) dedykowany do pracy z oferowanym systemem MR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Detektor implantów metalowych (ręczny lub bramka)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Monitor poziomu tlenu w pomieszczeniu badań wraz z alarmem spadku stężenia tlenu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Niemagnetyczna gaśnica kompatybilna ze środowiskiem rezonansu magnetycznego.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Niemagnetyczny wózek inwalidzki do transportu pacjentów w pozycji siedzącej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05785C" w:rsidRDefault="00CE1302" w:rsidP="00E34EEB">
            <w:pPr>
              <w:pStyle w:val="Standard"/>
              <w:jc w:val="both"/>
              <w:rPr>
                <w:rFonts w:ascii="Arial" w:hAnsi="Arial" w:cs="Arial"/>
                <w:highlight w:val="cyan"/>
              </w:rPr>
            </w:pPr>
            <w:r w:rsidRPr="00BD4EE8">
              <w:rPr>
                <w:rFonts w:ascii="Arial" w:hAnsi="Arial" w:cs="Arial"/>
              </w:rPr>
              <w:t>Ergonomiczne krzesło operatora wraz z biurkiem konsoli operatorskiej dostosowane do potrzeb oferowanego rozwiązania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Instrukcje obsługi w języku polskim (w formie papierowej i elektronicznej)  do wszystkich oferowanych składowych systemu – dostarczone wraz z aparatem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Parametry instalacyjne/środowiskowe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Moc przyłączeniowa systemu MR nie więcej niż 136 kVA (podać [kVA])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Pobór mocy systemu MR w trybie nocnym (off) dla zaoferowanego systemu MR wraz z chłodziarką  (podać [kVA])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A81DB0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Default="00A81DB0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Najmniejsza wartość – 1 pkt</w:t>
            </w:r>
          </w:p>
          <w:p w:rsidR="00A81DB0" w:rsidRPr="00212BBB" w:rsidRDefault="00A81DB0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 - 0 pkt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Pobór mocy systemu MR w trybie gotowości do badania (</w:t>
            </w:r>
            <w:proofErr w:type="spellStart"/>
            <w:r w:rsidRPr="00212BBB">
              <w:rPr>
                <w:rFonts w:ascii="Arial" w:hAnsi="Arial" w:cs="Arial"/>
              </w:rPr>
              <w:t>Ready</w:t>
            </w:r>
            <w:proofErr w:type="spellEnd"/>
            <w:r w:rsidRPr="00212BBB">
              <w:rPr>
                <w:rFonts w:ascii="Arial" w:hAnsi="Arial" w:cs="Arial"/>
              </w:rPr>
              <w:t>) dla zaoferowanego systemu MR wraz z chłodziarką  (podać [kVA])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Pobór mocy </w:t>
            </w:r>
            <w:r w:rsidRPr="00212BBB">
              <w:rPr>
                <w:rFonts w:ascii="Arial" w:hAnsi="Arial" w:cs="Arial"/>
                <w:bCs/>
              </w:rPr>
              <w:t xml:space="preserve">w krótkotrwałym (tj. poniżej 5 sekund) piku, dla zaoferowanego systemu MR wraz z chłodziarką </w:t>
            </w:r>
            <w:r w:rsidRPr="00212BBB">
              <w:rPr>
                <w:rFonts w:ascii="Arial" w:hAnsi="Arial" w:cs="Arial"/>
              </w:rPr>
              <w:t xml:space="preserve"> (podać [kVA])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Maksymalna temperatura w pomieszczeniu magnesu, przy której producent gwarantuje poprawną pracę systemu (Podać [°C])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A81DB0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punktowany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DB0" w:rsidRDefault="00874AEB" w:rsidP="00A81DB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Najwyższa wartość – 1</w:t>
            </w:r>
            <w:r w:rsidR="00A81DB0">
              <w:rPr>
                <w:rFonts w:ascii="Arial" w:hAnsi="Arial" w:cs="Arial"/>
              </w:rPr>
              <w:t xml:space="preserve"> pkt</w:t>
            </w:r>
          </w:p>
          <w:p w:rsidR="00874AEB" w:rsidRDefault="00874AEB" w:rsidP="00A81DB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Najniższa wartość 0 pkt</w:t>
            </w:r>
          </w:p>
          <w:p w:rsidR="00CE1302" w:rsidRPr="00212BBB" w:rsidRDefault="00A81DB0" w:rsidP="00874A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Pozostałe  - </w:t>
            </w:r>
            <w:r w:rsidR="00874AEB">
              <w:rPr>
                <w:rFonts w:ascii="Arial" w:hAnsi="Arial" w:cs="Arial"/>
              </w:rPr>
              <w:t>proporcjonalnie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Szkolenia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Podstawowe szkolenie techniczno-aplikacyjne dla lekarzy i techników w miejscu instalacji (dla około 12 osób personelu) w siedzibie Zamawiającego potwierdzone certyfikatami przez min.5 dni  (po min. 6 godzin / dzień) po zainstalowaniu aparatu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>Dodatkowe szkolenia techniczno - aplikacyjne dla lekarzy i techników w siedzibie Zamawiającego potwierdzone certyfikatami przez min. 9 dni (po min. 6 godzin / dzień) w terminie uzgodnionym z Zamawiającym, w tym:</w:t>
            </w:r>
          </w:p>
          <w:p w:rsidR="00CE1302" w:rsidRPr="00212BBB" w:rsidRDefault="00CE1302" w:rsidP="00E34EEB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>- min. 5 dni w ciągu 4 m-</w:t>
            </w:r>
            <w:proofErr w:type="spellStart"/>
            <w:r w:rsidRPr="00212BBB">
              <w:rPr>
                <w:szCs w:val="22"/>
              </w:rPr>
              <w:t>cy</w:t>
            </w:r>
            <w:proofErr w:type="spellEnd"/>
            <w:r w:rsidRPr="00212BBB">
              <w:rPr>
                <w:szCs w:val="22"/>
              </w:rPr>
              <w:t xml:space="preserve"> od uruchomienia</w:t>
            </w:r>
          </w:p>
          <w:p w:rsidR="00CE1302" w:rsidRPr="00212BBB" w:rsidRDefault="00CE1302" w:rsidP="00E34EEB">
            <w:pPr>
              <w:pStyle w:val="Akapitzlis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12BBB">
              <w:rPr>
                <w:rFonts w:ascii="Arial" w:hAnsi="Arial" w:cs="Arial"/>
                <w:bCs/>
                <w:sz w:val="22"/>
                <w:szCs w:val="22"/>
              </w:rPr>
              <w:t>- min. 4 dni do końca trwania gwarancji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>Przeszkolenie personelu technicznego w zakresie podstawowej obsługi, eksploatacji, konserwacji – min. 3 osoby, min. jeden dzień, min. 8 godzin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>Wymienione szkolenia realizowane w całości na koszt Wykonawcy, bez dodatkowych kosztów ze strony Zamawiającego oraz jego personelu.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425A11">
              <w:rPr>
                <w:rFonts w:ascii="Arial" w:hAnsi="Arial" w:cs="Arial"/>
                <w:b/>
              </w:rPr>
              <w:t>Gwarancja, rękojmia  i serwis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 xml:space="preserve">Okres </w:t>
            </w:r>
            <w:r w:rsidRPr="00425A11">
              <w:rPr>
                <w:szCs w:val="22"/>
              </w:rPr>
              <w:t>gwarancji i rękojmi</w:t>
            </w:r>
            <w:r>
              <w:rPr>
                <w:szCs w:val="22"/>
              </w:rPr>
              <w:t xml:space="preserve"> </w:t>
            </w:r>
            <w:r w:rsidRPr="00212BBB">
              <w:rPr>
                <w:szCs w:val="22"/>
              </w:rPr>
              <w:t xml:space="preserve">min. 24 miesiące od daty podpisania przez strony protokołu odbioru aparatu  w tym gwarancja na cewki oraz wszystkie elementy składowe oferowanego zestawu </w:t>
            </w:r>
            <w:r w:rsidRPr="00212BBB">
              <w:rPr>
                <w:i/>
                <w:szCs w:val="22"/>
              </w:rPr>
              <w:t>(</w:t>
            </w:r>
            <w:r w:rsidRPr="00212BBB">
              <w:rPr>
                <w:rFonts w:eastAsia="Calibri"/>
                <w:i/>
                <w:color w:val="000000"/>
                <w:kern w:val="0"/>
                <w:szCs w:val="22"/>
                <w:lang w:eastAsia="en-US"/>
              </w:rPr>
              <w:t>należy podać pełną liczbę mie</w:t>
            </w:r>
            <w:r w:rsidRPr="00212BBB">
              <w:rPr>
                <w:rFonts w:eastAsia="Calibri"/>
                <w:i/>
                <w:color w:val="000000"/>
                <w:kern w:val="0"/>
                <w:szCs w:val="22"/>
                <w:lang w:eastAsia="en-US"/>
              </w:rPr>
              <w:softHyphen/>
              <w:t>sięcy. Wartości ułamkowe będą przy ocenie za</w:t>
            </w:r>
            <w:r w:rsidRPr="00212BBB">
              <w:rPr>
                <w:rFonts w:eastAsia="Calibri"/>
                <w:i/>
                <w:color w:val="000000"/>
                <w:kern w:val="0"/>
                <w:szCs w:val="22"/>
                <w:lang w:eastAsia="en-US"/>
              </w:rPr>
              <w:softHyphen/>
              <w:t>okrąglane w dół – do pełnych miesięcy, Maksymalny okres gwarancji to 60 miesięcy</w:t>
            </w:r>
            <w:r w:rsidRPr="00212BBB">
              <w:rPr>
                <w:i/>
                <w:szCs w:val="22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874AEB" w:rsidRDefault="00CE1302" w:rsidP="00E34EEB">
            <w:pPr>
              <w:pStyle w:val="Standard"/>
              <w:jc w:val="center"/>
              <w:rPr>
                <w:rFonts w:ascii="Arial" w:hAnsi="Arial" w:cs="Arial"/>
                <w:strike/>
              </w:rPr>
            </w:pPr>
            <w:r w:rsidRPr="00874AEB">
              <w:rPr>
                <w:rFonts w:ascii="Arial" w:hAnsi="Arial" w:cs="Arial"/>
                <w:strike/>
              </w:rPr>
              <w:t>punktowany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874AEB" w:rsidRDefault="00CE1302" w:rsidP="00E34EEB">
            <w:pPr>
              <w:pStyle w:val="Standard"/>
              <w:jc w:val="center"/>
              <w:rPr>
                <w:rFonts w:ascii="Arial" w:hAnsi="Arial" w:cs="Arial"/>
                <w:strike/>
              </w:rPr>
            </w:pPr>
            <w:r w:rsidRPr="00874AEB">
              <w:rPr>
                <w:rFonts w:ascii="Arial" w:hAnsi="Arial" w:cs="Arial"/>
                <w:strike/>
              </w:rPr>
              <w:t>Najwyższa wartość 10 pkt.</w:t>
            </w:r>
          </w:p>
          <w:p w:rsidR="00CE1302" w:rsidRPr="00874AEB" w:rsidRDefault="00CE1302" w:rsidP="00E34EEB">
            <w:pPr>
              <w:pStyle w:val="Standard"/>
              <w:jc w:val="center"/>
              <w:rPr>
                <w:rFonts w:ascii="Arial" w:hAnsi="Arial" w:cs="Arial"/>
                <w:strike/>
              </w:rPr>
            </w:pPr>
            <w:r w:rsidRPr="00874AEB">
              <w:rPr>
                <w:rFonts w:ascii="Arial" w:hAnsi="Arial" w:cs="Arial"/>
                <w:strike/>
              </w:rPr>
              <w:t>Pozostałe proporcjonalnie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874AEB" w:rsidP="00E34EE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 należy podać w formularzu ofertowym</w:t>
            </w:r>
            <w:r w:rsidR="001A573A">
              <w:rPr>
                <w:rFonts w:ascii="Arial" w:hAnsi="Arial" w:cs="Arial"/>
              </w:rPr>
              <w:t xml:space="preserve"> – kryterium oceny ofert</w:t>
            </w: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AbsatzTableFormat"/>
              <w:rPr>
                <w:szCs w:val="22"/>
              </w:rPr>
            </w:pPr>
            <w:r>
              <w:rPr>
                <w:bCs/>
                <w:szCs w:val="22"/>
              </w:rPr>
              <w:t>Oferowany zestaw ma mieć możliwość</w:t>
            </w:r>
            <w:r w:rsidRPr="00212BBB">
              <w:rPr>
                <w:bCs/>
                <w:szCs w:val="22"/>
              </w:rPr>
              <w:t xml:space="preserve"> przeprowadzania zdalnej diagnostyki serwisowej aparatu MR za pomocą sieci teleinformatycznej, poprzez zestawiane pod kontrolą Zamawiającego, chronione regułami VPN łącze.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W okresie </w:t>
            </w:r>
            <w:r w:rsidRPr="00425A11">
              <w:rPr>
                <w:rFonts w:ascii="Arial" w:hAnsi="Arial" w:cs="Arial"/>
              </w:rPr>
              <w:t>gwarancji Wykonawca przeprowadzi</w:t>
            </w:r>
            <w:r w:rsidRPr="00212BBB">
              <w:rPr>
                <w:rFonts w:ascii="Arial" w:hAnsi="Arial" w:cs="Arial"/>
              </w:rPr>
              <w:t xml:space="preserve"> bezpłatne przeglądy przedmiotu zamówienia w ilości i zakresie zgodnym z wymogami producenta łącznie z bezpłatną wymianą wszystkich części i materiałów. Ostatni przegląd w ostatnim miesiącu gwarancji z uzupełnieniem helu w magnesie do poziomu technicznie maksymalnego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Czas trwania naprawy gwarancyjnej powoduje przedłużenie okresu gwarancji o pełny okres niesprawności aparatu - liczone w dniach, za każdy rozpoczęty dzień braku możliwości wykonywania badań, co powinno zostać każdorazowo odnotowane w paszporcie technicznym urządzenia.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Najpóźniej po trzeciej naprawie wymiana naprawianego podzespołu na nowy.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  <w:color w:val="000000"/>
                <w:kern w:val="0"/>
              </w:rPr>
              <w:t>Aparat oraz wszystkie oferowane urządzenia pozbawione haseł, kodów, blokad serwi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sowych, itp., które po upływie gwarancji utrudnia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łyby właścicielowi dostęp do opcji serwi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sowych lub naprawę aparatu i urządzeń przez inny niż Wy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konawca umowy podmiot, w przypadku nie ko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rzystania przez zamawiającego z serwisu po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gwarancyjnego Wy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konawcy lub udostępnienie haseł, kodów serwiso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wych, itp., załączonych najpóźniej w ostatnim dniu gwarancji – dotyczy kompletnego przedmiotu zamówienia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eastAsia="Calibri" w:hAnsi="Arial" w:cs="Arial"/>
                <w:color w:val="000000"/>
                <w:kern w:val="0"/>
              </w:rPr>
            </w:pPr>
            <w:r w:rsidRPr="00212BBB">
              <w:rPr>
                <w:rFonts w:ascii="Arial" w:hAnsi="Arial" w:cs="Arial"/>
                <w:kern w:val="0"/>
              </w:rPr>
              <w:t xml:space="preserve">Gwarantowany koszt dwuletniego, pełnego kontraktu serwisowego (wartość brutto, </w:t>
            </w:r>
            <w:r w:rsidRPr="00754563">
              <w:rPr>
                <w:rFonts w:ascii="Arial" w:hAnsi="Arial" w:cs="Arial"/>
                <w:kern w:val="0"/>
              </w:rPr>
              <w:t>waluta P</w:t>
            </w:r>
            <w:r>
              <w:rPr>
                <w:rFonts w:ascii="Arial" w:hAnsi="Arial" w:cs="Arial"/>
                <w:kern w:val="0"/>
              </w:rPr>
              <w:t>LN</w:t>
            </w:r>
            <w:r w:rsidRPr="00212BBB">
              <w:rPr>
                <w:rFonts w:ascii="Arial" w:hAnsi="Arial" w:cs="Arial"/>
                <w:kern w:val="0"/>
              </w:rPr>
              <w:t>) zawierającego wszystkie koszty (w tym robociznę oraz wszystkie części zamienne), możliwego do zawarcia p</w:t>
            </w:r>
            <w:r>
              <w:rPr>
                <w:rFonts w:ascii="Arial" w:hAnsi="Arial" w:cs="Arial"/>
                <w:kern w:val="0"/>
              </w:rPr>
              <w:t xml:space="preserve">o upływie okresu gwarancyjnego. Podany koszt jest </w:t>
            </w:r>
            <w:r w:rsidRPr="00754563">
              <w:rPr>
                <w:rFonts w:ascii="Arial" w:hAnsi="Arial" w:cs="Arial"/>
                <w:kern w:val="0"/>
              </w:rPr>
              <w:t>wiążący</w:t>
            </w:r>
            <w:r>
              <w:rPr>
                <w:rFonts w:ascii="Arial" w:hAnsi="Arial" w:cs="Arial"/>
                <w:kern w:val="0"/>
              </w:rPr>
              <w:t xml:space="preserve"> i nie może wzrosnąć</w:t>
            </w:r>
            <w:r w:rsidRPr="00754563">
              <w:rPr>
                <w:rFonts w:ascii="Arial" w:hAnsi="Arial" w:cs="Arial"/>
                <w:kern w:val="0"/>
              </w:rPr>
              <w:t xml:space="preserve"> przez okres 4 lat</w:t>
            </w:r>
            <w:r w:rsidRPr="00212BBB">
              <w:rPr>
                <w:rFonts w:ascii="Arial" w:hAnsi="Arial" w:cs="Arial"/>
                <w:kern w:val="0"/>
              </w:rPr>
              <w:t xml:space="preserve">  po upływie gwarancji </w:t>
            </w:r>
            <w:r w:rsidRPr="00212BBB">
              <w:rPr>
                <w:rFonts w:ascii="Arial" w:hAnsi="Arial" w:cs="Arial"/>
                <w:i/>
                <w:kern w:val="0"/>
              </w:rPr>
              <w:t>(należy podać)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  <w:kern w:val="0"/>
              </w:rPr>
            </w:pPr>
            <w:r w:rsidRPr="00212BBB">
              <w:rPr>
                <w:rFonts w:ascii="Arial" w:eastAsia="Calibri" w:hAnsi="Arial" w:cs="Arial"/>
                <w:bCs/>
                <w:kern w:val="0"/>
              </w:rPr>
              <w:t xml:space="preserve">Obowiązkowe pokrycie </w:t>
            </w:r>
            <w:r w:rsidRPr="00754563">
              <w:rPr>
                <w:rFonts w:ascii="Arial" w:eastAsia="Calibri" w:hAnsi="Arial" w:cs="Arial"/>
                <w:bCs/>
                <w:kern w:val="0"/>
              </w:rPr>
              <w:t>przez wykonawcę  (lub</w:t>
            </w:r>
            <w:r w:rsidRPr="00212BBB">
              <w:rPr>
                <w:rFonts w:ascii="Arial" w:eastAsia="Calibri" w:hAnsi="Arial" w:cs="Arial"/>
                <w:bCs/>
                <w:kern w:val="0"/>
              </w:rPr>
              <w:t xml:space="preserve"> jego następców prawnych) wszystkich kosztów w przypadku przekroczenia zadeklarowanych kosztów </w:t>
            </w:r>
            <w:r w:rsidRPr="00754563">
              <w:rPr>
                <w:rFonts w:ascii="Arial" w:eastAsia="Calibri" w:hAnsi="Arial" w:cs="Arial"/>
                <w:bCs/>
                <w:kern w:val="0"/>
              </w:rPr>
              <w:t>związanych z wartością kontraktów serwisowych wymienionych</w:t>
            </w:r>
            <w:r>
              <w:rPr>
                <w:rFonts w:ascii="Arial" w:eastAsia="Calibri" w:hAnsi="Arial" w:cs="Arial"/>
                <w:bCs/>
                <w:kern w:val="0"/>
              </w:rPr>
              <w:t xml:space="preserve"> w punkcie 254.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E34EEB">
            <w:pPr>
              <w:pStyle w:val="Standard"/>
              <w:rPr>
                <w:rFonts w:ascii="Arial" w:eastAsia="Calibri" w:hAnsi="Arial" w:cs="Arial"/>
                <w:bCs/>
                <w:kern w:val="0"/>
              </w:rPr>
            </w:pPr>
            <w:r w:rsidRPr="00212BBB">
              <w:rPr>
                <w:rFonts w:ascii="Arial" w:eastAsia="Calibri" w:hAnsi="Arial" w:cs="Arial"/>
                <w:kern w:val="0"/>
              </w:rPr>
              <w:t>Dokumentacja serwisowa i/lub oprogramowanie serwisowe na potrzeby Zamawiającego (dokumentacja zapewni co najmniej pełną diagnostykę urządzenia, wykonywanie drobnych napraw, regulacji, kalibracji, etc.). Należy dostarczyć przy dostawie systemu.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189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Wymagania dodatkowe</w:t>
            </w:r>
          </w:p>
        </w:tc>
      </w:tr>
      <w:tr w:rsidR="00CE1302" w:rsidRPr="00212BBB" w:rsidTr="00E34EEB">
        <w:trPr>
          <w:trHeight w:val="54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Przedmiot </w:t>
            </w:r>
            <w:r w:rsidRPr="005D6157">
              <w:rPr>
                <w:rFonts w:ascii="Arial" w:hAnsi="Arial" w:cs="Arial"/>
              </w:rPr>
              <w:t>umowy ma być kompletny</w:t>
            </w:r>
            <w:r w:rsidRPr="00212BBB">
              <w:rPr>
                <w:rFonts w:ascii="Arial" w:hAnsi="Arial" w:cs="Arial"/>
              </w:rPr>
              <w:t xml:space="preserve"> i po zainstalowaniu gotowy do pracy bez żadnych dodatkowych zakupów oraz inwestycji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54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Wykonawca z dniem dostarczenia sprzętu do Zamawiającego, udziela Zamawiającemu nieograniczonych licencji na oferowane oprogramowanie.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Licencje obejmują wszelkie aktualizacje oprogramowania dostarczane przez Wykonawcę.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54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Uzupełnienie helu do maksymalnego poziomu eksploatacyjnego zalecanego przez producenta przed podpisaniem protokołu odbioru aparatu.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Cs/>
              </w:rPr>
              <w:t xml:space="preserve">Wykonanie pomiarów pola magnetycznego oraz testów wszystkich elementów systemu. Wykonawca dokona wymaganych prawnie pomiarów oraz testów i dostarczy Zamawiającemu kompletną dokumentację, w tym plan pomieszczenia wraz z zaznaczonymi strefami oraz dokona oznakowania stref w całej Pracowni.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504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Wykonanie pomiarów szczelności elektromagnetycznej klatki przez uprawniony podmiot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95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Cs/>
              </w:rPr>
              <w:t>Wykonawca dostarczy pełną dokumentację dotyczącą przedmiotu zamówienia zezwalającą na uruchomienie i użytkowanie systemu rezonansu magnetycznego i wszystkich elementów składowych, w tym między innymi wynikową z wykonanych pomiarów oraz testów (min.: monitory, klatka Faradaya)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95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Klatka Faradaya z kompletnym wykończeniem oraz podłączeniem do instalacji elektrycznych, teletechnicznych, strukturalnych, sanitarnych, gazów medycznych, </w:t>
            </w:r>
            <w:proofErr w:type="spellStart"/>
            <w:r w:rsidRPr="00212BBB">
              <w:rPr>
                <w:rFonts w:ascii="Arial" w:hAnsi="Arial" w:cs="Arial"/>
              </w:rPr>
              <w:t>wod</w:t>
            </w:r>
            <w:proofErr w:type="spellEnd"/>
            <w:r w:rsidRPr="00212BBB">
              <w:rPr>
                <w:rFonts w:ascii="Arial" w:hAnsi="Arial" w:cs="Arial"/>
              </w:rPr>
              <w:t xml:space="preserve">- </w:t>
            </w:r>
            <w:proofErr w:type="spellStart"/>
            <w:r w:rsidRPr="00212BBB">
              <w:rPr>
                <w:rFonts w:ascii="Arial" w:hAnsi="Arial" w:cs="Arial"/>
              </w:rPr>
              <w:t>kan</w:t>
            </w:r>
            <w:proofErr w:type="spellEnd"/>
            <w:r w:rsidRPr="00212BBB">
              <w:rPr>
                <w:rFonts w:ascii="Arial" w:hAnsi="Arial" w:cs="Arial"/>
              </w:rPr>
              <w:t xml:space="preserve"> oraz specjalistycznych dotyczących oferowanego urządzenia rezonansu, dostosowana do wymogów dostarczanego systemu rezonansu 1,5 T. Minimalne wyposażenie :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1 okno o wymiarach min. 100x100 cm 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1 drzwi bez progowe (wejście do klatki Faradaya) o szerokości w świetle min. 120 cm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8 gniazd zasilania 230 V  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przepusty pomiędzy klatką , a pokojem technicznym oraz sterownią po 2 małe i 2 duże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oświetlenia typu LED z możliwością zmiany natężenia (sterowanie oświetleniem z pomieszczenia sterowni)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950"/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E34EEB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4E2CF0" w:rsidRDefault="00CE1302" w:rsidP="00E34EEB">
            <w:pPr>
              <w:pStyle w:val="Standard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W ramach prac montażowych Wykonawca  ma przygotować i zabezpieczyć trasę transportu urządzenia do pomieszczenia docelowego, wraz z usunięciem wszystkich ewentualnych uszkodzeń powstałych podczas transportu i montażu urządzenia  oraz wykonać wszystkie niezbędne prace adaptacyjne w zakresie  ogólnobudowlanym i instalacyjnym o</w:t>
            </w:r>
            <w:r>
              <w:rPr>
                <w:rFonts w:ascii="Arial" w:hAnsi="Arial" w:cs="Arial"/>
              </w:rPr>
              <w:t xml:space="preserve">bjęte niniejszym postępowaniem. </w:t>
            </w:r>
            <w:r w:rsidRPr="004E2CF0">
              <w:rPr>
                <w:rFonts w:ascii="Arial" w:hAnsi="Arial" w:cs="Arial"/>
              </w:rPr>
              <w:t>Zakres prac adaptacyjnych obejmuje w szczególności:</w:t>
            </w:r>
          </w:p>
          <w:p w:rsidR="00CE1302" w:rsidRPr="004E2CF0" w:rsidRDefault="00CE1302" w:rsidP="00E34EEB">
            <w:pPr>
              <w:pStyle w:val="Standard"/>
              <w:rPr>
                <w:rFonts w:ascii="Arial" w:hAnsi="Arial" w:cs="Arial"/>
              </w:rPr>
            </w:pP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Montaż klatki Faradaya;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Dostawa i  instalacja układu chłodzenia dobranego do oferowanego urządzenia rezonansu,</w:t>
            </w:r>
            <w:r>
              <w:rPr>
                <w:rFonts w:ascii="Arial" w:hAnsi="Arial" w:cs="Arial"/>
              </w:rPr>
              <w:t xml:space="preserve"> </w:t>
            </w:r>
            <w:r w:rsidRPr="004E2CF0">
              <w:rPr>
                <w:rFonts w:ascii="Arial" w:hAnsi="Arial" w:cs="Arial"/>
              </w:rPr>
              <w:t xml:space="preserve">wraz z urządzeniem agregatu wody lodowej, 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Wykonanie awaryjnego układu chłodzenia wodą wodociągową,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Podłączenie do układu wentylacji mechanicznej, wykonanego przez Zamawiającego,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Dostawa i montaż układu  klimatyzacji dobranego do  oferowanego systemu MR,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 xml:space="preserve">Wszystkie prace instalacyjne i wykończeniowe konieczne do wykonania w pomieszczeniu, w którym zamontowane zostanie urządzenie rezonansu magnetycznego, 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 xml:space="preserve">Instalacja awaryjnego spustu helu (rura </w:t>
            </w:r>
            <w:proofErr w:type="spellStart"/>
            <w:r w:rsidRPr="004E2CF0">
              <w:rPr>
                <w:rFonts w:ascii="Arial" w:hAnsi="Arial" w:cs="Arial"/>
              </w:rPr>
              <w:t>quench</w:t>
            </w:r>
            <w:proofErr w:type="spellEnd"/>
            <w:r w:rsidRPr="004E2CF0">
              <w:rPr>
                <w:rFonts w:ascii="Arial" w:hAnsi="Arial" w:cs="Arial"/>
              </w:rPr>
              <w:t>)- u</w:t>
            </w:r>
            <w:r>
              <w:rPr>
                <w:rFonts w:ascii="Arial" w:hAnsi="Arial" w:cs="Arial"/>
              </w:rPr>
              <w:t xml:space="preserve">mieszczenie i pełna instalacja </w:t>
            </w:r>
            <w:r w:rsidRPr="004E2CF0">
              <w:rPr>
                <w:rFonts w:ascii="Arial" w:hAnsi="Arial" w:cs="Arial"/>
              </w:rPr>
              <w:t>w przygotowanym kanale i na dachu,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Montaż drzwi spełniających następujące wymagania: jednoskrzydłowe o szerokości minimum 120 cm, spełniające normę akustyczną dla obiektów medycznych, z systemem przylgowym, obustronnie chronione przed uderzeniem wózka wzmocnione dodatkową okładzina systemową, wyposażone w samozamykacz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950"/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Pomieszczenia pracowni (pomieszczenie badań, sterownia, pomieszczenie techniczne, pokój przygotowania pacjenta) zostaną zaadaptowane przez Zamawiającego według projektu opisanego</w:t>
            </w:r>
            <w:r>
              <w:rPr>
                <w:rFonts w:ascii="Arial" w:hAnsi="Arial" w:cs="Arial"/>
              </w:rPr>
              <w:t xml:space="preserve"> w pkt. 266</w:t>
            </w:r>
            <w:r w:rsidRPr="00212BBB">
              <w:rPr>
                <w:rFonts w:ascii="Arial" w:hAnsi="Arial" w:cs="Arial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708"/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667F" w:rsidRDefault="005E667F" w:rsidP="00E34E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wymaga realizacji zamówienia zgodnie z przekazaną dokumentacją projektową. Dopuszczalne są jedynie zmiany nieistotne w rozumieniu prawa budowlanego.</w:t>
            </w:r>
          </w:p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Współpraca z firmami wykonującymi prace budowlane i instalacyjne. Udział w odbiorach częściowych i końcowych.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AE1F55" w:rsidRPr="00212BBB" w:rsidTr="00E34EEB">
        <w:trPr>
          <w:trHeight w:val="84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F55" w:rsidRPr="00212BBB" w:rsidRDefault="00AE1F55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F55" w:rsidRPr="00212BBB" w:rsidRDefault="00AE1F55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zdalnej diagnostyki systemu  z możliwością oceny technicznej poszczególnych modułów. Zamawiający udostępni niezbędny do tego celu tunel VPN.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F55" w:rsidRPr="00212BBB" w:rsidRDefault="00AE1F55" w:rsidP="00A8453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F55" w:rsidRPr="00212BBB" w:rsidRDefault="00AE1F55" w:rsidP="00A8453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F55" w:rsidRPr="00212BBB" w:rsidRDefault="00AE1F55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876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>W cenie przedmiotu zamówienia</w:t>
            </w:r>
            <w:r w:rsidRPr="00212BBB">
              <w:rPr>
                <w:rFonts w:ascii="Arial" w:hAnsi="Arial" w:cs="Arial"/>
              </w:rPr>
              <w:t xml:space="preserve"> wykonawca zobowiązany jest, po dokonanej instalacji, do odebrania wszelkich opakowań po zainstalowanym sprzęcie oraz innych niewykorzystanych materiałów oraz ich utylizację na własny koszt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E34EEB">
        <w:trPr>
          <w:trHeight w:val="876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 xml:space="preserve">Deklaracja CE, pełna dokumentacja dopuszczająca użytkowanie oferowanego zestawu </w:t>
            </w:r>
            <w:r w:rsidRPr="007352C3">
              <w:rPr>
                <w:rFonts w:ascii="Arial" w:hAnsi="Arial" w:cs="Arial"/>
                <w:iCs/>
              </w:rPr>
              <w:t xml:space="preserve">na terytorium </w:t>
            </w:r>
            <w:r>
              <w:rPr>
                <w:rFonts w:ascii="Arial" w:hAnsi="Arial" w:cs="Arial"/>
                <w:iCs/>
              </w:rPr>
              <w:t>Unii Europejskiej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E34EE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CE1302" w:rsidRPr="00212BBB" w:rsidRDefault="00CE1302" w:rsidP="00CE1302">
      <w:pPr>
        <w:pStyle w:val="Standard"/>
        <w:rPr>
          <w:rFonts w:ascii="Arial" w:hAnsi="Arial" w:cs="Arial"/>
        </w:rPr>
      </w:pPr>
    </w:p>
    <w:p w:rsidR="00CE1302" w:rsidRPr="00212BBB" w:rsidRDefault="00CE1302" w:rsidP="009D6BE0">
      <w:pPr>
        <w:pStyle w:val="Standard"/>
        <w:numPr>
          <w:ilvl w:val="0"/>
          <w:numId w:val="38"/>
        </w:numPr>
        <w:spacing w:after="0" w:line="240" w:lineRule="auto"/>
        <w:ind w:left="851" w:hanging="567"/>
        <w:rPr>
          <w:rFonts w:ascii="Arial" w:hAnsi="Arial" w:cs="Arial"/>
        </w:rPr>
      </w:pPr>
      <w:r w:rsidRPr="00212BBB">
        <w:rPr>
          <w:rFonts w:ascii="Arial" w:hAnsi="Arial" w:cs="Arial"/>
        </w:rPr>
        <w:t>Wszystkie parametry i wartości podane w zestawieniu muszą dotyczyć oferowanej konfiguracji.</w:t>
      </w:r>
    </w:p>
    <w:p w:rsidR="00CE1302" w:rsidRPr="00212BBB" w:rsidRDefault="00CE1302" w:rsidP="009D6BE0">
      <w:pPr>
        <w:pStyle w:val="Standard"/>
        <w:numPr>
          <w:ilvl w:val="0"/>
          <w:numId w:val="17"/>
        </w:numPr>
        <w:spacing w:after="0" w:line="240" w:lineRule="auto"/>
        <w:ind w:left="851" w:hanging="567"/>
        <w:rPr>
          <w:rFonts w:ascii="Arial" w:hAnsi="Arial" w:cs="Arial"/>
        </w:rPr>
      </w:pPr>
      <w:r w:rsidRPr="00212BBB">
        <w:rPr>
          <w:rFonts w:ascii="Arial" w:hAnsi="Arial" w:cs="Arial"/>
        </w:rPr>
        <w:t>Wszystkie oferowane paramenty winny być potwierdzone w materiałach informacyjnych producenta (</w:t>
      </w:r>
      <w:r w:rsidRPr="00212BBB">
        <w:rPr>
          <w:rFonts w:ascii="Arial" w:hAnsi="Arial" w:cs="Arial"/>
          <w:bCs/>
        </w:rPr>
        <w:t>foldery, prospekty, dane techniczne lub instrukcje oferowanego sprzętu).</w:t>
      </w:r>
    </w:p>
    <w:p w:rsidR="00CE1302" w:rsidRPr="00212BBB" w:rsidRDefault="00CE1302" w:rsidP="009D6BE0">
      <w:pPr>
        <w:pStyle w:val="Standard"/>
        <w:numPr>
          <w:ilvl w:val="0"/>
          <w:numId w:val="17"/>
        </w:numPr>
        <w:spacing w:after="0" w:line="240" w:lineRule="auto"/>
        <w:ind w:left="851" w:hanging="567"/>
        <w:rPr>
          <w:rFonts w:ascii="Arial" w:hAnsi="Arial" w:cs="Arial"/>
        </w:rPr>
      </w:pPr>
      <w:r w:rsidRPr="00212BBB">
        <w:rPr>
          <w:rFonts w:ascii="Arial" w:hAnsi="Arial" w:cs="Arial"/>
        </w:rPr>
        <w:t>W celu weryfikacji wiarygodności parametrów wpisanych w tabeli, Zamawiający zastrzega sobie prawo do weryfikacji danych technicznych u producenta.</w:t>
      </w:r>
    </w:p>
    <w:p w:rsidR="00CE1302" w:rsidRPr="00212BBB" w:rsidRDefault="00CE1302" w:rsidP="009D6BE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851" w:hanging="567"/>
        <w:contextualSpacing w:val="0"/>
        <w:textAlignment w:val="baseline"/>
        <w:rPr>
          <w:rFonts w:ascii="Arial" w:hAnsi="Arial" w:cs="Arial"/>
        </w:rPr>
      </w:pPr>
      <w:r w:rsidRPr="00212BBB">
        <w:rPr>
          <w:rFonts w:ascii="Arial" w:hAnsi="Arial" w:cs="Arial"/>
        </w:rPr>
        <w:t>Wszędzie tam, gdzie przedmiot zamówienia jest opisany poprzez wskazanie znaków towarowych, nazw własnych, patentów lub pochodzenia a także funkcjonalności, Zamawiający dopuszcza zastosowanie przez Wykonawcę rozwiązań równoważnych.</w:t>
      </w:r>
    </w:p>
    <w:p w:rsidR="00CE1302" w:rsidRPr="00212BBB" w:rsidRDefault="00CE1302" w:rsidP="009D6BE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851" w:hanging="567"/>
        <w:contextualSpacing w:val="0"/>
        <w:textAlignment w:val="baseline"/>
        <w:rPr>
          <w:rFonts w:ascii="Arial" w:hAnsi="Arial" w:cs="Arial"/>
        </w:rPr>
      </w:pPr>
      <w:r w:rsidRPr="00212BBB">
        <w:rPr>
          <w:rFonts w:ascii="Arial" w:hAnsi="Arial" w:cs="Arial"/>
        </w:rPr>
        <w:t xml:space="preserve">W trakcie </w:t>
      </w:r>
      <w:r w:rsidRPr="00D24100">
        <w:rPr>
          <w:rFonts w:ascii="Arial" w:hAnsi="Arial" w:cs="Arial"/>
        </w:rPr>
        <w:t>postępowania  zalecana jest wizja lokalna mająca na</w:t>
      </w:r>
      <w:r w:rsidRPr="00212BBB">
        <w:rPr>
          <w:rFonts w:ascii="Arial" w:hAnsi="Arial" w:cs="Arial"/>
        </w:rPr>
        <w:t xml:space="preserve"> celu doprecyzowanie zakresu prac związanych z przeprowadzeniem adaptacji pomieszczeń oraz instalacji.</w:t>
      </w:r>
    </w:p>
    <w:p w:rsidR="00CE1302" w:rsidRPr="00212BBB" w:rsidRDefault="00CE1302" w:rsidP="00CE1302">
      <w:pPr>
        <w:pStyle w:val="Standard"/>
        <w:rPr>
          <w:rFonts w:ascii="Arial" w:hAnsi="Arial" w:cs="Arial"/>
        </w:rPr>
      </w:pPr>
    </w:p>
    <w:p w:rsidR="005E31CB" w:rsidRPr="00CE1302" w:rsidRDefault="005E31CB" w:rsidP="00CE1302"/>
    <w:sectPr w:rsidR="005E31CB" w:rsidRPr="00CE1302" w:rsidSect="00CE130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C0" w:rsidRDefault="00467DC0" w:rsidP="00D86428">
      <w:pPr>
        <w:spacing w:after="0" w:line="240" w:lineRule="auto"/>
      </w:pPr>
      <w:r>
        <w:separator/>
      </w:r>
    </w:p>
  </w:endnote>
  <w:endnote w:type="continuationSeparator" w:id="0">
    <w:p w:rsidR="00467DC0" w:rsidRDefault="00467DC0" w:rsidP="00D8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utch801PL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23029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946EF" w:rsidRDefault="002946EF">
            <w:pPr>
              <w:pStyle w:val="Stopka"/>
              <w:jc w:val="right"/>
            </w:pPr>
            <w:r>
              <w:t xml:space="preserve">Strona </w:t>
            </w:r>
            <w:r w:rsidR="008C5D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5D82">
              <w:rPr>
                <w:b/>
                <w:sz w:val="24"/>
                <w:szCs w:val="24"/>
              </w:rPr>
              <w:fldChar w:fldCharType="separate"/>
            </w:r>
            <w:r w:rsidR="001F7798">
              <w:rPr>
                <w:b/>
                <w:noProof/>
              </w:rPr>
              <w:t>3</w:t>
            </w:r>
            <w:r w:rsidR="008C5D8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5D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5D82">
              <w:rPr>
                <w:b/>
                <w:sz w:val="24"/>
                <w:szCs w:val="24"/>
              </w:rPr>
              <w:fldChar w:fldCharType="separate"/>
            </w:r>
            <w:r w:rsidR="001F7798">
              <w:rPr>
                <w:b/>
                <w:noProof/>
              </w:rPr>
              <w:t>35</w:t>
            </w:r>
            <w:r w:rsidR="008C5D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46EF" w:rsidRDefault="00294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C0" w:rsidRDefault="00467DC0" w:rsidP="00D86428">
      <w:pPr>
        <w:spacing w:after="0" w:line="240" w:lineRule="auto"/>
      </w:pPr>
      <w:r>
        <w:separator/>
      </w:r>
    </w:p>
  </w:footnote>
  <w:footnote w:type="continuationSeparator" w:id="0">
    <w:p w:rsidR="00467DC0" w:rsidRDefault="00467DC0" w:rsidP="00D8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EEB" w:rsidRDefault="00E34EEB" w:rsidP="00CE13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B526C3"/>
    <w:multiLevelType w:val="multilevel"/>
    <w:tmpl w:val="985217C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3200C26"/>
    <w:multiLevelType w:val="multilevel"/>
    <w:tmpl w:val="779E7A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9553E4D"/>
    <w:multiLevelType w:val="multilevel"/>
    <w:tmpl w:val="8C90EFF0"/>
    <w:styleLink w:val="WWNum2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9F05AB3"/>
    <w:multiLevelType w:val="hybridMultilevel"/>
    <w:tmpl w:val="84924B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85203"/>
    <w:multiLevelType w:val="hybridMultilevel"/>
    <w:tmpl w:val="09265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E5DDC"/>
    <w:multiLevelType w:val="multilevel"/>
    <w:tmpl w:val="39469BBC"/>
    <w:styleLink w:val="WWNum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0836BFD"/>
    <w:multiLevelType w:val="hybridMultilevel"/>
    <w:tmpl w:val="2534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3F82"/>
    <w:multiLevelType w:val="multilevel"/>
    <w:tmpl w:val="31A6231E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54E52FC"/>
    <w:multiLevelType w:val="multilevel"/>
    <w:tmpl w:val="9DD43486"/>
    <w:styleLink w:val="WWNum17"/>
    <w:lvl w:ilvl="0">
      <w:numFmt w:val="bullet"/>
      <w:lvlText w:val=""/>
      <w:lvlJc w:val="left"/>
      <w:rPr>
        <w:rFonts w:ascii="Wingdings" w:eastAsia="Times New Roman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6F70966"/>
    <w:multiLevelType w:val="multilevel"/>
    <w:tmpl w:val="5A76B676"/>
    <w:styleLink w:val="WWNum2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7F80DA7"/>
    <w:multiLevelType w:val="multilevel"/>
    <w:tmpl w:val="CADE3026"/>
    <w:styleLink w:val="WWNum2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A2D2C19"/>
    <w:multiLevelType w:val="multilevel"/>
    <w:tmpl w:val="910CF11C"/>
    <w:lvl w:ilvl="0">
      <w:start w:val="168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2AFE0A08"/>
    <w:multiLevelType w:val="multilevel"/>
    <w:tmpl w:val="15F0DC52"/>
    <w:styleLink w:val="WWNum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BA17C8D"/>
    <w:multiLevelType w:val="multilevel"/>
    <w:tmpl w:val="303A9188"/>
    <w:lvl w:ilvl="0">
      <w:start w:val="227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2D64125C"/>
    <w:multiLevelType w:val="multilevel"/>
    <w:tmpl w:val="08A0441A"/>
    <w:styleLink w:val="WWNum3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ECF69FE"/>
    <w:multiLevelType w:val="hybridMultilevel"/>
    <w:tmpl w:val="222430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86FC4"/>
    <w:multiLevelType w:val="multilevel"/>
    <w:tmpl w:val="063447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37D6F23"/>
    <w:multiLevelType w:val="multilevel"/>
    <w:tmpl w:val="C996FF7C"/>
    <w:styleLink w:val="WWNum2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34486F04"/>
    <w:multiLevelType w:val="multilevel"/>
    <w:tmpl w:val="14402B3E"/>
    <w:lvl w:ilvl="0">
      <w:start w:val="182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51401DE"/>
    <w:multiLevelType w:val="multilevel"/>
    <w:tmpl w:val="A8FEBD2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648378C"/>
    <w:multiLevelType w:val="multilevel"/>
    <w:tmpl w:val="49048DB2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870515F"/>
    <w:multiLevelType w:val="multilevel"/>
    <w:tmpl w:val="010A410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98907E9"/>
    <w:multiLevelType w:val="multilevel"/>
    <w:tmpl w:val="3B1C275E"/>
    <w:lvl w:ilvl="0">
      <w:start w:val="82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3B346CF4"/>
    <w:multiLevelType w:val="hybridMultilevel"/>
    <w:tmpl w:val="1D0A8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33E73"/>
    <w:multiLevelType w:val="multilevel"/>
    <w:tmpl w:val="245E92C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C582B93"/>
    <w:multiLevelType w:val="multilevel"/>
    <w:tmpl w:val="7F56A75A"/>
    <w:lvl w:ilvl="0">
      <w:start w:val="184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30" w15:restartNumberingAfterBreak="0">
    <w:nsid w:val="3D34360D"/>
    <w:multiLevelType w:val="multilevel"/>
    <w:tmpl w:val="8EACD27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0006EB2"/>
    <w:multiLevelType w:val="multilevel"/>
    <w:tmpl w:val="4EC080B0"/>
    <w:lvl w:ilvl="0">
      <w:start w:val="173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41423D9F"/>
    <w:multiLevelType w:val="multilevel"/>
    <w:tmpl w:val="7D105FE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3" w15:restartNumberingAfterBreak="0">
    <w:nsid w:val="424231F6"/>
    <w:multiLevelType w:val="multilevel"/>
    <w:tmpl w:val="BA409BEA"/>
    <w:styleLink w:val="WWNum2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45657BA0"/>
    <w:multiLevelType w:val="multilevel"/>
    <w:tmpl w:val="151C4866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106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6D6A5A"/>
    <w:multiLevelType w:val="multilevel"/>
    <w:tmpl w:val="904ADA9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EAB4910"/>
    <w:multiLevelType w:val="hybridMultilevel"/>
    <w:tmpl w:val="51106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07E03"/>
    <w:multiLevelType w:val="multilevel"/>
    <w:tmpl w:val="34B67BC0"/>
    <w:styleLink w:val="WWNum2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1E20145"/>
    <w:multiLevelType w:val="multilevel"/>
    <w:tmpl w:val="B7608BD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 w15:restartNumberingAfterBreak="0">
    <w:nsid w:val="58BE4AF4"/>
    <w:multiLevelType w:val="multilevel"/>
    <w:tmpl w:val="6576C3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67685092"/>
    <w:multiLevelType w:val="multilevel"/>
    <w:tmpl w:val="4CEEDD7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6D29198A"/>
    <w:multiLevelType w:val="multilevel"/>
    <w:tmpl w:val="DC8092F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EE933A8"/>
    <w:multiLevelType w:val="multilevel"/>
    <w:tmpl w:val="D2A45C7C"/>
    <w:styleLink w:val="WWNum3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70DF5BE1"/>
    <w:multiLevelType w:val="multilevel"/>
    <w:tmpl w:val="0B1EC896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40E075C"/>
    <w:multiLevelType w:val="multilevel"/>
    <w:tmpl w:val="07A242B2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45D57F0"/>
    <w:multiLevelType w:val="multilevel"/>
    <w:tmpl w:val="D5F48A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468164D"/>
    <w:multiLevelType w:val="multilevel"/>
    <w:tmpl w:val="6F625F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56A454D"/>
    <w:multiLevelType w:val="multilevel"/>
    <w:tmpl w:val="D72A09EE"/>
    <w:styleLink w:val="WWNum2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7DF9008F"/>
    <w:multiLevelType w:val="multilevel"/>
    <w:tmpl w:val="1A06C870"/>
    <w:styleLink w:val="WW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7E2F307E"/>
    <w:multiLevelType w:val="multilevel"/>
    <w:tmpl w:val="1D6E556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9"/>
  </w:num>
  <w:num w:numId="3">
    <w:abstractNumId w:val="46"/>
  </w:num>
  <w:num w:numId="4">
    <w:abstractNumId w:val="20"/>
  </w:num>
  <w:num w:numId="5">
    <w:abstractNumId w:val="45"/>
  </w:num>
  <w:num w:numId="6">
    <w:abstractNumId w:val="49"/>
  </w:num>
  <w:num w:numId="7">
    <w:abstractNumId w:val="32"/>
  </w:num>
  <w:num w:numId="8">
    <w:abstractNumId w:val="38"/>
  </w:num>
  <w:num w:numId="9">
    <w:abstractNumId w:val="4"/>
  </w:num>
  <w:num w:numId="10">
    <w:abstractNumId w:val="35"/>
  </w:num>
  <w:num w:numId="11">
    <w:abstractNumId w:val="25"/>
  </w:num>
  <w:num w:numId="12">
    <w:abstractNumId w:val="28"/>
  </w:num>
  <w:num w:numId="13">
    <w:abstractNumId w:val="23"/>
  </w:num>
  <w:num w:numId="14">
    <w:abstractNumId w:val="48"/>
  </w:num>
  <w:num w:numId="15">
    <w:abstractNumId w:val="3"/>
  </w:num>
  <w:num w:numId="16">
    <w:abstractNumId w:val="41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7">
    <w:abstractNumId w:val="13"/>
  </w:num>
  <w:num w:numId="18">
    <w:abstractNumId w:val="11"/>
  </w:num>
  <w:num w:numId="19">
    <w:abstractNumId w:val="30"/>
  </w:num>
  <w:num w:numId="20">
    <w:abstractNumId w:val="24"/>
  </w:num>
  <w:num w:numId="21">
    <w:abstractNumId w:val="16"/>
  </w:num>
  <w:num w:numId="22">
    <w:abstractNumId w:val="40"/>
  </w:num>
  <w:num w:numId="23">
    <w:abstractNumId w:val="10"/>
  </w:num>
  <w:num w:numId="24">
    <w:abstractNumId w:val="37"/>
  </w:num>
  <w:num w:numId="25">
    <w:abstractNumId w:val="5"/>
  </w:num>
  <w:num w:numId="26">
    <w:abstractNumId w:val="21"/>
  </w:num>
  <w:num w:numId="27">
    <w:abstractNumId w:val="47"/>
  </w:num>
  <w:num w:numId="28">
    <w:abstractNumId w:val="12"/>
  </w:num>
  <w:num w:numId="29">
    <w:abstractNumId w:val="14"/>
  </w:num>
  <w:num w:numId="30">
    <w:abstractNumId w:val="33"/>
  </w:num>
  <w:num w:numId="31">
    <w:abstractNumId w:val="42"/>
  </w:num>
  <w:num w:numId="32">
    <w:abstractNumId w:val="18"/>
  </w:num>
  <w:num w:numId="33">
    <w:abstractNumId w:val="8"/>
  </w:num>
  <w:num w:numId="34">
    <w:abstractNumId w:val="41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26"/>
  </w:num>
  <w:num w:numId="40">
    <w:abstractNumId w:val="29"/>
  </w:num>
  <w:num w:numId="41">
    <w:abstractNumId w:val="22"/>
  </w:num>
  <w:num w:numId="42">
    <w:abstractNumId w:val="36"/>
  </w:num>
  <w:num w:numId="43">
    <w:abstractNumId w:val="7"/>
  </w:num>
  <w:num w:numId="44">
    <w:abstractNumId w:val="34"/>
  </w:num>
  <w:num w:numId="45">
    <w:abstractNumId w:val="9"/>
  </w:num>
  <w:num w:numId="46">
    <w:abstractNumId w:val="17"/>
  </w:num>
  <w:num w:numId="47">
    <w:abstractNumId w:val="43"/>
  </w:num>
  <w:num w:numId="48">
    <w:abstractNumId w:val="6"/>
  </w:num>
  <w:num w:numId="49">
    <w:abstractNumId w:val="27"/>
  </w:num>
  <w:num w:numId="50">
    <w:abstractNumId w:val="44"/>
  </w:num>
  <w:num w:numId="51">
    <w:abstractNumId w:val="15"/>
  </w:num>
  <w:num w:numId="52">
    <w:abstractNumId w:val="31"/>
  </w:num>
  <w:num w:numId="53">
    <w:abstractNumId w:val="19"/>
  </w:num>
  <w:num w:numId="54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28"/>
    <w:rsid w:val="001A573A"/>
    <w:rsid w:val="001C5779"/>
    <w:rsid w:val="001F4FD4"/>
    <w:rsid w:val="001F7798"/>
    <w:rsid w:val="00266BA6"/>
    <w:rsid w:val="0029248C"/>
    <w:rsid w:val="002946EF"/>
    <w:rsid w:val="002A7766"/>
    <w:rsid w:val="002E1B9E"/>
    <w:rsid w:val="00301616"/>
    <w:rsid w:val="00451D93"/>
    <w:rsid w:val="00467DC0"/>
    <w:rsid w:val="004A25EC"/>
    <w:rsid w:val="004F6F2B"/>
    <w:rsid w:val="00545760"/>
    <w:rsid w:val="00547207"/>
    <w:rsid w:val="00593A24"/>
    <w:rsid w:val="005D688F"/>
    <w:rsid w:val="005D74AC"/>
    <w:rsid w:val="005E31CB"/>
    <w:rsid w:val="005E667F"/>
    <w:rsid w:val="005F1DBD"/>
    <w:rsid w:val="0061453D"/>
    <w:rsid w:val="0065294C"/>
    <w:rsid w:val="006877E2"/>
    <w:rsid w:val="006A6FEE"/>
    <w:rsid w:val="006B5D7C"/>
    <w:rsid w:val="006F2AAE"/>
    <w:rsid w:val="00725B96"/>
    <w:rsid w:val="00792E4F"/>
    <w:rsid w:val="007D5C39"/>
    <w:rsid w:val="007F4F99"/>
    <w:rsid w:val="007F79C0"/>
    <w:rsid w:val="00874AEB"/>
    <w:rsid w:val="00882DB8"/>
    <w:rsid w:val="00884AC2"/>
    <w:rsid w:val="008C5D82"/>
    <w:rsid w:val="00953F57"/>
    <w:rsid w:val="009723CD"/>
    <w:rsid w:val="009A56BB"/>
    <w:rsid w:val="009D2251"/>
    <w:rsid w:val="009D6BE0"/>
    <w:rsid w:val="009F4E80"/>
    <w:rsid w:val="00A308E1"/>
    <w:rsid w:val="00A81DB0"/>
    <w:rsid w:val="00AC3ABA"/>
    <w:rsid w:val="00AD60EE"/>
    <w:rsid w:val="00AE1F55"/>
    <w:rsid w:val="00B473B1"/>
    <w:rsid w:val="00B60F35"/>
    <w:rsid w:val="00B7798F"/>
    <w:rsid w:val="00B81454"/>
    <w:rsid w:val="00C17A63"/>
    <w:rsid w:val="00C31F67"/>
    <w:rsid w:val="00CE1302"/>
    <w:rsid w:val="00CF4415"/>
    <w:rsid w:val="00D60DA8"/>
    <w:rsid w:val="00D715B2"/>
    <w:rsid w:val="00D86428"/>
    <w:rsid w:val="00DD164A"/>
    <w:rsid w:val="00E34EEB"/>
    <w:rsid w:val="00E77AA0"/>
    <w:rsid w:val="00F930A4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A5BF-D2AF-4A81-8AB4-C7ED73D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42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6428"/>
    <w:pPr>
      <w:keepNext/>
      <w:numPr>
        <w:numId w:val="1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8642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6428"/>
  </w:style>
  <w:style w:type="paragraph" w:styleId="Stopka">
    <w:name w:val="footer"/>
    <w:basedOn w:val="Normalny"/>
    <w:link w:val="Stopka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28"/>
  </w:style>
  <w:style w:type="paragraph" w:styleId="Tekstdymka">
    <w:name w:val="Balloon Text"/>
    <w:basedOn w:val="Normalny"/>
    <w:link w:val="TekstdymkaZnak"/>
    <w:unhideWhenUsed/>
    <w:rsid w:val="00D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64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64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8642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D86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86428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86428"/>
  </w:style>
  <w:style w:type="paragraph" w:customStyle="1" w:styleId="Standard">
    <w:name w:val="Standard"/>
    <w:rsid w:val="00D864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D86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6428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rsid w:val="00CE1302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body">
    <w:name w:val="Text body"/>
    <w:basedOn w:val="Standard"/>
    <w:rsid w:val="00CE1302"/>
    <w:pPr>
      <w:spacing w:after="12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xtbody"/>
    <w:rsid w:val="00CE1302"/>
    <w:rPr>
      <w:rFonts w:cs="Mangal"/>
    </w:rPr>
  </w:style>
  <w:style w:type="paragraph" w:customStyle="1" w:styleId="Legenda1">
    <w:name w:val="Legenda1"/>
    <w:basedOn w:val="Standard"/>
    <w:rsid w:val="00CE130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CE1302"/>
    <w:pPr>
      <w:suppressLineNumbers/>
      <w:spacing w:after="0" w:line="240" w:lineRule="auto"/>
    </w:pPr>
    <w:rPr>
      <w:rFonts w:ascii="Times New Roman" w:eastAsia="Times New Roman" w:hAnsi="Times New Roman" w:cs="Mangal"/>
      <w:lang w:eastAsia="zh-CN"/>
    </w:rPr>
  </w:style>
  <w:style w:type="paragraph" w:customStyle="1" w:styleId="Nagwek11">
    <w:name w:val="Nagłówek 11"/>
    <w:basedOn w:val="Standard"/>
    <w:next w:val="Textbody"/>
    <w:rsid w:val="00CE1302"/>
    <w:pPr>
      <w:keepNext/>
      <w:widowControl w:val="0"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32"/>
      <w:lang w:eastAsia="pl-PL"/>
    </w:rPr>
  </w:style>
  <w:style w:type="paragraph" w:customStyle="1" w:styleId="Akapitzlist1">
    <w:name w:val="Akapit z listą1"/>
    <w:basedOn w:val="Standard"/>
    <w:rsid w:val="00CE130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1302"/>
    <w:pPr>
      <w:suppressAutoHyphens/>
      <w:autoSpaceDN w:val="0"/>
      <w:spacing w:after="0" w:line="240" w:lineRule="auto"/>
      <w:textAlignment w:val="baseline"/>
    </w:pPr>
    <w:rPr>
      <w:rFonts w:ascii="NDKPJE+TimesNewRoman" w:eastAsia="Calibri" w:hAnsi="NDKPJE+TimesNewRoman" w:cs="NDKPJE+TimesNewRoman"/>
      <w:color w:val="000000"/>
      <w:kern w:val="3"/>
      <w:sz w:val="24"/>
      <w:szCs w:val="24"/>
      <w:lang w:eastAsia="pl-PL"/>
    </w:rPr>
  </w:style>
  <w:style w:type="paragraph" w:customStyle="1" w:styleId="StandardEinzug">
    <w:name w:val="Standard Einzug"/>
    <w:basedOn w:val="Standard"/>
    <w:rsid w:val="00CE1302"/>
    <w:pPr>
      <w:tabs>
        <w:tab w:val="left" w:pos="284"/>
      </w:tabs>
      <w:spacing w:before="100" w:after="100" w:line="240" w:lineRule="auto"/>
    </w:pPr>
    <w:rPr>
      <w:rFonts w:ascii="Arial" w:eastAsia="Calibri" w:hAnsi="Arial" w:cs="Times New Roman"/>
      <w:sz w:val="20"/>
      <w:szCs w:val="20"/>
      <w:lang w:val="de-DE" w:eastAsia="zh-CN"/>
    </w:rPr>
  </w:style>
  <w:style w:type="paragraph" w:styleId="Tytu">
    <w:name w:val="Title"/>
    <w:basedOn w:val="Standard"/>
    <w:next w:val="Podtytu"/>
    <w:link w:val="TytuZnak"/>
    <w:rsid w:val="00CE1302"/>
    <w:pPr>
      <w:spacing w:after="0" w:line="240" w:lineRule="auto"/>
    </w:pPr>
    <w:rPr>
      <w:rFonts w:ascii="Cambria" w:eastAsia="Calibri" w:hAnsi="Cambria" w:cs="Times New Roman"/>
      <w:b/>
      <w:bCs/>
      <w:spacing w:val="-10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CE1302"/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/>
    </w:rPr>
  </w:style>
  <w:style w:type="paragraph" w:styleId="Podtytu">
    <w:name w:val="Subtitle"/>
    <w:basedOn w:val="Heading"/>
    <w:next w:val="Textbody"/>
    <w:link w:val="PodtytuZnak"/>
    <w:rsid w:val="00CE130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E1302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Nagwek10">
    <w:name w:val="Nagłówek1"/>
    <w:basedOn w:val="Standard"/>
    <w:rsid w:val="00CE1302"/>
    <w:pPr>
      <w:suppressLineNumbers/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Standard"/>
    <w:rsid w:val="00CE1302"/>
    <w:pPr>
      <w:suppressLineNumbers/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Standard"/>
    <w:rsid w:val="00CE1302"/>
    <w:pPr>
      <w:widowControl w:val="0"/>
      <w:spacing w:after="0" w:line="240" w:lineRule="auto"/>
    </w:pPr>
    <w:rPr>
      <w:rFonts w:ascii="Arial" w:eastAsia="Times New Roman" w:hAnsi="Arial" w:cs="Arial"/>
      <w:lang w:val="en-US" w:eastAsia="zh-CN"/>
    </w:rPr>
  </w:style>
  <w:style w:type="paragraph" w:styleId="Tekstprzypisukocowego">
    <w:name w:val="endnote text"/>
    <w:basedOn w:val="Standard"/>
    <w:link w:val="TekstprzypisukocowegoZnak"/>
    <w:rsid w:val="00CE13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1302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paragraph" w:customStyle="1" w:styleId="Domynie">
    <w:name w:val="Domy徑nie"/>
    <w:rsid w:val="00CE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rsid w:val="00CE13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ezodstpw1">
    <w:name w:val="Bez odstępów1"/>
    <w:rsid w:val="00CE130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NormalnyWeb">
    <w:name w:val="Normal (Web)"/>
    <w:basedOn w:val="Standard"/>
    <w:rsid w:val="00CE130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Standard"/>
    <w:rsid w:val="00CE1302"/>
    <w:pPr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AbsatzTableFormat">
    <w:name w:val="AbsatzTableFormat"/>
    <w:basedOn w:val="Standard"/>
    <w:rsid w:val="00CE1302"/>
    <w:pPr>
      <w:spacing w:after="0" w:line="240" w:lineRule="auto"/>
    </w:pPr>
    <w:rPr>
      <w:rFonts w:ascii="Arial" w:eastAsia="MS Mincho" w:hAnsi="Arial" w:cs="Arial"/>
      <w:szCs w:val="20"/>
      <w:lang w:eastAsia="ar-SA"/>
    </w:rPr>
  </w:style>
  <w:style w:type="paragraph" w:customStyle="1" w:styleId="Akapitzlist2">
    <w:name w:val="Akapit z listą2"/>
    <w:basedOn w:val="Standard"/>
    <w:rsid w:val="00CE1302"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tgcs8w">
    <w:name w:val="_tgc _s8w"/>
    <w:rsid w:val="00CE1302"/>
    <w:rPr>
      <w:rFonts w:cs="Times New Roman"/>
    </w:rPr>
  </w:style>
  <w:style w:type="character" w:customStyle="1" w:styleId="st">
    <w:name w:val="st"/>
    <w:rsid w:val="00CE1302"/>
    <w:rPr>
      <w:rFonts w:cs="Times New Roman"/>
    </w:rPr>
  </w:style>
  <w:style w:type="character" w:styleId="Numerstrony">
    <w:name w:val="page number"/>
    <w:rsid w:val="00CE1302"/>
    <w:rPr>
      <w:rFonts w:cs="Times New Roman"/>
    </w:rPr>
  </w:style>
  <w:style w:type="character" w:customStyle="1" w:styleId="WW8Num1z0">
    <w:name w:val="WW8Num1z0"/>
    <w:rsid w:val="00CE1302"/>
    <w:rPr>
      <w:rFonts w:ascii="Symbol" w:hAnsi="Symbol" w:cs="Symbol"/>
    </w:rPr>
  </w:style>
  <w:style w:type="character" w:customStyle="1" w:styleId="WW8Num2z1">
    <w:name w:val="WW8Num2z1"/>
    <w:rsid w:val="00CE1302"/>
    <w:rPr>
      <w:rFonts w:ascii="Courier New" w:hAnsi="Courier New" w:cs="Courier New"/>
    </w:rPr>
  </w:style>
  <w:style w:type="character" w:customStyle="1" w:styleId="WW8Num1z1">
    <w:name w:val="WW8Num1z1"/>
    <w:rsid w:val="00CE1302"/>
    <w:rPr>
      <w:rFonts w:ascii="Courier New" w:hAnsi="Courier New" w:cs="Courier New"/>
    </w:rPr>
  </w:style>
  <w:style w:type="character" w:customStyle="1" w:styleId="Domylnaczcionkaakapitu1">
    <w:name w:val="Domyślna czcionka akapitu1"/>
    <w:rsid w:val="00CE1302"/>
  </w:style>
  <w:style w:type="character" w:customStyle="1" w:styleId="WW8Num6z0">
    <w:name w:val="WW8Num6z0"/>
    <w:rsid w:val="00CE1302"/>
    <w:rPr>
      <w:rFonts w:ascii="Symbol" w:hAnsi="Symbol"/>
    </w:rPr>
  </w:style>
  <w:style w:type="character" w:customStyle="1" w:styleId="WW8Num6z7">
    <w:name w:val="WW8Num6z7"/>
    <w:rsid w:val="00CE1302"/>
  </w:style>
  <w:style w:type="character" w:customStyle="1" w:styleId="ListLabel1">
    <w:name w:val="ListLabel 1"/>
    <w:rsid w:val="00CE1302"/>
    <w:rPr>
      <w:rFonts w:cs="Courier New"/>
    </w:rPr>
  </w:style>
  <w:style w:type="character" w:customStyle="1" w:styleId="ListLabel2">
    <w:name w:val="ListLabel 2"/>
    <w:rsid w:val="00CE1302"/>
    <w:rPr>
      <w:rFonts w:eastAsia="Times New Roman"/>
    </w:rPr>
  </w:style>
  <w:style w:type="numbering" w:customStyle="1" w:styleId="WWNum1">
    <w:name w:val="WWNum1"/>
    <w:basedOn w:val="Bezlisty"/>
    <w:rsid w:val="00CE1302"/>
    <w:pPr>
      <w:numPr>
        <w:numId w:val="2"/>
      </w:numPr>
    </w:pPr>
  </w:style>
  <w:style w:type="numbering" w:customStyle="1" w:styleId="WWNum2">
    <w:name w:val="WWNum2"/>
    <w:basedOn w:val="Bezlisty"/>
    <w:rsid w:val="00CE1302"/>
    <w:pPr>
      <w:numPr>
        <w:numId w:val="3"/>
      </w:numPr>
    </w:pPr>
  </w:style>
  <w:style w:type="numbering" w:customStyle="1" w:styleId="WWNum3">
    <w:name w:val="WWNum3"/>
    <w:basedOn w:val="Bezlisty"/>
    <w:rsid w:val="00CE1302"/>
    <w:pPr>
      <w:numPr>
        <w:numId w:val="4"/>
      </w:numPr>
    </w:pPr>
  </w:style>
  <w:style w:type="numbering" w:customStyle="1" w:styleId="WWNum4">
    <w:name w:val="WWNum4"/>
    <w:basedOn w:val="Bezlisty"/>
    <w:rsid w:val="00CE1302"/>
    <w:pPr>
      <w:numPr>
        <w:numId w:val="5"/>
      </w:numPr>
    </w:pPr>
  </w:style>
  <w:style w:type="numbering" w:customStyle="1" w:styleId="WWNum5">
    <w:name w:val="WWNum5"/>
    <w:basedOn w:val="Bezlisty"/>
    <w:rsid w:val="00CE1302"/>
    <w:pPr>
      <w:numPr>
        <w:numId w:val="6"/>
      </w:numPr>
    </w:pPr>
  </w:style>
  <w:style w:type="numbering" w:customStyle="1" w:styleId="WWNum6">
    <w:name w:val="WWNum6"/>
    <w:basedOn w:val="Bezlisty"/>
    <w:rsid w:val="00CE1302"/>
    <w:pPr>
      <w:numPr>
        <w:numId w:val="7"/>
      </w:numPr>
    </w:pPr>
  </w:style>
  <w:style w:type="numbering" w:customStyle="1" w:styleId="WWNum7">
    <w:name w:val="WWNum7"/>
    <w:basedOn w:val="Bezlisty"/>
    <w:rsid w:val="00CE1302"/>
    <w:pPr>
      <w:numPr>
        <w:numId w:val="8"/>
      </w:numPr>
    </w:pPr>
  </w:style>
  <w:style w:type="numbering" w:customStyle="1" w:styleId="WWNum8">
    <w:name w:val="WWNum8"/>
    <w:basedOn w:val="Bezlisty"/>
    <w:rsid w:val="00CE1302"/>
    <w:pPr>
      <w:numPr>
        <w:numId w:val="9"/>
      </w:numPr>
    </w:pPr>
  </w:style>
  <w:style w:type="numbering" w:customStyle="1" w:styleId="WWNum9">
    <w:name w:val="WWNum9"/>
    <w:basedOn w:val="Bezlisty"/>
    <w:rsid w:val="00CE1302"/>
    <w:pPr>
      <w:numPr>
        <w:numId w:val="10"/>
      </w:numPr>
    </w:pPr>
  </w:style>
  <w:style w:type="numbering" w:customStyle="1" w:styleId="WWNum10">
    <w:name w:val="WWNum10"/>
    <w:basedOn w:val="Bezlisty"/>
    <w:rsid w:val="00CE1302"/>
    <w:pPr>
      <w:numPr>
        <w:numId w:val="11"/>
      </w:numPr>
    </w:pPr>
  </w:style>
  <w:style w:type="numbering" w:customStyle="1" w:styleId="WWNum11">
    <w:name w:val="WWNum11"/>
    <w:basedOn w:val="Bezlisty"/>
    <w:rsid w:val="00CE1302"/>
    <w:pPr>
      <w:numPr>
        <w:numId w:val="12"/>
      </w:numPr>
    </w:pPr>
  </w:style>
  <w:style w:type="numbering" w:customStyle="1" w:styleId="WWNum12">
    <w:name w:val="WWNum12"/>
    <w:basedOn w:val="Bezlisty"/>
    <w:rsid w:val="00CE1302"/>
    <w:pPr>
      <w:numPr>
        <w:numId w:val="13"/>
      </w:numPr>
    </w:pPr>
  </w:style>
  <w:style w:type="numbering" w:customStyle="1" w:styleId="WWNum13">
    <w:name w:val="WWNum13"/>
    <w:basedOn w:val="Bezlisty"/>
    <w:rsid w:val="00CE1302"/>
    <w:pPr>
      <w:numPr>
        <w:numId w:val="14"/>
      </w:numPr>
    </w:pPr>
  </w:style>
  <w:style w:type="numbering" w:customStyle="1" w:styleId="WWNum14">
    <w:name w:val="WWNum14"/>
    <w:basedOn w:val="Bezlisty"/>
    <w:rsid w:val="00CE1302"/>
    <w:pPr>
      <w:numPr>
        <w:numId w:val="15"/>
      </w:numPr>
    </w:pPr>
  </w:style>
  <w:style w:type="numbering" w:customStyle="1" w:styleId="WWNum15">
    <w:name w:val="WWNum15"/>
    <w:basedOn w:val="Bezlisty"/>
    <w:rsid w:val="00CE1302"/>
    <w:pPr>
      <w:numPr>
        <w:numId w:val="54"/>
      </w:numPr>
    </w:pPr>
  </w:style>
  <w:style w:type="numbering" w:customStyle="1" w:styleId="WWNum16">
    <w:name w:val="WWNum16"/>
    <w:basedOn w:val="Bezlisty"/>
    <w:rsid w:val="00CE1302"/>
    <w:pPr>
      <w:numPr>
        <w:numId w:val="17"/>
      </w:numPr>
    </w:pPr>
  </w:style>
  <w:style w:type="numbering" w:customStyle="1" w:styleId="WWNum17">
    <w:name w:val="WWNum17"/>
    <w:basedOn w:val="Bezlisty"/>
    <w:rsid w:val="00CE1302"/>
    <w:pPr>
      <w:numPr>
        <w:numId w:val="18"/>
      </w:numPr>
    </w:pPr>
  </w:style>
  <w:style w:type="numbering" w:customStyle="1" w:styleId="WWNum18">
    <w:name w:val="WWNum18"/>
    <w:basedOn w:val="Bezlisty"/>
    <w:rsid w:val="00CE1302"/>
    <w:pPr>
      <w:numPr>
        <w:numId w:val="19"/>
      </w:numPr>
    </w:pPr>
  </w:style>
  <w:style w:type="numbering" w:customStyle="1" w:styleId="WWNum19">
    <w:name w:val="WWNum19"/>
    <w:basedOn w:val="Bezlisty"/>
    <w:rsid w:val="00CE1302"/>
    <w:pPr>
      <w:numPr>
        <w:numId w:val="20"/>
      </w:numPr>
    </w:pPr>
  </w:style>
  <w:style w:type="numbering" w:customStyle="1" w:styleId="WWNum20">
    <w:name w:val="WWNum20"/>
    <w:basedOn w:val="Bezlisty"/>
    <w:rsid w:val="00CE1302"/>
    <w:pPr>
      <w:numPr>
        <w:numId w:val="21"/>
      </w:numPr>
    </w:pPr>
  </w:style>
  <w:style w:type="numbering" w:customStyle="1" w:styleId="WWNum21">
    <w:name w:val="WWNum21"/>
    <w:basedOn w:val="Bezlisty"/>
    <w:rsid w:val="00CE1302"/>
    <w:pPr>
      <w:numPr>
        <w:numId w:val="22"/>
      </w:numPr>
    </w:pPr>
  </w:style>
  <w:style w:type="numbering" w:customStyle="1" w:styleId="WWNum22">
    <w:name w:val="WWNum22"/>
    <w:basedOn w:val="Bezlisty"/>
    <w:rsid w:val="00CE1302"/>
    <w:pPr>
      <w:numPr>
        <w:numId w:val="23"/>
      </w:numPr>
    </w:pPr>
  </w:style>
  <w:style w:type="numbering" w:customStyle="1" w:styleId="WWNum23">
    <w:name w:val="WWNum23"/>
    <w:basedOn w:val="Bezlisty"/>
    <w:rsid w:val="00CE1302"/>
    <w:pPr>
      <w:numPr>
        <w:numId w:val="24"/>
      </w:numPr>
    </w:pPr>
  </w:style>
  <w:style w:type="numbering" w:customStyle="1" w:styleId="WWNum24">
    <w:name w:val="WWNum24"/>
    <w:basedOn w:val="Bezlisty"/>
    <w:rsid w:val="00CE1302"/>
    <w:pPr>
      <w:numPr>
        <w:numId w:val="25"/>
      </w:numPr>
    </w:pPr>
  </w:style>
  <w:style w:type="numbering" w:customStyle="1" w:styleId="WWNum25">
    <w:name w:val="WWNum25"/>
    <w:basedOn w:val="Bezlisty"/>
    <w:rsid w:val="00CE1302"/>
    <w:pPr>
      <w:numPr>
        <w:numId w:val="26"/>
      </w:numPr>
    </w:pPr>
  </w:style>
  <w:style w:type="numbering" w:customStyle="1" w:styleId="WWNum26">
    <w:name w:val="WWNum26"/>
    <w:basedOn w:val="Bezlisty"/>
    <w:rsid w:val="00CE1302"/>
    <w:pPr>
      <w:numPr>
        <w:numId w:val="27"/>
      </w:numPr>
    </w:pPr>
  </w:style>
  <w:style w:type="numbering" w:customStyle="1" w:styleId="WWNum27">
    <w:name w:val="WWNum27"/>
    <w:basedOn w:val="Bezlisty"/>
    <w:rsid w:val="00CE1302"/>
    <w:pPr>
      <w:numPr>
        <w:numId w:val="28"/>
      </w:numPr>
    </w:pPr>
  </w:style>
  <w:style w:type="numbering" w:customStyle="1" w:styleId="WWNum28">
    <w:name w:val="WWNum28"/>
    <w:basedOn w:val="Bezlisty"/>
    <w:rsid w:val="00CE1302"/>
    <w:pPr>
      <w:numPr>
        <w:numId w:val="29"/>
      </w:numPr>
    </w:pPr>
  </w:style>
  <w:style w:type="numbering" w:customStyle="1" w:styleId="WWNum29">
    <w:name w:val="WWNum29"/>
    <w:basedOn w:val="Bezlisty"/>
    <w:rsid w:val="00CE1302"/>
    <w:pPr>
      <w:numPr>
        <w:numId w:val="30"/>
      </w:numPr>
    </w:pPr>
  </w:style>
  <w:style w:type="numbering" w:customStyle="1" w:styleId="WWNum30">
    <w:name w:val="WWNum30"/>
    <w:basedOn w:val="Bezlisty"/>
    <w:rsid w:val="00CE1302"/>
    <w:pPr>
      <w:numPr>
        <w:numId w:val="31"/>
      </w:numPr>
    </w:pPr>
  </w:style>
  <w:style w:type="numbering" w:customStyle="1" w:styleId="WWNum31">
    <w:name w:val="WWNum31"/>
    <w:basedOn w:val="Bezlisty"/>
    <w:rsid w:val="00CE1302"/>
    <w:pPr>
      <w:numPr>
        <w:numId w:val="32"/>
      </w:numPr>
    </w:pPr>
  </w:style>
  <w:style w:type="numbering" w:customStyle="1" w:styleId="WWNum32">
    <w:name w:val="WWNum32"/>
    <w:basedOn w:val="Bezlisty"/>
    <w:rsid w:val="00CE1302"/>
    <w:pPr>
      <w:numPr>
        <w:numId w:val="33"/>
      </w:numPr>
    </w:pPr>
  </w:style>
  <w:style w:type="character" w:customStyle="1" w:styleId="StopkaZnak1">
    <w:name w:val="Stopka Znak1"/>
    <w:basedOn w:val="Domylnaczcionkaakapitu"/>
    <w:uiPriority w:val="99"/>
    <w:semiHidden/>
    <w:rsid w:val="00CE1302"/>
    <w:rPr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E1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02"/>
    <w:rPr>
      <w:rFonts w:ascii="Calibri" w:eastAsia="SimSun" w:hAnsi="Calibri" w:cs="Times New Roman"/>
      <w:kern w:val="3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02"/>
    <w:rPr>
      <w:rFonts w:ascii="Calibri" w:eastAsia="SimSun" w:hAnsi="Calibri" w:cs="Times New Roman"/>
      <w:b/>
      <w:bCs/>
      <w:kern w:val="3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7032</Words>
  <Characters>42195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AM. Masternak</dc:creator>
  <cp:lastModifiedBy>Stanisław SŻ. Żak</cp:lastModifiedBy>
  <cp:revision>2</cp:revision>
  <cp:lastPrinted>2020-07-27T13:53:00Z</cp:lastPrinted>
  <dcterms:created xsi:type="dcterms:W3CDTF">2020-07-27T16:55:00Z</dcterms:created>
  <dcterms:modified xsi:type="dcterms:W3CDTF">2020-07-27T16:55:00Z</dcterms:modified>
</cp:coreProperties>
</file>