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3E749" w14:textId="161AD980" w:rsidR="003B0FCE" w:rsidRPr="002212CE" w:rsidRDefault="003B0FCE" w:rsidP="002212CE">
      <w:pPr>
        <w:spacing w:line="276" w:lineRule="auto"/>
        <w:rPr>
          <w:rFonts w:ascii="Arial" w:hAnsi="Arial" w:cs="Arial"/>
          <w:sz w:val="20"/>
          <w:szCs w:val="20"/>
        </w:rPr>
      </w:pPr>
    </w:p>
    <w:p w14:paraId="5F1505EA" w14:textId="19CBB2BA" w:rsidR="003B0FCE" w:rsidRPr="002212CE" w:rsidRDefault="007966E0" w:rsidP="002212CE">
      <w:pPr>
        <w:spacing w:after="0" w:line="276" w:lineRule="auto"/>
        <w:jc w:val="center"/>
        <w:rPr>
          <w:rFonts w:ascii="Arial" w:hAnsi="Arial" w:cs="Arial"/>
          <w:b/>
          <w:sz w:val="24"/>
          <w:szCs w:val="24"/>
        </w:rPr>
      </w:pPr>
      <w:r w:rsidRPr="002212CE">
        <w:rPr>
          <w:rFonts w:ascii="Arial" w:hAnsi="Arial" w:cs="Arial"/>
          <w:b/>
          <w:sz w:val="24"/>
          <w:szCs w:val="24"/>
        </w:rPr>
        <w:t>SZCZEGÓŁOWY OPIS PRZEDMIOTU ZAMÓWIENIA</w:t>
      </w:r>
    </w:p>
    <w:p w14:paraId="04460EAC" w14:textId="13FF9FDB" w:rsidR="003B0FCE" w:rsidRPr="002212CE" w:rsidRDefault="003B0FCE" w:rsidP="002212CE">
      <w:pPr>
        <w:spacing w:after="0" w:line="276" w:lineRule="auto"/>
        <w:jc w:val="center"/>
        <w:rPr>
          <w:rFonts w:ascii="Arial" w:hAnsi="Arial" w:cs="Arial"/>
          <w:b/>
          <w:sz w:val="20"/>
          <w:szCs w:val="20"/>
        </w:rPr>
      </w:pPr>
    </w:p>
    <w:p w14:paraId="0EADA0E6" w14:textId="77777777" w:rsidR="003B0FCE" w:rsidRPr="002212CE" w:rsidRDefault="003B0FCE" w:rsidP="002212CE">
      <w:pPr>
        <w:spacing w:line="276" w:lineRule="auto"/>
        <w:jc w:val="center"/>
        <w:rPr>
          <w:rFonts w:ascii="Arial" w:hAnsi="Arial" w:cs="Arial"/>
          <w:b/>
          <w:sz w:val="20"/>
          <w:szCs w:val="20"/>
        </w:rPr>
      </w:pPr>
    </w:p>
    <w:p w14:paraId="5A9CE4A4" w14:textId="77777777" w:rsidR="00966282" w:rsidRPr="00966282" w:rsidRDefault="00966282" w:rsidP="006E111F">
      <w:pPr>
        <w:pStyle w:val="Akapitzlist"/>
        <w:spacing w:line="276" w:lineRule="auto"/>
        <w:ind w:left="0"/>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Zamówienie dotyczy przeprowadzenia analizy przedwdrożeniowej w ramach przedsięwzięcia pn. „Przemyśl Miasto Przyszłości”, dotyczącej poszerzenia granic miasta Przemyśla obejmującej zorganizowanie warsztatów z ekspertem oraz przeprowadzenie badań wśród mieszkańców Gminy Miejskiej Przemyśl i sołectw wchodzących w skład Gminy Przemyśl oraz opracowania raportu dotyczącego poszerzenia granic miasta Przemyśla, zawierającego wspólne kierunki rozwoju, przygotowane na podstawie przeprowadzonej analizy przedwdrożeniowej w ramach realizowanego projektu pn. „Razem Zmieniamy Przemyśl” w ramach Programu Rozwój Lokalny, finansowanego ze środków Norweskiego Mechanizmu Finansowego 2014-2021.</w:t>
      </w:r>
    </w:p>
    <w:p w14:paraId="4FFC4E75" w14:textId="77777777" w:rsidR="00966282" w:rsidRPr="00966282" w:rsidRDefault="00966282" w:rsidP="00966282">
      <w:pPr>
        <w:pStyle w:val="Akapitzlist"/>
        <w:spacing w:line="276" w:lineRule="auto"/>
        <w:ind w:left="993"/>
        <w:rPr>
          <w:rFonts w:ascii="Arial" w:eastAsia="Trebuchet MS" w:hAnsi="Arial" w:cs="Arial"/>
          <w:bCs/>
          <w:sz w:val="20"/>
          <w:szCs w:val="20"/>
          <w:lang w:eastAsia="pl-PL"/>
        </w:rPr>
      </w:pPr>
    </w:p>
    <w:p w14:paraId="1D5AB80C" w14:textId="77777777" w:rsidR="00966282" w:rsidRPr="00966282" w:rsidRDefault="00966282" w:rsidP="006E111F">
      <w:pPr>
        <w:pStyle w:val="Akapitzlist"/>
        <w:spacing w:line="276" w:lineRule="auto"/>
        <w:ind w:left="0"/>
        <w:rPr>
          <w:rFonts w:ascii="Arial" w:eastAsia="Trebuchet MS" w:hAnsi="Arial" w:cs="Arial"/>
          <w:bCs/>
          <w:sz w:val="20"/>
          <w:szCs w:val="20"/>
          <w:lang w:eastAsia="pl-PL"/>
        </w:rPr>
      </w:pPr>
      <w:r w:rsidRPr="00966282">
        <w:rPr>
          <w:rFonts w:ascii="Arial" w:eastAsia="Trebuchet MS" w:hAnsi="Arial" w:cs="Arial"/>
          <w:bCs/>
          <w:sz w:val="20"/>
          <w:szCs w:val="20"/>
          <w:lang w:eastAsia="pl-PL"/>
        </w:rPr>
        <w:t>Szczegółowy opis przedmiotu zamówienia:</w:t>
      </w:r>
    </w:p>
    <w:p w14:paraId="3C535A29" w14:textId="70E8AA95" w:rsidR="00966282" w:rsidRPr="00966282" w:rsidRDefault="00966282" w:rsidP="001030E2">
      <w:pPr>
        <w:pStyle w:val="Akapitzlist"/>
        <w:numPr>
          <w:ilvl w:val="0"/>
          <w:numId w:val="3"/>
        </w:numPr>
        <w:spacing w:line="276" w:lineRule="auto"/>
        <w:ind w:left="426"/>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Przeprowadzenie analizy przedwdrożeniowej obejmuje zorganizowanie siedmiu warsztatów z</w:t>
      </w:r>
      <w:r w:rsidR="006E111F">
        <w:rPr>
          <w:rFonts w:ascii="Arial" w:eastAsia="Trebuchet MS" w:hAnsi="Arial" w:cs="Arial"/>
          <w:bCs/>
          <w:sz w:val="20"/>
          <w:szCs w:val="20"/>
          <w:lang w:eastAsia="pl-PL"/>
        </w:rPr>
        <w:t> </w:t>
      </w:r>
      <w:r w:rsidRPr="00966282">
        <w:rPr>
          <w:rFonts w:ascii="Arial" w:eastAsia="Trebuchet MS" w:hAnsi="Arial" w:cs="Arial"/>
          <w:bCs/>
          <w:sz w:val="20"/>
          <w:szCs w:val="20"/>
          <w:lang w:eastAsia="pl-PL"/>
        </w:rPr>
        <w:t>ekspertem ds. administracji publicznej lub prawa samorządu terytorialnego dla siedmiu grup uczestników:</w:t>
      </w:r>
    </w:p>
    <w:p w14:paraId="64B69A67" w14:textId="77777777" w:rsidR="00966282" w:rsidRPr="00966282" w:rsidRDefault="00966282" w:rsidP="006E111F">
      <w:pPr>
        <w:pStyle w:val="Akapitzlist"/>
        <w:spacing w:line="276" w:lineRule="auto"/>
        <w:ind w:left="567" w:hanging="141"/>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mieszkańców miasta Przemyśla – 20 osób (miejsce realizacji warsztatów: Przemyśl),</w:t>
      </w:r>
    </w:p>
    <w:p w14:paraId="4C4E5482" w14:textId="77777777" w:rsidR="00966282" w:rsidRPr="00966282" w:rsidRDefault="00966282" w:rsidP="006E111F">
      <w:pPr>
        <w:pStyle w:val="Akapitzlist"/>
        <w:spacing w:line="276" w:lineRule="auto"/>
        <w:ind w:left="567" w:hanging="141"/>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pracowników Urzędu Miejskiego w Przemyślu oraz pracowników jednostek organizacyjnych miasta Przemyśla/spółek miejskich – 20 osób (miejsce realizacji warsztatów: Przemyśl),</w:t>
      </w:r>
    </w:p>
    <w:p w14:paraId="740CD910" w14:textId="77777777" w:rsidR="00966282" w:rsidRPr="00966282" w:rsidRDefault="00966282" w:rsidP="006E111F">
      <w:pPr>
        <w:pStyle w:val="Akapitzlist"/>
        <w:spacing w:line="276" w:lineRule="auto"/>
        <w:ind w:left="567" w:hanging="141"/>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mieszkańców sołectw: Krówniki, Łuczyce, Rożubowice – 30 osób (miejsce realizacji warsztatów: Krówniki),</w:t>
      </w:r>
    </w:p>
    <w:p w14:paraId="2BF032D9" w14:textId="77777777" w:rsidR="00966282" w:rsidRPr="00966282" w:rsidRDefault="00966282" w:rsidP="006E111F">
      <w:pPr>
        <w:pStyle w:val="Akapitzlist"/>
        <w:spacing w:line="276" w:lineRule="auto"/>
        <w:ind w:left="567" w:hanging="141"/>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mieszkańców sołectw: Nehrybka, Hermanowice, Stanisławczyk, Malhowice – 40 osób (miejsce realizacji warsztatów: Nehrybka),</w:t>
      </w:r>
    </w:p>
    <w:p w14:paraId="38DB885F" w14:textId="77777777" w:rsidR="00966282" w:rsidRPr="00966282" w:rsidRDefault="00966282" w:rsidP="006E111F">
      <w:pPr>
        <w:pStyle w:val="Akapitzlist"/>
        <w:spacing w:line="276" w:lineRule="auto"/>
        <w:ind w:left="567" w:hanging="141"/>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mieszkańców sołectw: Pikulice, Grochowce, Witoszyńce – 30 osób (miejsce realizacji warsztatów: Pikulice),</w:t>
      </w:r>
    </w:p>
    <w:p w14:paraId="590B80AC" w14:textId="77777777" w:rsidR="00966282" w:rsidRPr="00966282" w:rsidRDefault="00966282" w:rsidP="006E111F">
      <w:pPr>
        <w:pStyle w:val="Akapitzlist"/>
        <w:spacing w:line="276" w:lineRule="auto"/>
        <w:ind w:left="567" w:hanging="141"/>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mieszkańców sołectw: Ostrów, Kuńkowce, Wapowce – 30 osób (miejsce realizacji warsztatów: Ostrów),</w:t>
      </w:r>
    </w:p>
    <w:p w14:paraId="2954305C" w14:textId="77777777" w:rsidR="00966282" w:rsidRPr="00966282" w:rsidRDefault="00966282" w:rsidP="006E111F">
      <w:pPr>
        <w:pStyle w:val="Akapitzlist"/>
        <w:spacing w:line="276" w:lineRule="auto"/>
        <w:ind w:left="567" w:hanging="141"/>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 mieszkańców sołectw: Łętownica, </w:t>
      </w:r>
      <w:proofErr w:type="spellStart"/>
      <w:r w:rsidRPr="00966282">
        <w:rPr>
          <w:rFonts w:ascii="Arial" w:eastAsia="Trebuchet MS" w:hAnsi="Arial" w:cs="Arial"/>
          <w:bCs/>
          <w:sz w:val="20"/>
          <w:szCs w:val="20"/>
          <w:lang w:eastAsia="pl-PL"/>
        </w:rPr>
        <w:t>Ujkowice</w:t>
      </w:r>
      <w:proofErr w:type="spellEnd"/>
      <w:r w:rsidRPr="00966282">
        <w:rPr>
          <w:rFonts w:ascii="Arial" w:eastAsia="Trebuchet MS" w:hAnsi="Arial" w:cs="Arial"/>
          <w:bCs/>
          <w:sz w:val="20"/>
          <w:szCs w:val="20"/>
          <w:lang w:eastAsia="pl-PL"/>
        </w:rPr>
        <w:t xml:space="preserve">, </w:t>
      </w:r>
      <w:proofErr w:type="spellStart"/>
      <w:proofErr w:type="gramStart"/>
      <w:r w:rsidRPr="00966282">
        <w:rPr>
          <w:rFonts w:ascii="Arial" w:eastAsia="Trebuchet MS" w:hAnsi="Arial" w:cs="Arial"/>
          <w:bCs/>
          <w:sz w:val="20"/>
          <w:szCs w:val="20"/>
          <w:lang w:eastAsia="pl-PL"/>
        </w:rPr>
        <w:t>Bełwin</w:t>
      </w:r>
      <w:proofErr w:type="spellEnd"/>
      <w:r w:rsidRPr="00966282">
        <w:rPr>
          <w:rFonts w:ascii="Arial" w:eastAsia="Trebuchet MS" w:hAnsi="Arial" w:cs="Arial"/>
          <w:bCs/>
          <w:sz w:val="20"/>
          <w:szCs w:val="20"/>
          <w:lang w:eastAsia="pl-PL"/>
        </w:rPr>
        <w:t xml:space="preserve">  – 30 osób</w:t>
      </w:r>
      <w:proofErr w:type="gramEnd"/>
      <w:r w:rsidRPr="00966282">
        <w:rPr>
          <w:rFonts w:ascii="Arial" w:eastAsia="Trebuchet MS" w:hAnsi="Arial" w:cs="Arial"/>
          <w:bCs/>
          <w:sz w:val="20"/>
          <w:szCs w:val="20"/>
          <w:lang w:eastAsia="pl-PL"/>
        </w:rPr>
        <w:t xml:space="preserve"> (miejsce realizacji warsztatów: Łętownia).</w:t>
      </w:r>
    </w:p>
    <w:p w14:paraId="1DD00627"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Wykonawca przeprowadzi warsztaty w ilości 28 </w:t>
      </w:r>
      <w:proofErr w:type="gramStart"/>
      <w:r w:rsidRPr="00966282">
        <w:rPr>
          <w:rFonts w:ascii="Arial" w:eastAsia="Trebuchet MS" w:hAnsi="Arial" w:cs="Arial"/>
          <w:bCs/>
          <w:sz w:val="20"/>
          <w:szCs w:val="20"/>
          <w:lang w:eastAsia="pl-PL"/>
        </w:rPr>
        <w:t>godzin lecz</w:t>
      </w:r>
      <w:proofErr w:type="gramEnd"/>
      <w:r w:rsidRPr="00966282">
        <w:rPr>
          <w:rFonts w:ascii="Arial" w:eastAsia="Trebuchet MS" w:hAnsi="Arial" w:cs="Arial"/>
          <w:bCs/>
          <w:sz w:val="20"/>
          <w:szCs w:val="20"/>
          <w:lang w:eastAsia="pl-PL"/>
        </w:rPr>
        <w:t xml:space="preserve"> nie więcej niż po 4 godziny dziennie (7 spotkań x 4h). Warsztaty zostaną zrealizowane w dni robocze w godzinach popołudniowych.</w:t>
      </w:r>
    </w:p>
    <w:p w14:paraId="5088B9A5"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przeprowadzi poszczególne warsztaty w wybranych miejscowościach wskazanych przez Zamawiającego, zamieszkałych przez uczestników warsztatów. Miejsca realizacji warsztatów muszą zostać zaakceptowane przez Zamawiającego.</w:t>
      </w:r>
    </w:p>
    <w:p w14:paraId="2846C09D"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zapewni dla stanowisk warsztatowych niezbędne wyposażenie do przeprowadzenia warsztatów (np. komputery, rzutnik multimedialny, mikrofony, nagłośnienie).</w:t>
      </w:r>
    </w:p>
    <w:p w14:paraId="3D58206D"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zapewni obsługę administracyjną warsztatów i przekaże Zamawiającemu komplet dokumentacji potwierdzającej realizację każdego warsztatu, w tym: listy obecności, listy osób korzystających z cateringu oraz dziennik zajęć w terminie do 7 dni licząc od dnia realizacji każdego warsztatu.</w:t>
      </w:r>
    </w:p>
    <w:p w14:paraId="78E0C3D2"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zapewnieni materiały biurowe (artykuły papiernicze w tym: długopisy, notesy, flamastry, teczki), materiały dydaktyczne (wydruki prezentacji, formularze badawcze, formularze pomocnicze) oraz przekaże je nieodpłatnie uczestnikom warsztatów na własność.</w:t>
      </w:r>
    </w:p>
    <w:p w14:paraId="61C54167"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na wszystkich materiałach dotyczących realizacji zamówienia będzie wykorzystywał identyfikację wizualno-promocyjną zgodną z wymogami projektu zawierającą logo Programu Rozwój Lokalny, finansowanego ze środków Norweskiego Mechanizmu Finansowego 2014-2021 oraz logo Projektu pn. „Razem Zmieniamy Przemyśl”. Po podpisaniu umowy Zamawiający przekaże ww. logotypy Wykonawcy.</w:t>
      </w:r>
    </w:p>
    <w:p w14:paraId="676AFED5"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lastRenderedPageBreak/>
        <w:t>Wykonawca jest zobowiązany na bieżąco i niezwłocznie informować Zamawiającego o zaistniałych przeszkodach uniemożliwiających właściwe wykonanie usługi w terminie oraz o innych przeszkodach związanych z jej realizacją.</w:t>
      </w:r>
    </w:p>
    <w:p w14:paraId="0EBF193C"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zapewni poczęstunek dla uczestników szkoleń w postaci przerwy kawowej (kawa, herbata, woda mineralna, cukier, mleko, cytryny, przekąski, ciastka, ciasta, desery, koreczki, kanapki/</w:t>
      </w:r>
      <w:proofErr w:type="spellStart"/>
      <w:r w:rsidRPr="00966282">
        <w:rPr>
          <w:rFonts w:ascii="Arial" w:eastAsia="Trebuchet MS" w:hAnsi="Arial" w:cs="Arial"/>
          <w:bCs/>
          <w:sz w:val="20"/>
          <w:szCs w:val="20"/>
          <w:lang w:eastAsia="pl-PL"/>
        </w:rPr>
        <w:t>wrapy</w:t>
      </w:r>
      <w:proofErr w:type="spellEnd"/>
      <w:r w:rsidRPr="00966282">
        <w:rPr>
          <w:rFonts w:ascii="Arial" w:eastAsia="Trebuchet MS" w:hAnsi="Arial" w:cs="Arial"/>
          <w:bCs/>
          <w:sz w:val="20"/>
          <w:szCs w:val="20"/>
          <w:lang w:eastAsia="pl-PL"/>
        </w:rPr>
        <w:t>) w każdym dniu warsztatów. Wykonawca przedstawi Zamawiającemu do akceptacji zakres oraz formę usługi cateringowej.</w:t>
      </w:r>
    </w:p>
    <w:p w14:paraId="5437BCD5"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zapewni salę przystosowaną do potrzeb osób niepełnosprawnych, pozbawioną barier architektonicznych – posiadającą np. podjazd, windę lub przeprowadzi zajęcia na parterze. Wykonawca zapewni salę przystosowaną dla min. 50 osób.</w:t>
      </w:r>
    </w:p>
    <w:p w14:paraId="79540D65"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zapewni praktyczny charakter warsztatów poprzez wykorzystanie różnych metod pobudzania dyskusji i generowania pomysłów wykorzystując elementy badań fokusowych.</w:t>
      </w:r>
    </w:p>
    <w:p w14:paraId="2892C99D"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zapozna uczestników warsztatów z ideą poszerzania granic miasta, przedstawi przykłady oraz dobre praktyki związane z poszerzaniem granic miasta wzorując się na miastach, które z powodzeniem przeprowadziły przedmiotowy proces (np. miasto Rzeszów lub Zielona Góra)</w:t>
      </w:r>
    </w:p>
    <w:p w14:paraId="224D517F"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wspólnie z uczestnikami sformułuje mocne i słabe strony oraz szanse i ewentualne zagrożenia dotyczące procesu poszerzenia granic miasta Przemyśla.</w:t>
      </w:r>
    </w:p>
    <w:p w14:paraId="0B3C373A"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wspólnie z uczestnikami wypracuje wstępną koncepcję poszerzenia granic miasta.</w:t>
      </w:r>
    </w:p>
    <w:p w14:paraId="201F677E"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wspólnie z uczestnikami warsztatów wypracuje założenia i metody komunikacji samorządu z mieszkańcami miasta Przemyśla oraz sołectw wchodzących w skład Gminy Przemyśla i opisze je w raporcie z analizy przedwdrożeniowej.</w:t>
      </w:r>
    </w:p>
    <w:p w14:paraId="6FD201D2"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realizując warsztaty poruszy i przeanalizuje problemy/wyzwania powstałe po ewentualnym poszerzeniu granic miasta związane z płaszczyznami takimi jak edukacja, bezpieczeństwo, podatki, komunikacja miejska, pomoc społeczna, sport i rekreacja, gospodarka komunalna, wodociągi i kanalizacja, usługi komunalne, energetyka cieplna.</w:t>
      </w:r>
    </w:p>
    <w:p w14:paraId="669CC634"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przy współpracy z Zamawiającym przeprowadzi rekrutację uczestników warsztatów. Za frekwencję podczas warsztatów odpowiada Wykonawca.</w:t>
      </w:r>
    </w:p>
    <w:p w14:paraId="276CAEE8"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Zamawiający dopuszcza możliwość przeprowadzenia warsztatów przy frekwencji nie niższej niż 50 % założonej liczy uczestników warsztatów.</w:t>
      </w:r>
    </w:p>
    <w:p w14:paraId="0F7EB0FB"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przygotuje i przeprowadzi wśród uczestników warsztatów oraz dodatkowo wśród mieszkańców miasta Przemyśla i sołectw wchodzących w skład Gminy Przemyśl badania ankietowe (w formie elektronicznej lub papierowej) zawierające pytania dotyczące informacji ogólnych takich jak płeć, wykształcenie, wiek, miejsce zamieszkania oraz informacji szczegółowych dotyczących samego procesu poszerzenia granic miasta.</w:t>
      </w:r>
    </w:p>
    <w:p w14:paraId="0A585797"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przedstawi Zamawiającemu do akceptacji ostateczny kształt i zakres ankiety.</w:t>
      </w:r>
    </w:p>
    <w:p w14:paraId="7A24FD7D"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Wykonawca zapewni zespół, w którego skład </w:t>
      </w:r>
      <w:proofErr w:type="gramStart"/>
      <w:r w:rsidRPr="00966282">
        <w:rPr>
          <w:rFonts w:ascii="Arial" w:eastAsia="Trebuchet MS" w:hAnsi="Arial" w:cs="Arial"/>
          <w:bCs/>
          <w:sz w:val="20"/>
          <w:szCs w:val="20"/>
          <w:lang w:eastAsia="pl-PL"/>
        </w:rPr>
        <w:t>wejdą co</w:t>
      </w:r>
      <w:proofErr w:type="gramEnd"/>
      <w:r w:rsidRPr="00966282">
        <w:rPr>
          <w:rFonts w:ascii="Arial" w:eastAsia="Trebuchet MS" w:hAnsi="Arial" w:cs="Arial"/>
          <w:bCs/>
          <w:sz w:val="20"/>
          <w:szCs w:val="20"/>
          <w:lang w:eastAsia="pl-PL"/>
        </w:rPr>
        <w:t xml:space="preserve"> najmniej:</w:t>
      </w:r>
    </w:p>
    <w:p w14:paraId="781DA91B" w14:textId="77777777" w:rsidR="00966282" w:rsidRPr="00966282" w:rsidRDefault="00966282" w:rsidP="00A2479A">
      <w:pPr>
        <w:pStyle w:val="Akapitzlist"/>
        <w:spacing w:line="276" w:lineRule="auto"/>
        <w:ind w:left="993"/>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Ekspert ds. administracji publicznej lub prawa samorządu terytorialnego</w:t>
      </w:r>
      <w:bookmarkStart w:id="0" w:name="_Hlk153183436"/>
    </w:p>
    <w:p w14:paraId="24ED6506" w14:textId="77777777" w:rsidR="00966282" w:rsidRPr="00966282" w:rsidRDefault="00966282" w:rsidP="00A2479A">
      <w:pPr>
        <w:pStyle w:val="Akapitzlist"/>
        <w:spacing w:line="276" w:lineRule="auto"/>
        <w:ind w:left="993"/>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         - Specjalista ds. partycypacji społecznej – 1 osoba.</w:t>
      </w:r>
    </w:p>
    <w:bookmarkEnd w:id="0"/>
    <w:p w14:paraId="42496687" w14:textId="77777777" w:rsidR="00966282" w:rsidRPr="00966282" w:rsidRDefault="00966282" w:rsidP="001030E2">
      <w:pPr>
        <w:pStyle w:val="Akapitzlist"/>
        <w:numPr>
          <w:ilvl w:val="0"/>
          <w:numId w:val="1"/>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zrealizuje niniejszą usługę w terminie</w:t>
      </w:r>
      <w:r w:rsidRPr="00966282">
        <w:rPr>
          <w:rFonts w:ascii="Arial" w:eastAsia="Trebuchet MS" w:hAnsi="Arial" w:cs="Arial"/>
          <w:b/>
          <w:bCs/>
          <w:sz w:val="20"/>
          <w:szCs w:val="20"/>
          <w:lang w:eastAsia="pl-PL"/>
        </w:rPr>
        <w:t xml:space="preserve"> do dnia 29 marca 2024 roku.</w:t>
      </w:r>
    </w:p>
    <w:p w14:paraId="14EF3099" w14:textId="77777777" w:rsidR="00966282" w:rsidRPr="00966282" w:rsidRDefault="00966282" w:rsidP="00966282">
      <w:pPr>
        <w:pStyle w:val="Akapitzlist"/>
        <w:spacing w:line="276" w:lineRule="auto"/>
        <w:ind w:left="993"/>
        <w:rPr>
          <w:rFonts w:ascii="Arial" w:eastAsia="Trebuchet MS" w:hAnsi="Arial" w:cs="Arial"/>
          <w:bCs/>
          <w:sz w:val="20"/>
          <w:szCs w:val="20"/>
          <w:lang w:eastAsia="pl-PL"/>
        </w:rPr>
      </w:pPr>
    </w:p>
    <w:p w14:paraId="3728121C" w14:textId="39882A8A" w:rsidR="00966282" w:rsidRPr="00966282" w:rsidRDefault="00966282" w:rsidP="001030E2">
      <w:pPr>
        <w:pStyle w:val="Akapitzlist"/>
        <w:numPr>
          <w:ilvl w:val="0"/>
          <w:numId w:val="3"/>
        </w:numPr>
        <w:spacing w:line="276" w:lineRule="auto"/>
        <w:ind w:left="426"/>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Opracowanie raportu zawierającego wspólne kierunki rozwoju i priorytety na podstawie przeprowadzonej analizy przedwdrożeniowej wśród mieszkańców Gminy Miejskiej Przemyśl i</w:t>
      </w:r>
      <w:r w:rsidR="00A2479A">
        <w:rPr>
          <w:rFonts w:ascii="Arial" w:eastAsia="Trebuchet MS" w:hAnsi="Arial" w:cs="Arial"/>
          <w:bCs/>
          <w:sz w:val="20"/>
          <w:szCs w:val="20"/>
          <w:lang w:eastAsia="pl-PL"/>
        </w:rPr>
        <w:t> </w:t>
      </w:r>
      <w:r w:rsidRPr="00966282">
        <w:rPr>
          <w:rFonts w:ascii="Arial" w:eastAsia="Trebuchet MS" w:hAnsi="Arial" w:cs="Arial"/>
          <w:bCs/>
          <w:sz w:val="20"/>
          <w:szCs w:val="20"/>
          <w:lang w:eastAsia="pl-PL"/>
        </w:rPr>
        <w:t xml:space="preserve">sołectw wchodzących w skład </w:t>
      </w:r>
      <w:proofErr w:type="gramStart"/>
      <w:r w:rsidRPr="00966282">
        <w:rPr>
          <w:rFonts w:ascii="Arial" w:eastAsia="Trebuchet MS" w:hAnsi="Arial" w:cs="Arial"/>
          <w:bCs/>
          <w:sz w:val="20"/>
          <w:szCs w:val="20"/>
          <w:lang w:eastAsia="pl-PL"/>
        </w:rPr>
        <w:t>Gminy  Przemyśl</w:t>
      </w:r>
      <w:proofErr w:type="gramEnd"/>
      <w:r w:rsidRPr="00966282">
        <w:rPr>
          <w:rFonts w:ascii="Arial" w:eastAsia="Trebuchet MS" w:hAnsi="Arial" w:cs="Arial"/>
          <w:bCs/>
          <w:sz w:val="20"/>
          <w:szCs w:val="20"/>
          <w:lang w:eastAsia="pl-PL"/>
        </w:rPr>
        <w:t>.</w:t>
      </w:r>
    </w:p>
    <w:p w14:paraId="174B7C50" w14:textId="77777777" w:rsidR="00966282" w:rsidRPr="00966282" w:rsidRDefault="00966282" w:rsidP="001030E2">
      <w:pPr>
        <w:pStyle w:val="Akapitzlist"/>
        <w:numPr>
          <w:ilvl w:val="0"/>
          <w:numId w:val="2"/>
        </w:numPr>
        <w:spacing w:line="276" w:lineRule="auto"/>
        <w:rPr>
          <w:rFonts w:ascii="Arial" w:eastAsia="Trebuchet MS" w:hAnsi="Arial" w:cs="Arial"/>
          <w:bCs/>
          <w:sz w:val="20"/>
          <w:szCs w:val="20"/>
          <w:lang w:eastAsia="pl-PL"/>
        </w:rPr>
      </w:pPr>
      <w:bookmarkStart w:id="1" w:name="_gjdgxs" w:colFirst="0" w:colLast="0"/>
      <w:bookmarkEnd w:id="1"/>
      <w:r w:rsidRPr="00966282">
        <w:rPr>
          <w:rFonts w:ascii="Arial" w:eastAsia="Trebuchet MS" w:hAnsi="Arial" w:cs="Arial"/>
          <w:bCs/>
          <w:sz w:val="20"/>
          <w:szCs w:val="20"/>
          <w:lang w:eastAsia="pl-PL"/>
        </w:rPr>
        <w:t>Wstępny raport z analizy przedwdrożeniowej powinien być opracowany w języku polskim.</w:t>
      </w:r>
    </w:p>
    <w:p w14:paraId="45ECCF1F" w14:textId="77777777" w:rsidR="00966282" w:rsidRPr="00966282" w:rsidRDefault="00966282" w:rsidP="001030E2">
      <w:pPr>
        <w:pStyle w:val="Akapitzlist"/>
        <w:numPr>
          <w:ilvl w:val="0"/>
          <w:numId w:val="2"/>
        </w:numPr>
        <w:spacing w:line="276" w:lineRule="auto"/>
        <w:rPr>
          <w:rFonts w:ascii="Arial" w:eastAsia="Trebuchet MS" w:hAnsi="Arial" w:cs="Arial"/>
          <w:bCs/>
          <w:sz w:val="20"/>
          <w:szCs w:val="20"/>
          <w:lang w:eastAsia="pl-PL"/>
        </w:rPr>
      </w:pPr>
      <w:r w:rsidRPr="00966282">
        <w:rPr>
          <w:rFonts w:ascii="Arial" w:eastAsia="Trebuchet MS" w:hAnsi="Arial" w:cs="Arial"/>
          <w:bCs/>
          <w:sz w:val="20"/>
          <w:szCs w:val="20"/>
          <w:lang w:eastAsia="pl-PL"/>
        </w:rPr>
        <w:t>Proponowana struktura raportu:</w:t>
      </w:r>
    </w:p>
    <w:p w14:paraId="28D2ABBC" w14:textId="37D4C002" w:rsidR="00966282" w:rsidRPr="00966282" w:rsidRDefault="00966282" w:rsidP="00730FA6">
      <w:pPr>
        <w:pStyle w:val="Akapitzlist"/>
        <w:spacing w:line="276" w:lineRule="auto"/>
        <w:ind w:left="993"/>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  - Spis treści</w:t>
      </w:r>
    </w:p>
    <w:p w14:paraId="35130C1C" w14:textId="77777777" w:rsidR="00966282" w:rsidRPr="00966282" w:rsidRDefault="00966282" w:rsidP="00730FA6">
      <w:pPr>
        <w:pStyle w:val="Akapitzlist"/>
        <w:spacing w:line="276" w:lineRule="auto"/>
        <w:ind w:left="993"/>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  - Wprowadzenie (opis głównych założeń analizy przedwdrożeniowej oraz celów),</w:t>
      </w:r>
    </w:p>
    <w:p w14:paraId="36C46C95" w14:textId="77777777" w:rsidR="00966282" w:rsidRPr="00966282" w:rsidRDefault="00966282" w:rsidP="00730FA6">
      <w:pPr>
        <w:pStyle w:val="Akapitzlist"/>
        <w:spacing w:line="276" w:lineRule="auto"/>
        <w:ind w:left="993"/>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  - Opis zastosowanej metodologii oraz źródła informacji wykorzystane w raporcie,</w:t>
      </w:r>
    </w:p>
    <w:p w14:paraId="288664E0" w14:textId="77777777" w:rsidR="00966282" w:rsidRPr="00966282" w:rsidRDefault="00966282" w:rsidP="00730FA6">
      <w:pPr>
        <w:pStyle w:val="Akapitzlist"/>
        <w:spacing w:line="276" w:lineRule="auto"/>
        <w:ind w:left="993"/>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  - Opis wyników analizy przedwdrożeniowej oraz interpretacja,</w:t>
      </w:r>
    </w:p>
    <w:p w14:paraId="00EDB808" w14:textId="66D3667E" w:rsidR="00966282" w:rsidRPr="00966282" w:rsidRDefault="00966282" w:rsidP="00730FA6">
      <w:pPr>
        <w:pStyle w:val="Akapitzlist"/>
        <w:spacing w:line="276" w:lineRule="auto"/>
        <w:ind w:left="1276" w:hanging="283"/>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  - Wnioski i rekomendacje odnoszące się do poszczególnych obszarów badawczych (pogrupowane tematycznie),</w:t>
      </w:r>
    </w:p>
    <w:p w14:paraId="3AB9BFA8" w14:textId="77777777" w:rsidR="00966282" w:rsidRPr="00966282" w:rsidRDefault="00966282" w:rsidP="00730FA6">
      <w:pPr>
        <w:pStyle w:val="Akapitzlist"/>
        <w:spacing w:line="276" w:lineRule="auto"/>
        <w:ind w:left="993"/>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  - Podsumowanie oraz koncepcja poszerzenia granic miasta Przemyśla,</w:t>
      </w:r>
    </w:p>
    <w:p w14:paraId="02FA6515" w14:textId="77777777" w:rsidR="00966282" w:rsidRPr="00966282" w:rsidRDefault="00966282" w:rsidP="00730FA6">
      <w:pPr>
        <w:pStyle w:val="Akapitzlist"/>
        <w:spacing w:line="276" w:lineRule="auto"/>
        <w:ind w:left="993"/>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  - Bibliografia.</w:t>
      </w:r>
    </w:p>
    <w:p w14:paraId="5B04756C" w14:textId="14125992" w:rsidR="00966282" w:rsidRPr="00966282" w:rsidRDefault="00966282" w:rsidP="001030E2">
      <w:pPr>
        <w:pStyle w:val="Akapitzlist"/>
        <w:numPr>
          <w:ilvl w:val="0"/>
          <w:numId w:val="2"/>
        </w:numPr>
        <w:spacing w:after="0" w:line="276" w:lineRule="auto"/>
        <w:contextualSpacing w:val="0"/>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powinien dokonać oceny struktury raportu i w oparciu o swoją wiedzę i</w:t>
      </w:r>
      <w:r w:rsidR="00730FA6">
        <w:rPr>
          <w:rFonts w:ascii="Arial" w:eastAsia="Trebuchet MS" w:hAnsi="Arial" w:cs="Arial"/>
          <w:bCs/>
          <w:sz w:val="20"/>
          <w:szCs w:val="20"/>
          <w:lang w:eastAsia="pl-PL"/>
        </w:rPr>
        <w:t> </w:t>
      </w:r>
      <w:r w:rsidRPr="00966282">
        <w:rPr>
          <w:rFonts w:ascii="Arial" w:eastAsia="Trebuchet MS" w:hAnsi="Arial" w:cs="Arial"/>
          <w:bCs/>
          <w:sz w:val="20"/>
          <w:szCs w:val="20"/>
          <w:lang w:eastAsia="pl-PL"/>
        </w:rPr>
        <w:t>doświadczenie dokonać jego rozszerzenia/modyfikacji o dodatkowe elementy.</w:t>
      </w:r>
    </w:p>
    <w:p w14:paraId="5519A32D" w14:textId="77777777" w:rsidR="00966282" w:rsidRPr="00966282" w:rsidRDefault="00966282" w:rsidP="001030E2">
      <w:pPr>
        <w:pStyle w:val="Akapitzlist"/>
        <w:numPr>
          <w:ilvl w:val="0"/>
          <w:numId w:val="2"/>
        </w:numPr>
        <w:spacing w:line="276" w:lineRule="auto"/>
        <w:rPr>
          <w:rFonts w:ascii="Arial" w:eastAsia="Trebuchet MS" w:hAnsi="Arial" w:cs="Arial"/>
          <w:bCs/>
          <w:sz w:val="20"/>
          <w:szCs w:val="20"/>
          <w:lang w:eastAsia="pl-PL"/>
        </w:rPr>
      </w:pPr>
      <w:r w:rsidRPr="00966282">
        <w:rPr>
          <w:rFonts w:ascii="Arial" w:eastAsia="Trebuchet MS" w:hAnsi="Arial" w:cs="Arial"/>
          <w:bCs/>
          <w:sz w:val="20"/>
          <w:szCs w:val="20"/>
          <w:lang w:eastAsia="pl-PL"/>
        </w:rPr>
        <w:t>Raport powinien zawierać min. 30 stron A4 przy czcionce rozmiar 12.</w:t>
      </w:r>
    </w:p>
    <w:p w14:paraId="5395D841" w14:textId="77777777" w:rsidR="00966282" w:rsidRPr="00966282" w:rsidRDefault="00966282" w:rsidP="001030E2">
      <w:pPr>
        <w:pStyle w:val="Akapitzlist"/>
        <w:numPr>
          <w:ilvl w:val="0"/>
          <w:numId w:val="2"/>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lastRenderedPageBreak/>
        <w:t>Raport musi być napisany w czytelnej i zrozumiałej formie, a wnioski i rekomendacje powinny być obiektywne, pragmatyczne, precyzyjne i możliwe do wdrożenia. Raport powinien także podawać dokładne źródła informacji, w celu ich weryfikacji.</w:t>
      </w:r>
    </w:p>
    <w:p w14:paraId="36960676" w14:textId="0187445D" w:rsidR="00966282" w:rsidRPr="00966282" w:rsidRDefault="00966282" w:rsidP="001030E2">
      <w:pPr>
        <w:pStyle w:val="Akapitzlist"/>
        <w:numPr>
          <w:ilvl w:val="0"/>
          <w:numId w:val="2"/>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przygotuje raport zawierający wspólne kierunki rozwoju i priorytety na podstawie przeprowadzonej analizy przedwdrożeniowej wśród mieszkańców Gminy Miejskiej Przemyśl i</w:t>
      </w:r>
      <w:r w:rsidR="00730FA6">
        <w:rPr>
          <w:rFonts w:ascii="Arial" w:eastAsia="Trebuchet MS" w:hAnsi="Arial" w:cs="Arial"/>
          <w:bCs/>
          <w:sz w:val="20"/>
          <w:szCs w:val="20"/>
          <w:lang w:eastAsia="pl-PL"/>
        </w:rPr>
        <w:t> </w:t>
      </w:r>
      <w:r w:rsidRPr="00966282">
        <w:rPr>
          <w:rFonts w:ascii="Arial" w:eastAsia="Trebuchet MS" w:hAnsi="Arial" w:cs="Arial"/>
          <w:bCs/>
          <w:sz w:val="20"/>
          <w:szCs w:val="20"/>
          <w:lang w:eastAsia="pl-PL"/>
        </w:rPr>
        <w:t>Gminy Przemyśl i przekaże go Zamawiającemu w ustalonym terminie.</w:t>
      </w:r>
    </w:p>
    <w:p w14:paraId="3482B655" w14:textId="77777777" w:rsidR="00966282" w:rsidRPr="00966282" w:rsidRDefault="00966282" w:rsidP="001030E2">
      <w:pPr>
        <w:pStyle w:val="Akapitzlist"/>
        <w:numPr>
          <w:ilvl w:val="0"/>
          <w:numId w:val="2"/>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uwzględni wypracowane wspólnie z uczestnikami projektu, sugestie, pomysły oraz rozwiązania powstałe podczas realizacji warsztatów.</w:t>
      </w:r>
    </w:p>
    <w:p w14:paraId="1599B013" w14:textId="77777777" w:rsidR="00966282" w:rsidRPr="00966282" w:rsidRDefault="00966282" w:rsidP="001030E2">
      <w:pPr>
        <w:pStyle w:val="Akapitzlist"/>
        <w:numPr>
          <w:ilvl w:val="0"/>
          <w:numId w:val="2"/>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uwzględni i opisze sugestie mieszkańców dotyczących mocnych i słabych strony oraz szans i ewentualnych zagrożeń związanych z procesem poszerzenia granic miasta Przemyśla.</w:t>
      </w:r>
    </w:p>
    <w:p w14:paraId="44049089" w14:textId="77777777" w:rsidR="00966282" w:rsidRPr="00966282" w:rsidRDefault="00966282" w:rsidP="001030E2">
      <w:pPr>
        <w:pStyle w:val="Akapitzlist"/>
        <w:numPr>
          <w:ilvl w:val="0"/>
          <w:numId w:val="2"/>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wspólnie z Zamawiającym wypracuję koncepcję poszerzenia granic miasta, którą przedstawi w raporcie z analizy przedwdrożeniowej.</w:t>
      </w:r>
    </w:p>
    <w:p w14:paraId="7E29A41E" w14:textId="77777777" w:rsidR="00966282" w:rsidRPr="00966282" w:rsidRDefault="00966282" w:rsidP="001030E2">
      <w:pPr>
        <w:pStyle w:val="Akapitzlist"/>
        <w:numPr>
          <w:ilvl w:val="0"/>
          <w:numId w:val="2"/>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na wszystkich materiałach dotyczących realizacji zamówienia będzie wykorzystywał identyfikację wizualno-promocyjną zgodną z wymogami projektu, zawierającą logo Programu Rozwój Lokalny, finansowanego ze środków Norweskiego Mechanizmu Finansowego 2014-2021 oraz logo Projektu pn. „Razem Zmieniamy Przemyśl”. Po podpisaniu umowy Zamawiający przekaże ww. logotypy Wykonawcy.</w:t>
      </w:r>
    </w:p>
    <w:p w14:paraId="1E8A16A0" w14:textId="77777777" w:rsidR="00966282" w:rsidRPr="00966282" w:rsidRDefault="00966282" w:rsidP="001030E2">
      <w:pPr>
        <w:pStyle w:val="Akapitzlist"/>
        <w:numPr>
          <w:ilvl w:val="0"/>
          <w:numId w:val="2"/>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będzie współpracował z Zamawiającym na każdym z etapów przygotowywania dokumentu.</w:t>
      </w:r>
    </w:p>
    <w:p w14:paraId="3292B831" w14:textId="32E8C7D4" w:rsidR="00966282" w:rsidRPr="00966282" w:rsidRDefault="00966282" w:rsidP="001030E2">
      <w:pPr>
        <w:pStyle w:val="Akapitzlist"/>
        <w:numPr>
          <w:ilvl w:val="0"/>
          <w:numId w:val="2"/>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przekaże Zamawiającemu 2 egzemplarze w wersji papierowej oraz egzemplarz w</w:t>
      </w:r>
      <w:r w:rsidR="00730FA6">
        <w:rPr>
          <w:rFonts w:ascii="Arial" w:eastAsia="Trebuchet MS" w:hAnsi="Arial" w:cs="Arial"/>
          <w:bCs/>
          <w:sz w:val="20"/>
          <w:szCs w:val="20"/>
          <w:lang w:eastAsia="pl-PL"/>
        </w:rPr>
        <w:t> </w:t>
      </w:r>
      <w:r w:rsidRPr="00966282">
        <w:rPr>
          <w:rFonts w:ascii="Arial" w:eastAsia="Trebuchet MS" w:hAnsi="Arial" w:cs="Arial"/>
          <w:bCs/>
          <w:sz w:val="20"/>
          <w:szCs w:val="20"/>
          <w:lang w:eastAsia="pl-PL"/>
        </w:rPr>
        <w:t>wersji elektronicznej (na pendrive).</w:t>
      </w:r>
    </w:p>
    <w:p w14:paraId="41B0EEE4" w14:textId="77777777" w:rsidR="00966282" w:rsidRPr="00966282" w:rsidRDefault="00966282" w:rsidP="001030E2">
      <w:pPr>
        <w:pStyle w:val="Akapitzlist"/>
        <w:numPr>
          <w:ilvl w:val="0"/>
          <w:numId w:val="2"/>
        </w:numPr>
        <w:spacing w:line="276" w:lineRule="auto"/>
        <w:jc w:val="both"/>
        <w:rPr>
          <w:rFonts w:ascii="Arial" w:eastAsia="Trebuchet MS" w:hAnsi="Arial" w:cs="Arial"/>
          <w:bCs/>
          <w:sz w:val="20"/>
          <w:szCs w:val="20"/>
          <w:lang w:eastAsia="pl-PL"/>
        </w:rPr>
      </w:pPr>
      <w:r w:rsidRPr="00966282">
        <w:rPr>
          <w:rFonts w:ascii="Arial" w:eastAsia="Trebuchet MS" w:hAnsi="Arial" w:cs="Arial"/>
          <w:bCs/>
          <w:sz w:val="20"/>
          <w:szCs w:val="20"/>
          <w:lang w:eastAsia="pl-PL"/>
        </w:rPr>
        <w:t>Wykonawca jest zobowiązany do każdorazowego konsultowania zakresu pozyskiwanych informacji oraz listy podmiotów miejskich, które będą przekazywały informacje dla potrzeb wykonania raportu.</w:t>
      </w:r>
    </w:p>
    <w:p w14:paraId="3BC9786B" w14:textId="77777777" w:rsidR="00966282" w:rsidRPr="00966282" w:rsidRDefault="00966282" w:rsidP="001030E2">
      <w:pPr>
        <w:pStyle w:val="Akapitzlist"/>
        <w:numPr>
          <w:ilvl w:val="0"/>
          <w:numId w:val="2"/>
        </w:numPr>
        <w:spacing w:line="276" w:lineRule="auto"/>
        <w:rPr>
          <w:rFonts w:ascii="Arial" w:eastAsia="Trebuchet MS" w:hAnsi="Arial" w:cs="Arial"/>
          <w:bCs/>
          <w:sz w:val="20"/>
          <w:szCs w:val="20"/>
          <w:lang w:eastAsia="pl-PL"/>
        </w:rPr>
      </w:pPr>
      <w:r w:rsidRPr="00966282">
        <w:rPr>
          <w:rFonts w:ascii="Arial" w:eastAsia="Trebuchet MS" w:hAnsi="Arial" w:cs="Arial"/>
          <w:bCs/>
          <w:sz w:val="20"/>
          <w:szCs w:val="20"/>
          <w:lang w:eastAsia="pl-PL"/>
        </w:rPr>
        <w:t xml:space="preserve">Wykonawca zrealizuje niniejszą usługę w </w:t>
      </w:r>
      <w:r w:rsidRPr="00966282">
        <w:rPr>
          <w:rFonts w:ascii="Arial" w:eastAsia="Trebuchet MS" w:hAnsi="Arial" w:cs="Arial"/>
          <w:b/>
          <w:bCs/>
          <w:sz w:val="20"/>
          <w:szCs w:val="20"/>
          <w:lang w:eastAsia="pl-PL"/>
        </w:rPr>
        <w:t>do 16 kwietnia 2024 roku.</w:t>
      </w:r>
    </w:p>
    <w:p w14:paraId="6157D95D" w14:textId="77777777" w:rsidR="00966282" w:rsidRDefault="00966282" w:rsidP="00966282">
      <w:pPr>
        <w:pStyle w:val="Akapitzlist"/>
        <w:spacing w:after="0" w:line="276" w:lineRule="auto"/>
        <w:ind w:left="993"/>
        <w:contextualSpacing w:val="0"/>
        <w:jc w:val="both"/>
        <w:rPr>
          <w:rFonts w:ascii="Arial" w:eastAsia="Trebuchet MS" w:hAnsi="Arial" w:cs="Arial"/>
          <w:bCs/>
          <w:sz w:val="20"/>
          <w:szCs w:val="20"/>
          <w:lang w:eastAsia="pl-PL"/>
        </w:rPr>
      </w:pPr>
    </w:p>
    <w:p w14:paraId="35831FEB" w14:textId="58EAF836" w:rsidR="001445B5" w:rsidRPr="002212CE" w:rsidRDefault="00BD4B86" w:rsidP="001030E2">
      <w:pPr>
        <w:pStyle w:val="Akapitzlist"/>
        <w:numPr>
          <w:ilvl w:val="0"/>
          <w:numId w:val="3"/>
        </w:numPr>
        <w:spacing w:line="276" w:lineRule="auto"/>
        <w:ind w:left="426"/>
        <w:jc w:val="both"/>
        <w:rPr>
          <w:rFonts w:ascii="Arial" w:eastAsia="Trebuchet MS" w:hAnsi="Arial" w:cs="Arial"/>
          <w:bCs/>
          <w:sz w:val="20"/>
          <w:szCs w:val="20"/>
          <w:lang w:eastAsia="pl-PL"/>
        </w:rPr>
      </w:pPr>
      <w:r w:rsidRPr="00BD4B86">
        <w:rPr>
          <w:rFonts w:ascii="Arial" w:eastAsia="Trebuchet MS" w:hAnsi="Arial" w:cs="Arial"/>
          <w:bCs/>
          <w:sz w:val="20"/>
          <w:szCs w:val="20"/>
          <w:lang w:eastAsia="pl-PL"/>
        </w:rPr>
        <w:t>W ramach realizacji zamówienia uwzględnione zostaną następujące standardy dostępności: edukacyjny, informacyjno-promocyjny, cyfrowy. Przedsięwzięcie będzie realizowane w miejscach dostępnych dla osób z różnymi niepełnosprawnościami, w szczególności osób mających trudności w poruszaniu się dzięki zastosowaniu: wind, pochylni, dźwigów manualnych i elektronicznych, braku progów. Istotne informacje będą dystrybuowane w formie umożliwiającej ich odbiór przez wszystkich zainteresowanych, niezależnie od sprawności narządów słuchu i wzroku. Materiały informacyjne podczas spotkań konsultacyjnych, warsztatów związane z realizacją przedsięwzięcia zostaną przygotowane w sposób dostępny z wykorzystaniem tekstu łatwego w odbiorze. Spotkania i</w:t>
      </w:r>
      <w:r>
        <w:rPr>
          <w:rFonts w:ascii="Arial" w:eastAsia="Trebuchet MS" w:hAnsi="Arial" w:cs="Arial"/>
          <w:bCs/>
          <w:sz w:val="20"/>
          <w:szCs w:val="20"/>
          <w:lang w:eastAsia="pl-PL"/>
        </w:rPr>
        <w:t> </w:t>
      </w:r>
      <w:bookmarkStart w:id="2" w:name="_GoBack"/>
      <w:bookmarkEnd w:id="2"/>
      <w:r w:rsidRPr="00BD4B86">
        <w:rPr>
          <w:rFonts w:ascii="Arial" w:eastAsia="Trebuchet MS" w:hAnsi="Arial" w:cs="Arial"/>
          <w:bCs/>
          <w:sz w:val="20"/>
          <w:szCs w:val="20"/>
          <w:lang w:eastAsia="pl-PL"/>
        </w:rPr>
        <w:t>warsztaty związane z przeprowadzeniem analizy przedwdrożeniowej będą dostępne dla wszystkich nie wykorzystując przekazu dyskryminującego, ośmieszającego bądź utrwalającego stereotypy ze względu na niepełnosprawność czy inne przesłanki takie jak: płeć, rasę lub pochodzenie etniczne, religię, światopogląd, wiek lub orientację seksualną.</w:t>
      </w:r>
    </w:p>
    <w:sectPr w:rsidR="001445B5" w:rsidRPr="002212CE" w:rsidSect="000311FF">
      <w:footerReference w:type="default" r:id="rId8"/>
      <w:headerReference w:type="first" r:id="rId9"/>
      <w:footerReference w:type="first" r:id="rId10"/>
      <w:pgSz w:w="11906" w:h="16838"/>
      <w:pgMar w:top="567" w:right="1417" w:bottom="567" w:left="1276"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4DE78" w14:textId="77777777" w:rsidR="001030E2" w:rsidRDefault="001030E2" w:rsidP="004E2552">
      <w:pPr>
        <w:spacing w:after="0" w:line="240" w:lineRule="auto"/>
      </w:pPr>
      <w:r>
        <w:separator/>
      </w:r>
    </w:p>
  </w:endnote>
  <w:endnote w:type="continuationSeparator" w:id="0">
    <w:p w14:paraId="4838E900" w14:textId="77777777" w:rsidR="001030E2" w:rsidRDefault="001030E2" w:rsidP="004E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999018"/>
      <w:docPartObj>
        <w:docPartGallery w:val="Page Numbers (Bottom of Page)"/>
        <w:docPartUnique/>
      </w:docPartObj>
    </w:sdtPr>
    <w:sdtEndPr>
      <w:rPr>
        <w:rFonts w:ascii="Arial" w:hAnsi="Arial" w:cs="Arial"/>
        <w:sz w:val="18"/>
        <w:szCs w:val="18"/>
      </w:rPr>
    </w:sdtEndPr>
    <w:sdtContent>
      <w:p w14:paraId="59930D45" w14:textId="4CF6C5AA" w:rsidR="009B078D" w:rsidRPr="009B078D" w:rsidRDefault="009B078D">
        <w:pPr>
          <w:pStyle w:val="Stopka"/>
          <w:jc w:val="center"/>
          <w:rPr>
            <w:rFonts w:ascii="Arial" w:hAnsi="Arial" w:cs="Arial"/>
            <w:sz w:val="18"/>
            <w:szCs w:val="18"/>
          </w:rPr>
        </w:pPr>
        <w:r w:rsidRPr="009B078D">
          <w:rPr>
            <w:rFonts w:ascii="Arial" w:hAnsi="Arial" w:cs="Arial"/>
            <w:sz w:val="18"/>
            <w:szCs w:val="18"/>
          </w:rPr>
          <w:fldChar w:fldCharType="begin"/>
        </w:r>
        <w:r w:rsidRPr="009B078D">
          <w:rPr>
            <w:rFonts w:ascii="Arial" w:hAnsi="Arial" w:cs="Arial"/>
            <w:sz w:val="18"/>
            <w:szCs w:val="18"/>
          </w:rPr>
          <w:instrText>PAGE   \* MERGEFORMAT</w:instrText>
        </w:r>
        <w:r w:rsidRPr="009B078D">
          <w:rPr>
            <w:rFonts w:ascii="Arial" w:hAnsi="Arial" w:cs="Arial"/>
            <w:sz w:val="18"/>
            <w:szCs w:val="18"/>
          </w:rPr>
          <w:fldChar w:fldCharType="separate"/>
        </w:r>
        <w:r w:rsidR="00BD4B86">
          <w:rPr>
            <w:rFonts w:ascii="Arial" w:hAnsi="Arial" w:cs="Arial"/>
            <w:noProof/>
            <w:sz w:val="18"/>
            <w:szCs w:val="18"/>
          </w:rPr>
          <w:t>2</w:t>
        </w:r>
        <w:r w:rsidRPr="009B078D">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246"/>
      <w:docPartObj>
        <w:docPartGallery w:val="Page Numbers (Bottom of Page)"/>
        <w:docPartUnique/>
      </w:docPartObj>
    </w:sdtPr>
    <w:sdtEndPr>
      <w:rPr>
        <w:rFonts w:ascii="Arial" w:hAnsi="Arial" w:cs="Arial"/>
        <w:sz w:val="18"/>
        <w:szCs w:val="18"/>
      </w:rPr>
    </w:sdtEndPr>
    <w:sdtContent>
      <w:p w14:paraId="3F39D720" w14:textId="5C92042A" w:rsidR="00550F26" w:rsidRDefault="00550F26">
        <w:pPr>
          <w:pStyle w:val="Stopka"/>
          <w:jc w:val="center"/>
        </w:pPr>
        <w:r>
          <w:rPr>
            <w:noProof/>
            <w:lang w:eastAsia="pl-PL"/>
          </w:rPr>
          <w:drawing>
            <wp:inline distT="0" distB="0" distL="0" distR="0" wp14:anchorId="68B6B09F" wp14:editId="43A2BD25">
              <wp:extent cx="5297805" cy="597535"/>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597535"/>
                      </a:xfrm>
                      <a:prstGeom prst="rect">
                        <a:avLst/>
                      </a:prstGeom>
                      <a:noFill/>
                    </pic:spPr>
                  </pic:pic>
                </a:graphicData>
              </a:graphic>
            </wp:inline>
          </w:drawing>
        </w:r>
      </w:p>
      <w:p w14:paraId="298884C3" w14:textId="5E3C0287" w:rsidR="00550F26" w:rsidRPr="00550F26" w:rsidRDefault="00550F26">
        <w:pPr>
          <w:pStyle w:val="Stopka"/>
          <w:jc w:val="center"/>
          <w:rPr>
            <w:rFonts w:ascii="Arial" w:hAnsi="Arial" w:cs="Arial"/>
            <w:sz w:val="18"/>
            <w:szCs w:val="18"/>
          </w:rPr>
        </w:pPr>
        <w:r w:rsidRPr="00550F26">
          <w:rPr>
            <w:rFonts w:ascii="Arial" w:hAnsi="Arial" w:cs="Arial"/>
            <w:sz w:val="18"/>
            <w:szCs w:val="18"/>
          </w:rPr>
          <w:fldChar w:fldCharType="begin"/>
        </w:r>
        <w:r w:rsidRPr="00550F26">
          <w:rPr>
            <w:rFonts w:ascii="Arial" w:hAnsi="Arial" w:cs="Arial"/>
            <w:sz w:val="18"/>
            <w:szCs w:val="18"/>
          </w:rPr>
          <w:instrText>PAGE   \* MERGEFORMAT</w:instrText>
        </w:r>
        <w:r w:rsidRPr="00550F26">
          <w:rPr>
            <w:rFonts w:ascii="Arial" w:hAnsi="Arial" w:cs="Arial"/>
            <w:sz w:val="18"/>
            <w:szCs w:val="18"/>
          </w:rPr>
          <w:fldChar w:fldCharType="separate"/>
        </w:r>
        <w:r w:rsidR="00BD4B86">
          <w:rPr>
            <w:rFonts w:ascii="Arial" w:hAnsi="Arial" w:cs="Arial"/>
            <w:noProof/>
            <w:sz w:val="18"/>
            <w:szCs w:val="18"/>
          </w:rPr>
          <w:t>1</w:t>
        </w:r>
        <w:r w:rsidRPr="00550F26">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2F715" w14:textId="77777777" w:rsidR="001030E2" w:rsidRDefault="001030E2" w:rsidP="004E2552">
      <w:pPr>
        <w:spacing w:after="0" w:line="240" w:lineRule="auto"/>
      </w:pPr>
      <w:r>
        <w:separator/>
      </w:r>
    </w:p>
  </w:footnote>
  <w:footnote w:type="continuationSeparator" w:id="0">
    <w:p w14:paraId="74AA70CC" w14:textId="77777777" w:rsidR="001030E2" w:rsidRDefault="001030E2" w:rsidP="004E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F5D3" w14:textId="553707A2" w:rsidR="007B64F0" w:rsidRDefault="00550F26">
    <w:pPr>
      <w:pStyle w:val="Nagwek"/>
    </w:pPr>
    <w:r>
      <w:rPr>
        <w:noProof/>
        <w:lang w:eastAsia="pl-PL"/>
      </w:rPr>
      <w:drawing>
        <wp:inline distT="0" distB="0" distL="0" distR="0" wp14:anchorId="62D22430" wp14:editId="6529DD7E">
          <wp:extent cx="5850255" cy="702273"/>
          <wp:effectExtent l="0" t="0" r="0" b="317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702273"/>
                  </a:xfrm>
                  <a:prstGeom prst="rect">
                    <a:avLst/>
                  </a:prstGeom>
                  <a:noFill/>
                </pic:spPr>
              </pic:pic>
            </a:graphicData>
          </a:graphic>
        </wp:inline>
      </w:drawing>
    </w:r>
  </w:p>
  <w:p w14:paraId="5652B0C3" w14:textId="77777777" w:rsidR="009B078D" w:rsidRPr="009B078D" w:rsidRDefault="009B078D" w:rsidP="009B078D">
    <w:pPr>
      <w:pStyle w:val="Nagwek"/>
      <w:jc w:val="right"/>
      <w:rPr>
        <w:rFonts w:ascii="Arial" w:hAnsi="Arial" w:cs="Arial"/>
        <w:sz w:val="18"/>
        <w:szCs w:val="18"/>
      </w:rPr>
    </w:pPr>
    <w:r w:rsidRPr="009B078D">
      <w:rPr>
        <w:rFonts w:ascii="Arial" w:hAnsi="Arial" w:cs="Arial"/>
        <w:sz w:val="18"/>
        <w:szCs w:val="18"/>
      </w:rPr>
      <w:t>Załącznik nr 5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F37"/>
    <w:multiLevelType w:val="multilevel"/>
    <w:tmpl w:val="E8E8AC74"/>
    <w:lvl w:ilvl="0">
      <w:start w:val="1"/>
      <w:numFmt w:val="decimal"/>
      <w:lvlText w:val="%1)"/>
      <w:lvlJc w:val="left"/>
      <w:pPr>
        <w:ind w:left="644"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F7F62"/>
    <w:multiLevelType w:val="multilevel"/>
    <w:tmpl w:val="5FFA6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590E9C"/>
    <w:multiLevelType w:val="hybridMultilevel"/>
    <w:tmpl w:val="62C200B2"/>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52"/>
    <w:rsid w:val="00004D76"/>
    <w:rsid w:val="00006E10"/>
    <w:rsid w:val="00007427"/>
    <w:rsid w:val="0001251D"/>
    <w:rsid w:val="000127EF"/>
    <w:rsid w:val="0001334D"/>
    <w:rsid w:val="00013745"/>
    <w:rsid w:val="000222DD"/>
    <w:rsid w:val="000311FF"/>
    <w:rsid w:val="00031785"/>
    <w:rsid w:val="00033C28"/>
    <w:rsid w:val="000361D3"/>
    <w:rsid w:val="00037B6C"/>
    <w:rsid w:val="000555E2"/>
    <w:rsid w:val="00061026"/>
    <w:rsid w:val="00062FEF"/>
    <w:rsid w:val="000718E3"/>
    <w:rsid w:val="00086E11"/>
    <w:rsid w:val="000937D8"/>
    <w:rsid w:val="00097621"/>
    <w:rsid w:val="000A3BA4"/>
    <w:rsid w:val="000B6C9A"/>
    <w:rsid w:val="000D221A"/>
    <w:rsid w:val="000D51D0"/>
    <w:rsid w:val="000D6A55"/>
    <w:rsid w:val="000F16A8"/>
    <w:rsid w:val="000F5C5B"/>
    <w:rsid w:val="001000E4"/>
    <w:rsid w:val="0010266C"/>
    <w:rsid w:val="001030E2"/>
    <w:rsid w:val="00110D66"/>
    <w:rsid w:val="00133A84"/>
    <w:rsid w:val="001445B5"/>
    <w:rsid w:val="001511DA"/>
    <w:rsid w:val="00151366"/>
    <w:rsid w:val="001625DD"/>
    <w:rsid w:val="00162F1B"/>
    <w:rsid w:val="00165723"/>
    <w:rsid w:val="00175BD6"/>
    <w:rsid w:val="001925DA"/>
    <w:rsid w:val="00196315"/>
    <w:rsid w:val="00197C06"/>
    <w:rsid w:val="001B27D4"/>
    <w:rsid w:val="001C0CB4"/>
    <w:rsid w:val="001C2FE6"/>
    <w:rsid w:val="001C4399"/>
    <w:rsid w:val="001D25B1"/>
    <w:rsid w:val="001D2DCA"/>
    <w:rsid w:val="001D54E8"/>
    <w:rsid w:val="001E3D1A"/>
    <w:rsid w:val="001F0094"/>
    <w:rsid w:val="001F6533"/>
    <w:rsid w:val="00212EAB"/>
    <w:rsid w:val="002212CE"/>
    <w:rsid w:val="00226B10"/>
    <w:rsid w:val="00254F1F"/>
    <w:rsid w:val="00260C76"/>
    <w:rsid w:val="002744EF"/>
    <w:rsid w:val="00282894"/>
    <w:rsid w:val="002B08D9"/>
    <w:rsid w:val="002B13EA"/>
    <w:rsid w:val="002B57E5"/>
    <w:rsid w:val="002E6834"/>
    <w:rsid w:val="002F1E94"/>
    <w:rsid w:val="002F3155"/>
    <w:rsid w:val="003128BF"/>
    <w:rsid w:val="00321F5F"/>
    <w:rsid w:val="0033631C"/>
    <w:rsid w:val="00355DAB"/>
    <w:rsid w:val="00362FE8"/>
    <w:rsid w:val="003665AC"/>
    <w:rsid w:val="003721D0"/>
    <w:rsid w:val="003876EE"/>
    <w:rsid w:val="003A7B69"/>
    <w:rsid w:val="003B0FCE"/>
    <w:rsid w:val="003B3FAD"/>
    <w:rsid w:val="003E4DC8"/>
    <w:rsid w:val="003F0BFF"/>
    <w:rsid w:val="004047F1"/>
    <w:rsid w:val="004049CE"/>
    <w:rsid w:val="00404B37"/>
    <w:rsid w:val="00406296"/>
    <w:rsid w:val="004162A1"/>
    <w:rsid w:val="00420A45"/>
    <w:rsid w:val="00440AFE"/>
    <w:rsid w:val="00456660"/>
    <w:rsid w:val="0046250E"/>
    <w:rsid w:val="00465D1D"/>
    <w:rsid w:val="00467A6F"/>
    <w:rsid w:val="00472A18"/>
    <w:rsid w:val="004860BE"/>
    <w:rsid w:val="00493624"/>
    <w:rsid w:val="004A6875"/>
    <w:rsid w:val="004B0BC3"/>
    <w:rsid w:val="004B3298"/>
    <w:rsid w:val="004C1394"/>
    <w:rsid w:val="004E2552"/>
    <w:rsid w:val="004F327C"/>
    <w:rsid w:val="004F6556"/>
    <w:rsid w:val="00520A72"/>
    <w:rsid w:val="00526100"/>
    <w:rsid w:val="00536BA6"/>
    <w:rsid w:val="00544525"/>
    <w:rsid w:val="00550F26"/>
    <w:rsid w:val="0055396D"/>
    <w:rsid w:val="0056185C"/>
    <w:rsid w:val="00562692"/>
    <w:rsid w:val="00572625"/>
    <w:rsid w:val="00582C75"/>
    <w:rsid w:val="005B0B35"/>
    <w:rsid w:val="005C30BF"/>
    <w:rsid w:val="005D1C22"/>
    <w:rsid w:val="005D5E77"/>
    <w:rsid w:val="005E2580"/>
    <w:rsid w:val="005F2AF4"/>
    <w:rsid w:val="0060065D"/>
    <w:rsid w:val="006117B0"/>
    <w:rsid w:val="00635ECC"/>
    <w:rsid w:val="00661524"/>
    <w:rsid w:val="0066190E"/>
    <w:rsid w:val="00661D55"/>
    <w:rsid w:val="00666DC4"/>
    <w:rsid w:val="006712F4"/>
    <w:rsid w:val="006934C6"/>
    <w:rsid w:val="00696AC4"/>
    <w:rsid w:val="006A3C73"/>
    <w:rsid w:val="006A6328"/>
    <w:rsid w:val="006B7625"/>
    <w:rsid w:val="006C7634"/>
    <w:rsid w:val="006D5F7C"/>
    <w:rsid w:val="006E0048"/>
    <w:rsid w:val="006E111F"/>
    <w:rsid w:val="006E41C6"/>
    <w:rsid w:val="006E516E"/>
    <w:rsid w:val="006E600B"/>
    <w:rsid w:val="006F5AE5"/>
    <w:rsid w:val="00701814"/>
    <w:rsid w:val="00705020"/>
    <w:rsid w:val="007074BD"/>
    <w:rsid w:val="00730FA6"/>
    <w:rsid w:val="00737528"/>
    <w:rsid w:val="007463FE"/>
    <w:rsid w:val="007514FC"/>
    <w:rsid w:val="00757983"/>
    <w:rsid w:val="007966E0"/>
    <w:rsid w:val="007A0992"/>
    <w:rsid w:val="007A2070"/>
    <w:rsid w:val="007B64F0"/>
    <w:rsid w:val="007B7912"/>
    <w:rsid w:val="007C5AA7"/>
    <w:rsid w:val="007C6FDE"/>
    <w:rsid w:val="007F3CE0"/>
    <w:rsid w:val="007F466C"/>
    <w:rsid w:val="00805563"/>
    <w:rsid w:val="00810EEA"/>
    <w:rsid w:val="0081356F"/>
    <w:rsid w:val="00826616"/>
    <w:rsid w:val="008407F1"/>
    <w:rsid w:val="00851CED"/>
    <w:rsid w:val="0085466E"/>
    <w:rsid w:val="00877326"/>
    <w:rsid w:val="00882A3B"/>
    <w:rsid w:val="00886261"/>
    <w:rsid w:val="008A2066"/>
    <w:rsid w:val="008A224D"/>
    <w:rsid w:val="008A5D03"/>
    <w:rsid w:val="008B7C14"/>
    <w:rsid w:val="008B7D34"/>
    <w:rsid w:val="008C3C33"/>
    <w:rsid w:val="008D40E1"/>
    <w:rsid w:val="008F0B04"/>
    <w:rsid w:val="00901CC4"/>
    <w:rsid w:val="00912512"/>
    <w:rsid w:val="00915CFD"/>
    <w:rsid w:val="00922891"/>
    <w:rsid w:val="00934FE8"/>
    <w:rsid w:val="00940D2F"/>
    <w:rsid w:val="00946DAA"/>
    <w:rsid w:val="00947B92"/>
    <w:rsid w:val="0095177F"/>
    <w:rsid w:val="009539EB"/>
    <w:rsid w:val="009572C0"/>
    <w:rsid w:val="00957A8E"/>
    <w:rsid w:val="00966282"/>
    <w:rsid w:val="0097077F"/>
    <w:rsid w:val="0098459C"/>
    <w:rsid w:val="009A58CF"/>
    <w:rsid w:val="009A63D4"/>
    <w:rsid w:val="009B078D"/>
    <w:rsid w:val="009B3195"/>
    <w:rsid w:val="009B49B6"/>
    <w:rsid w:val="009C09A5"/>
    <w:rsid w:val="009C14F1"/>
    <w:rsid w:val="009C331F"/>
    <w:rsid w:val="009D145B"/>
    <w:rsid w:val="009E07F5"/>
    <w:rsid w:val="009E5BF1"/>
    <w:rsid w:val="009E6713"/>
    <w:rsid w:val="009F079F"/>
    <w:rsid w:val="009F1DF5"/>
    <w:rsid w:val="00A201AB"/>
    <w:rsid w:val="00A2479A"/>
    <w:rsid w:val="00A27BCB"/>
    <w:rsid w:val="00A32E94"/>
    <w:rsid w:val="00A3722F"/>
    <w:rsid w:val="00A37A72"/>
    <w:rsid w:val="00A50D77"/>
    <w:rsid w:val="00A56EE8"/>
    <w:rsid w:val="00A63F92"/>
    <w:rsid w:val="00A83825"/>
    <w:rsid w:val="00A870C0"/>
    <w:rsid w:val="00A91A17"/>
    <w:rsid w:val="00A93C8B"/>
    <w:rsid w:val="00AA00EA"/>
    <w:rsid w:val="00AB1EEE"/>
    <w:rsid w:val="00AC0A89"/>
    <w:rsid w:val="00AC5E39"/>
    <w:rsid w:val="00AD4B08"/>
    <w:rsid w:val="00AD5D7B"/>
    <w:rsid w:val="00AD7194"/>
    <w:rsid w:val="00AE37C4"/>
    <w:rsid w:val="00AF29C2"/>
    <w:rsid w:val="00AF4832"/>
    <w:rsid w:val="00B10428"/>
    <w:rsid w:val="00B31A9D"/>
    <w:rsid w:val="00B31B1E"/>
    <w:rsid w:val="00B42B3D"/>
    <w:rsid w:val="00B43B55"/>
    <w:rsid w:val="00B55163"/>
    <w:rsid w:val="00B67E67"/>
    <w:rsid w:val="00B73460"/>
    <w:rsid w:val="00B75C69"/>
    <w:rsid w:val="00BB3E07"/>
    <w:rsid w:val="00BB6383"/>
    <w:rsid w:val="00BB6FEF"/>
    <w:rsid w:val="00BB77D5"/>
    <w:rsid w:val="00BC1700"/>
    <w:rsid w:val="00BD4B86"/>
    <w:rsid w:val="00BD74FA"/>
    <w:rsid w:val="00BE5882"/>
    <w:rsid w:val="00BF2370"/>
    <w:rsid w:val="00BF2AAD"/>
    <w:rsid w:val="00BF5940"/>
    <w:rsid w:val="00C01814"/>
    <w:rsid w:val="00C0767F"/>
    <w:rsid w:val="00C10D5F"/>
    <w:rsid w:val="00C14A5A"/>
    <w:rsid w:val="00C26D6C"/>
    <w:rsid w:val="00C270B5"/>
    <w:rsid w:val="00C35701"/>
    <w:rsid w:val="00C41C3E"/>
    <w:rsid w:val="00C41CD6"/>
    <w:rsid w:val="00C47C08"/>
    <w:rsid w:val="00C50D1C"/>
    <w:rsid w:val="00C62157"/>
    <w:rsid w:val="00C66902"/>
    <w:rsid w:val="00C676CE"/>
    <w:rsid w:val="00C72040"/>
    <w:rsid w:val="00C749BA"/>
    <w:rsid w:val="00C759C3"/>
    <w:rsid w:val="00C75B39"/>
    <w:rsid w:val="00C81B11"/>
    <w:rsid w:val="00CA3E0C"/>
    <w:rsid w:val="00CB237F"/>
    <w:rsid w:val="00CB378B"/>
    <w:rsid w:val="00CB51A2"/>
    <w:rsid w:val="00CC588F"/>
    <w:rsid w:val="00CD1E74"/>
    <w:rsid w:val="00CD231E"/>
    <w:rsid w:val="00D01C8A"/>
    <w:rsid w:val="00D10338"/>
    <w:rsid w:val="00D1358A"/>
    <w:rsid w:val="00D165F3"/>
    <w:rsid w:val="00D169A4"/>
    <w:rsid w:val="00D169E8"/>
    <w:rsid w:val="00D25116"/>
    <w:rsid w:val="00D30E50"/>
    <w:rsid w:val="00D36802"/>
    <w:rsid w:val="00D451BE"/>
    <w:rsid w:val="00D45D28"/>
    <w:rsid w:val="00D46F2F"/>
    <w:rsid w:val="00D52944"/>
    <w:rsid w:val="00D56658"/>
    <w:rsid w:val="00D62EA5"/>
    <w:rsid w:val="00D734CF"/>
    <w:rsid w:val="00D74F97"/>
    <w:rsid w:val="00D7591A"/>
    <w:rsid w:val="00D80B84"/>
    <w:rsid w:val="00D84891"/>
    <w:rsid w:val="00DB265B"/>
    <w:rsid w:val="00DC0170"/>
    <w:rsid w:val="00DD0293"/>
    <w:rsid w:val="00DE607E"/>
    <w:rsid w:val="00DF01B5"/>
    <w:rsid w:val="00DF6296"/>
    <w:rsid w:val="00DF662F"/>
    <w:rsid w:val="00E02816"/>
    <w:rsid w:val="00E04EAB"/>
    <w:rsid w:val="00E067F0"/>
    <w:rsid w:val="00E14350"/>
    <w:rsid w:val="00E14C57"/>
    <w:rsid w:val="00E169B7"/>
    <w:rsid w:val="00E172F5"/>
    <w:rsid w:val="00E224B5"/>
    <w:rsid w:val="00E274F5"/>
    <w:rsid w:val="00E3122C"/>
    <w:rsid w:val="00E35C3C"/>
    <w:rsid w:val="00E36598"/>
    <w:rsid w:val="00E5496D"/>
    <w:rsid w:val="00E635B4"/>
    <w:rsid w:val="00E7345D"/>
    <w:rsid w:val="00E778DE"/>
    <w:rsid w:val="00E91710"/>
    <w:rsid w:val="00EA4AE4"/>
    <w:rsid w:val="00EA71B4"/>
    <w:rsid w:val="00EB207F"/>
    <w:rsid w:val="00EB64BD"/>
    <w:rsid w:val="00EC719D"/>
    <w:rsid w:val="00ED0A11"/>
    <w:rsid w:val="00ED122D"/>
    <w:rsid w:val="00EF39D1"/>
    <w:rsid w:val="00EF4DA1"/>
    <w:rsid w:val="00EF53D4"/>
    <w:rsid w:val="00F01047"/>
    <w:rsid w:val="00F038A6"/>
    <w:rsid w:val="00F04E03"/>
    <w:rsid w:val="00F30846"/>
    <w:rsid w:val="00F36502"/>
    <w:rsid w:val="00F37C67"/>
    <w:rsid w:val="00F74B2A"/>
    <w:rsid w:val="00F915E8"/>
    <w:rsid w:val="00FC0D68"/>
    <w:rsid w:val="00FC1275"/>
    <w:rsid w:val="00FD22A1"/>
    <w:rsid w:val="00FE1E25"/>
    <w:rsid w:val="00FE3043"/>
    <w:rsid w:val="00FE3FF5"/>
    <w:rsid w:val="00FF2A1E"/>
    <w:rsid w:val="00FF7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87BC2"/>
  <w15:chartTrackingRefBased/>
  <w15:docId w15:val="{D1E2B38F-DB53-4734-A042-AAD3C24A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FC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2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552"/>
  </w:style>
  <w:style w:type="paragraph" w:styleId="Stopka">
    <w:name w:val="footer"/>
    <w:basedOn w:val="Normalny"/>
    <w:link w:val="StopkaZnak"/>
    <w:uiPriority w:val="99"/>
    <w:unhideWhenUsed/>
    <w:rsid w:val="004E2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552"/>
  </w:style>
  <w:style w:type="paragraph" w:styleId="Akapitzlist">
    <w:name w:val="List Paragraph"/>
    <w:basedOn w:val="Normalny"/>
    <w:uiPriority w:val="34"/>
    <w:qFormat/>
    <w:rsid w:val="003B0FCE"/>
    <w:pPr>
      <w:ind w:left="720"/>
      <w:contextualSpacing/>
    </w:pPr>
  </w:style>
  <w:style w:type="paragraph" w:styleId="NormalnyWeb">
    <w:name w:val="Normal (Web)"/>
    <w:basedOn w:val="Normalny"/>
    <w:uiPriority w:val="99"/>
    <w:semiHidden/>
    <w:unhideWhenUsed/>
    <w:rsid w:val="003B0F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B0FCE"/>
    <w:rPr>
      <w:color w:val="0563C1" w:themeColor="hyperlink"/>
      <w:u w:val="single"/>
    </w:rPr>
  </w:style>
  <w:style w:type="paragraph" w:styleId="Tekstdymka">
    <w:name w:val="Balloon Text"/>
    <w:basedOn w:val="Normalny"/>
    <w:link w:val="TekstdymkaZnak"/>
    <w:uiPriority w:val="99"/>
    <w:semiHidden/>
    <w:unhideWhenUsed/>
    <w:rsid w:val="001D2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2DCA"/>
    <w:rPr>
      <w:rFonts w:ascii="Segoe UI" w:hAnsi="Segoe UI" w:cs="Segoe UI"/>
      <w:sz w:val="18"/>
      <w:szCs w:val="18"/>
    </w:rPr>
  </w:style>
  <w:style w:type="character" w:styleId="Odwoaniedokomentarza">
    <w:name w:val="annotation reference"/>
    <w:basedOn w:val="Domylnaczcionkaakapitu"/>
    <w:uiPriority w:val="99"/>
    <w:semiHidden/>
    <w:unhideWhenUsed/>
    <w:rsid w:val="000127EF"/>
    <w:rPr>
      <w:sz w:val="16"/>
      <w:szCs w:val="16"/>
    </w:rPr>
  </w:style>
  <w:style w:type="paragraph" w:styleId="Tekstkomentarza">
    <w:name w:val="annotation text"/>
    <w:basedOn w:val="Normalny"/>
    <w:link w:val="TekstkomentarzaZnak"/>
    <w:uiPriority w:val="99"/>
    <w:semiHidden/>
    <w:unhideWhenUsed/>
    <w:rsid w:val="000127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7EF"/>
    <w:rPr>
      <w:sz w:val="20"/>
      <w:szCs w:val="20"/>
    </w:rPr>
  </w:style>
  <w:style w:type="paragraph" w:styleId="Tematkomentarza">
    <w:name w:val="annotation subject"/>
    <w:basedOn w:val="Tekstkomentarza"/>
    <w:next w:val="Tekstkomentarza"/>
    <w:link w:val="TematkomentarzaZnak"/>
    <w:uiPriority w:val="99"/>
    <w:semiHidden/>
    <w:unhideWhenUsed/>
    <w:rsid w:val="000127EF"/>
    <w:rPr>
      <w:b/>
      <w:bCs/>
    </w:rPr>
  </w:style>
  <w:style w:type="character" w:customStyle="1" w:styleId="TematkomentarzaZnak">
    <w:name w:val="Temat komentarza Znak"/>
    <w:basedOn w:val="TekstkomentarzaZnak"/>
    <w:link w:val="Tematkomentarza"/>
    <w:uiPriority w:val="99"/>
    <w:semiHidden/>
    <w:rsid w:val="000127EF"/>
    <w:rPr>
      <w:b/>
      <w:bCs/>
      <w:sz w:val="20"/>
      <w:szCs w:val="20"/>
    </w:rPr>
  </w:style>
  <w:style w:type="paragraph" w:styleId="Poprawka">
    <w:name w:val="Revision"/>
    <w:hidden/>
    <w:uiPriority w:val="99"/>
    <w:semiHidden/>
    <w:rsid w:val="00635ECC"/>
    <w:pPr>
      <w:spacing w:after="0" w:line="240" w:lineRule="auto"/>
    </w:pPr>
  </w:style>
  <w:style w:type="character" w:styleId="Pogrubienie">
    <w:name w:val="Strong"/>
    <w:basedOn w:val="Domylnaczcionkaakapitu"/>
    <w:uiPriority w:val="22"/>
    <w:qFormat/>
    <w:rsid w:val="00AD4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DD63-B21E-423E-991E-9FEE1F16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1456</Words>
  <Characters>8738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Porada</dc:creator>
  <cp:keywords/>
  <dc:description/>
  <cp:lastModifiedBy>Konto Microsoft</cp:lastModifiedBy>
  <cp:revision>10</cp:revision>
  <cp:lastPrinted>2023-01-30T09:10:00Z</cp:lastPrinted>
  <dcterms:created xsi:type="dcterms:W3CDTF">2023-01-26T13:30:00Z</dcterms:created>
  <dcterms:modified xsi:type="dcterms:W3CDTF">2023-12-19T11:11:00Z</dcterms:modified>
</cp:coreProperties>
</file>