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FC54" w14:textId="2A266007" w:rsidR="00273AAA" w:rsidRDefault="00273AAA" w:rsidP="001004D2">
      <w:pPr>
        <w:pStyle w:val="Nagwek1"/>
      </w:pPr>
      <w:r>
        <w:t xml:space="preserve">Dostawa, konfiguracja 2 </w:t>
      </w:r>
      <w:r w:rsidR="00B916A3">
        <w:t>kompletów</w:t>
      </w:r>
      <w:r>
        <w:t xml:space="preserve">. przełączników sieciowych. </w:t>
      </w:r>
    </w:p>
    <w:p w14:paraId="66E5461B" w14:textId="77777777" w:rsidR="00273AAA" w:rsidRDefault="00273AAA" w:rsidP="00273AAA">
      <w:pPr>
        <w:jc w:val="both"/>
      </w:pPr>
    </w:p>
    <w:p w14:paraId="37E3999A" w14:textId="6DFEE6B3" w:rsidR="00273AAA" w:rsidRDefault="00273AAA" w:rsidP="00273AAA">
      <w:pPr>
        <w:pStyle w:val="Nagwek2"/>
      </w:pPr>
      <w:r>
        <w:t>Wymagania ogólne:</w:t>
      </w:r>
    </w:p>
    <w:p w14:paraId="5C50733A" w14:textId="23B632E0" w:rsidR="00273AAA" w:rsidRDefault="00273AAA" w:rsidP="00273AAA">
      <w:pPr>
        <w:jc w:val="both"/>
      </w:pPr>
      <w:r>
        <w:t>Dostarczone urządzenia muszą być fabrycznie nowe (nie dopuszcza się rozwiązań „odnowionych”, demonstracyjnych,</w:t>
      </w:r>
      <w:r>
        <w:t xml:space="preserve"> </w:t>
      </w:r>
      <w:r>
        <w:t>powystawowych itp.).</w:t>
      </w:r>
    </w:p>
    <w:p w14:paraId="156154E9" w14:textId="77777777" w:rsidR="00273AAA" w:rsidRDefault="00273AAA" w:rsidP="00273AAA">
      <w:pPr>
        <w:jc w:val="both"/>
      </w:pPr>
      <w:r>
        <w:t>Dostarczone urządzenia muszą być wyprodukowane nie wcześniej niż 9 miesięcy przed datą dostarczenia.</w:t>
      </w:r>
    </w:p>
    <w:p w14:paraId="5D8E6D71" w14:textId="5FF60ED3" w:rsidR="00273AAA" w:rsidRDefault="00273AAA" w:rsidP="00273AAA">
      <w:pPr>
        <w:jc w:val="both"/>
      </w:pPr>
      <w:r>
        <w:t>Dostarczone rozwiązania muszą istnieć w chwili składania oferty, tzn. mysi być do nich dostępna dokumentacja przynajmniej w</w:t>
      </w:r>
      <w:r>
        <w:t xml:space="preserve"> </w:t>
      </w:r>
      <w:r>
        <w:t>zakresie kart katalogowych oraz instrukcja obsługi.</w:t>
      </w:r>
    </w:p>
    <w:p w14:paraId="3C096543" w14:textId="77777777" w:rsidR="00273AAA" w:rsidRDefault="00273AAA" w:rsidP="00273AAA">
      <w:pPr>
        <w:jc w:val="both"/>
      </w:pPr>
      <w:r>
        <w:t>Karty katalogowe muszą być dostępne na stronach Producentów.</w:t>
      </w:r>
    </w:p>
    <w:p w14:paraId="4F7E93AE" w14:textId="77777777" w:rsidR="00273AAA" w:rsidRDefault="00273AAA" w:rsidP="00273AAA">
      <w:pPr>
        <w:jc w:val="both"/>
      </w:pPr>
      <w:r>
        <w:t>Dostarczone rozwiązania muszą być produktami komercyjnymi.</w:t>
      </w:r>
    </w:p>
    <w:p w14:paraId="45F459F8" w14:textId="77777777" w:rsidR="00273AAA" w:rsidRDefault="00273AAA" w:rsidP="00273AAA">
      <w:pPr>
        <w:jc w:val="both"/>
      </w:pPr>
      <w:r>
        <w:t>Oferowane produkty będą pochodziły z oficjalnego kanału dystrybucyjnego producentów na terenie Unii Europejskiej.</w:t>
      </w:r>
    </w:p>
    <w:p w14:paraId="4A2C5E2D" w14:textId="77777777" w:rsidR="00273AAA" w:rsidRDefault="00273AAA" w:rsidP="00273AAA">
      <w:pPr>
        <w:jc w:val="both"/>
      </w:pPr>
    </w:p>
    <w:p w14:paraId="2325D172" w14:textId="77777777" w:rsidR="00273AAA" w:rsidRDefault="00273AAA" w:rsidP="00273AAA">
      <w:pPr>
        <w:pStyle w:val="Nagwek2"/>
      </w:pPr>
      <w:r>
        <w:t>Wdrożenie-instalacja</w:t>
      </w:r>
    </w:p>
    <w:p w14:paraId="56609E76" w14:textId="0BB18EFE" w:rsidR="00273AAA" w:rsidRDefault="00273AAA" w:rsidP="00273AAA">
      <w:pPr>
        <w:jc w:val="both"/>
      </w:pPr>
      <w:r>
        <w:t>Urządzenia należy zainstalować w miejscu wskazanym przez Zamawiającego, podłączyć do zasilania oraz urządzeń</w:t>
      </w:r>
      <w:r>
        <w:t xml:space="preserve"> </w:t>
      </w:r>
      <w:r>
        <w:t>klienckich, skonfigurować zgodnie z projektem technicznym ustalonym z Zamawiającym.</w:t>
      </w:r>
    </w:p>
    <w:p w14:paraId="53ABF6CC" w14:textId="77777777" w:rsidR="00273AAA" w:rsidRDefault="00273AAA" w:rsidP="00273AAA">
      <w:pPr>
        <w:jc w:val="both"/>
      </w:pPr>
    </w:p>
    <w:p w14:paraId="07A0F65F" w14:textId="77777777" w:rsidR="00273AAA" w:rsidRDefault="00273AAA" w:rsidP="00273AAA">
      <w:pPr>
        <w:jc w:val="both"/>
      </w:pPr>
    </w:p>
    <w:p w14:paraId="11B7DF52" w14:textId="77777777" w:rsidR="00273AAA" w:rsidRDefault="00273AAA" w:rsidP="00273AAA">
      <w:pPr>
        <w:pStyle w:val="Nagwek2"/>
      </w:pPr>
      <w:r>
        <w:t>Dane techniczne i funkcjonalne urządzenia:</w:t>
      </w:r>
    </w:p>
    <w:p w14:paraId="55FF1877" w14:textId="77777777" w:rsidR="00273AAA" w:rsidRDefault="00273AAA" w:rsidP="00273AAA">
      <w:pPr>
        <w:jc w:val="both"/>
      </w:pPr>
      <w:r>
        <w:t>Rodzaj urządzenia:</w:t>
      </w:r>
    </w:p>
    <w:p w14:paraId="365A789B" w14:textId="77777777" w:rsidR="00273AAA" w:rsidRDefault="00273AAA" w:rsidP="00273AAA">
      <w:pPr>
        <w:jc w:val="both"/>
      </w:pPr>
      <w:r>
        <w:t>Przełącznik typu standalone wyposażony w 48 portów 1/10/25 Gigabit Ethernet SFP/SFP+/SFP28 oraz 4 porty uplink</w:t>
      </w:r>
    </w:p>
    <w:p w14:paraId="47D190F3" w14:textId="77777777" w:rsidR="00273AAA" w:rsidRDefault="00273AAA" w:rsidP="00273AAA">
      <w:pPr>
        <w:jc w:val="both"/>
      </w:pPr>
      <w:r>
        <w:t>40/100 Gigabit Ethernet QSFP,</w:t>
      </w:r>
    </w:p>
    <w:p w14:paraId="4DB28E6C" w14:textId="77777777" w:rsidR="00273AAA" w:rsidRDefault="00273AAA" w:rsidP="00273AAA">
      <w:pPr>
        <w:jc w:val="both"/>
      </w:pPr>
      <w:r>
        <w:t>Porty SFP/SFP+/SFP28 umożliwiają zastosowanie następujących wkładek interfejsowych:</w:t>
      </w:r>
    </w:p>
    <w:p w14:paraId="560E9E66" w14:textId="77777777" w:rsidR="00273AAA" w:rsidRDefault="00273AAA" w:rsidP="00273AAA">
      <w:pPr>
        <w:jc w:val="both"/>
      </w:pPr>
    </w:p>
    <w:p w14:paraId="09DF8EBE" w14:textId="77777777" w:rsidR="00273AAA" w:rsidRDefault="00273AAA" w:rsidP="00273AAA">
      <w:pPr>
        <w:jc w:val="both"/>
      </w:pPr>
      <w:r>
        <w:t>Gigabit Ethernet 1000Base-T,</w:t>
      </w:r>
    </w:p>
    <w:p w14:paraId="6073C0C6" w14:textId="77777777" w:rsidR="00273AAA" w:rsidRDefault="00273AAA" w:rsidP="00273AAA">
      <w:pPr>
        <w:jc w:val="both"/>
      </w:pPr>
      <w:r>
        <w:t>Gigabit Ethernet 1000Base-SX,</w:t>
      </w:r>
    </w:p>
    <w:p w14:paraId="53B75D25" w14:textId="77777777" w:rsidR="00273AAA" w:rsidRDefault="00273AAA" w:rsidP="00273AAA">
      <w:pPr>
        <w:jc w:val="both"/>
      </w:pPr>
      <w:r>
        <w:t>Gigabit Ethernet 1000Base-LX/LH,</w:t>
      </w:r>
    </w:p>
    <w:p w14:paraId="3C7D3FE4" w14:textId="77777777" w:rsidR="00273AAA" w:rsidRDefault="00273AAA" w:rsidP="00273AAA">
      <w:pPr>
        <w:jc w:val="both"/>
      </w:pPr>
      <w:r>
        <w:t>Gigabit Ethernet 1000Base-EX,</w:t>
      </w:r>
    </w:p>
    <w:p w14:paraId="2C08D370" w14:textId="77777777" w:rsidR="00273AAA" w:rsidRDefault="00273AAA" w:rsidP="00273AAA">
      <w:pPr>
        <w:jc w:val="both"/>
      </w:pPr>
      <w:r>
        <w:t>Gigabit Ethernet 1000Base-ZX,</w:t>
      </w:r>
    </w:p>
    <w:p w14:paraId="69A43FB5" w14:textId="77777777" w:rsidR="00273AAA" w:rsidRDefault="00273AAA" w:rsidP="00273AAA">
      <w:pPr>
        <w:jc w:val="both"/>
      </w:pPr>
      <w:r>
        <w:t>Gigabit Ethernet 1000Base-BX-D/U,</w:t>
      </w:r>
    </w:p>
    <w:p w14:paraId="5D2D02A8" w14:textId="77777777" w:rsidR="00273AAA" w:rsidRDefault="00273AAA" w:rsidP="00273AAA">
      <w:pPr>
        <w:jc w:val="both"/>
      </w:pPr>
      <w:r>
        <w:t>10Gigabit Ethernet 10GBase-SR,</w:t>
      </w:r>
    </w:p>
    <w:p w14:paraId="22CBC332" w14:textId="77777777" w:rsidR="00273AAA" w:rsidRDefault="00273AAA" w:rsidP="00273AAA">
      <w:pPr>
        <w:jc w:val="both"/>
      </w:pPr>
      <w:r>
        <w:lastRenderedPageBreak/>
        <w:t>10Gigabit Ethernet 10GBase-LR,</w:t>
      </w:r>
    </w:p>
    <w:p w14:paraId="7E0C18AC" w14:textId="77777777" w:rsidR="00273AAA" w:rsidRDefault="00273AAA" w:rsidP="00273AAA">
      <w:pPr>
        <w:jc w:val="both"/>
      </w:pPr>
      <w:r>
        <w:t>10Gigabit Ethernet 10GBase-ER,</w:t>
      </w:r>
    </w:p>
    <w:p w14:paraId="311B7193" w14:textId="77777777" w:rsidR="00273AAA" w:rsidRDefault="00273AAA" w:rsidP="00273AAA">
      <w:pPr>
        <w:jc w:val="both"/>
      </w:pPr>
      <w:r>
        <w:t>10Gigabit Ethernet 10GBase-ZR,</w:t>
      </w:r>
    </w:p>
    <w:p w14:paraId="04E0EE3F" w14:textId="77777777" w:rsidR="00273AAA" w:rsidRDefault="00273AAA" w:rsidP="00273AAA">
      <w:pPr>
        <w:jc w:val="both"/>
      </w:pPr>
      <w:r>
        <w:t>10Gigabit Ethernet 10GBase-BX-D/U,</w:t>
      </w:r>
    </w:p>
    <w:p w14:paraId="44209232" w14:textId="77777777" w:rsidR="00273AAA" w:rsidRDefault="00273AAA" w:rsidP="00273AAA">
      <w:pPr>
        <w:jc w:val="both"/>
      </w:pPr>
      <w:r>
        <w:t>10Gigabit Ethernet typu twinax (SFP+ - SFP+),</w:t>
      </w:r>
    </w:p>
    <w:p w14:paraId="3095618E" w14:textId="77777777" w:rsidR="00273AAA" w:rsidRDefault="00273AAA" w:rsidP="00273AAA">
      <w:pPr>
        <w:jc w:val="both"/>
      </w:pPr>
      <w:r>
        <w:t>25Gigabit Ethernet 25GBASE-SR,</w:t>
      </w:r>
    </w:p>
    <w:p w14:paraId="6DCC52CF" w14:textId="77777777" w:rsidR="00273AAA" w:rsidRDefault="00273AAA" w:rsidP="00273AAA">
      <w:pPr>
        <w:jc w:val="both"/>
      </w:pPr>
      <w:r>
        <w:t>25Gigabit Ethernet typu twinax (SFP28 – SFP28),</w:t>
      </w:r>
    </w:p>
    <w:p w14:paraId="5291C150" w14:textId="77777777" w:rsidR="00273AAA" w:rsidRDefault="00273AAA" w:rsidP="00273AAA">
      <w:pPr>
        <w:jc w:val="both"/>
      </w:pPr>
      <w:r>
        <w:t>10/25Gigabit Ethernet 10/25GBASE-CSR (MMF),</w:t>
      </w:r>
    </w:p>
    <w:p w14:paraId="3CB20C7B" w14:textId="77777777" w:rsidR="00273AAA" w:rsidRDefault="00273AAA" w:rsidP="00273AAA">
      <w:pPr>
        <w:jc w:val="both"/>
      </w:pPr>
      <w:r>
        <w:t>10/25Gigabit Ethernet 10/25GBASE-LR (SMF);</w:t>
      </w:r>
    </w:p>
    <w:p w14:paraId="15958C2D" w14:textId="77777777" w:rsidR="00273AAA" w:rsidRDefault="00273AAA" w:rsidP="00273AAA">
      <w:pPr>
        <w:jc w:val="both"/>
      </w:pPr>
    </w:p>
    <w:p w14:paraId="252F4462" w14:textId="77777777" w:rsidR="00273AAA" w:rsidRDefault="00273AAA" w:rsidP="00273AAA">
      <w:pPr>
        <w:jc w:val="both"/>
      </w:pPr>
      <w:r>
        <w:t>Porty QSFP umożliwiają zastosowanie następujących modułów interfejsowych:</w:t>
      </w:r>
    </w:p>
    <w:p w14:paraId="215F399F" w14:textId="77777777" w:rsidR="00273AAA" w:rsidRDefault="00273AAA" w:rsidP="00273AAA">
      <w:pPr>
        <w:jc w:val="both"/>
      </w:pPr>
    </w:p>
    <w:p w14:paraId="5D325051" w14:textId="77777777" w:rsidR="00273AAA" w:rsidRDefault="00273AAA" w:rsidP="00273AAA">
      <w:pPr>
        <w:jc w:val="both"/>
      </w:pPr>
      <w:r>
        <w:t>Dla transmisji 40Gb/s:</w:t>
      </w:r>
    </w:p>
    <w:p w14:paraId="6E401F2C" w14:textId="6C61CD8C" w:rsidR="00273AAA" w:rsidRDefault="00273AAA" w:rsidP="00273AAA">
      <w:pPr>
        <w:jc w:val="both"/>
      </w:pPr>
      <w:r>
        <w:t xml:space="preserve"> 40G-SR4,</w:t>
      </w:r>
    </w:p>
    <w:p w14:paraId="2CF8BC78" w14:textId="7F175CC1" w:rsidR="00273AAA" w:rsidRDefault="00273AAA" w:rsidP="00273AAA">
      <w:pPr>
        <w:jc w:val="both"/>
      </w:pPr>
      <w:r>
        <w:t xml:space="preserve"> 40G-LR4,</w:t>
      </w:r>
    </w:p>
    <w:p w14:paraId="5D630735" w14:textId="3E4E63B5" w:rsidR="00273AAA" w:rsidRDefault="00273AAA" w:rsidP="00273AAA">
      <w:pPr>
        <w:jc w:val="both"/>
      </w:pPr>
      <w:r>
        <w:t xml:space="preserve"> 40G-ER4,</w:t>
      </w:r>
    </w:p>
    <w:p w14:paraId="3B185E43" w14:textId="6053D983" w:rsidR="00273AAA" w:rsidRDefault="00273AAA" w:rsidP="00273AAA">
      <w:pPr>
        <w:jc w:val="both"/>
      </w:pPr>
      <w:r>
        <w:t xml:space="preserve"> 40G-SR-BD,</w:t>
      </w:r>
    </w:p>
    <w:p w14:paraId="30E4FA4C" w14:textId="0BCC70BA" w:rsidR="00273AAA" w:rsidRDefault="00273AAA" w:rsidP="00273AAA">
      <w:pPr>
        <w:jc w:val="both"/>
      </w:pPr>
      <w:r>
        <w:t xml:space="preserve"> 40G-CSR,</w:t>
      </w:r>
    </w:p>
    <w:p w14:paraId="5B62F3CC" w14:textId="3D0D45E5" w:rsidR="00273AAA" w:rsidRDefault="00273AAA" w:rsidP="00273AAA">
      <w:pPr>
        <w:jc w:val="both"/>
      </w:pPr>
      <w:r>
        <w:t xml:space="preserve"> 40G-CSR4,</w:t>
      </w:r>
    </w:p>
    <w:p w14:paraId="0B51F384" w14:textId="3408D28A" w:rsidR="00273AAA" w:rsidRDefault="00273AAA" w:rsidP="00273AAA">
      <w:pPr>
        <w:jc w:val="both"/>
      </w:pPr>
      <w:r>
        <w:t xml:space="preserve"> 40G-LR4-Lite (zasięg 2 km dla światłowodu SMF G.652), adapter 40G QSFP-&gt;10G SFP+,</w:t>
      </w:r>
    </w:p>
    <w:p w14:paraId="61F7C606" w14:textId="77777777" w:rsidR="00273AAA" w:rsidRDefault="00273AAA" w:rsidP="00273AAA">
      <w:pPr>
        <w:jc w:val="both"/>
      </w:pPr>
      <w:r>
        <w:t>40Gigabit Ethernet typu twinax (QSFP - QSFP);</w:t>
      </w:r>
    </w:p>
    <w:p w14:paraId="7974C16C" w14:textId="77777777" w:rsidR="00273AAA" w:rsidRDefault="00273AAA" w:rsidP="00273AAA">
      <w:pPr>
        <w:jc w:val="both"/>
      </w:pPr>
      <w:r>
        <w:t>Dla transmisji 100Gb/s:</w:t>
      </w:r>
    </w:p>
    <w:p w14:paraId="0F2D45FF" w14:textId="77777777" w:rsidR="00273AAA" w:rsidRDefault="00273AAA" w:rsidP="00273AAA">
      <w:pPr>
        <w:jc w:val="both"/>
      </w:pPr>
      <w:r>
        <w:t>100GBASE-SR4,</w:t>
      </w:r>
    </w:p>
    <w:p w14:paraId="56E3018E" w14:textId="77777777" w:rsidR="00273AAA" w:rsidRDefault="00273AAA" w:rsidP="00273AAA">
      <w:pPr>
        <w:jc w:val="both"/>
      </w:pPr>
      <w:r>
        <w:t>100GBASE-LR4,</w:t>
      </w:r>
    </w:p>
    <w:p w14:paraId="5DBF8E15" w14:textId="77777777" w:rsidR="00273AAA" w:rsidRDefault="00273AAA" w:rsidP="00273AAA">
      <w:pPr>
        <w:jc w:val="both"/>
      </w:pPr>
      <w:r>
        <w:t>100Gigabit Ethernet typu twinax (QSFP - QSFP);</w:t>
      </w:r>
    </w:p>
    <w:p w14:paraId="18BAB23E" w14:textId="77777777" w:rsidR="00273AAA" w:rsidRDefault="00273AAA" w:rsidP="00273AAA">
      <w:pPr>
        <w:jc w:val="both"/>
      </w:pPr>
    </w:p>
    <w:p w14:paraId="4D54BC9B" w14:textId="77777777" w:rsidR="00273AAA" w:rsidRDefault="00273AAA" w:rsidP="00273AAA">
      <w:pPr>
        <w:jc w:val="both"/>
      </w:pPr>
      <w:r>
        <w:t>Architektura:</w:t>
      </w:r>
    </w:p>
    <w:p w14:paraId="46D4561B" w14:textId="77777777" w:rsidR="00273AAA" w:rsidRDefault="00273AAA" w:rsidP="00273AAA">
      <w:pPr>
        <w:jc w:val="both"/>
      </w:pPr>
      <w:r>
        <w:t>Urządzenie jest wyposażone w wymienne moduły wentylatorów,</w:t>
      </w:r>
    </w:p>
    <w:p w14:paraId="5AF834CE" w14:textId="77777777" w:rsidR="00273AAA" w:rsidRDefault="00273AAA" w:rsidP="00273AAA">
      <w:pPr>
        <w:jc w:val="both"/>
      </w:pPr>
      <w:r>
        <w:t>Urządzenie może zostać wyposażone w zasilacz redundantny do pracy w trybie 1:1;</w:t>
      </w:r>
    </w:p>
    <w:p w14:paraId="7F0EAB5B" w14:textId="77777777" w:rsidR="00273AAA" w:rsidRDefault="00273AAA" w:rsidP="00273AAA">
      <w:pPr>
        <w:jc w:val="both"/>
      </w:pPr>
      <w:r>
        <w:t>Wydajność:</w:t>
      </w:r>
    </w:p>
    <w:p w14:paraId="70D0D12B" w14:textId="77777777" w:rsidR="00273AAA" w:rsidRDefault="00273AAA" w:rsidP="00273AAA">
      <w:pPr>
        <w:jc w:val="both"/>
      </w:pPr>
      <w:r>
        <w:t>Urządzenie posiadana 32MB bufor pamięci,</w:t>
      </w:r>
    </w:p>
    <w:p w14:paraId="15F55C6E" w14:textId="77777777" w:rsidR="00273AAA" w:rsidRDefault="00273AAA" w:rsidP="00273AAA">
      <w:pPr>
        <w:jc w:val="both"/>
      </w:pPr>
      <w:r>
        <w:lastRenderedPageBreak/>
        <w:t>16GB pamięci DRAM i 16GB pamięci flash,</w:t>
      </w:r>
    </w:p>
    <w:p w14:paraId="00E79A8B" w14:textId="77777777" w:rsidR="00273AAA" w:rsidRDefault="00273AAA" w:rsidP="00273AAA">
      <w:pPr>
        <w:jc w:val="both"/>
      </w:pPr>
      <w:r>
        <w:t>Przepustowość przełącznika (switching capacity) wynosi 3.2 Tbps,</w:t>
      </w:r>
    </w:p>
    <w:p w14:paraId="50206AE9" w14:textId="77777777" w:rsidR="00273AAA" w:rsidRDefault="00273AAA" w:rsidP="00273AAA">
      <w:pPr>
        <w:jc w:val="both"/>
      </w:pPr>
      <w:r>
        <w:t>Prędkość przesyłania (forwarding rate) wynosi 1 miliard pps (1Bpps),</w:t>
      </w:r>
    </w:p>
    <w:p w14:paraId="06B25121" w14:textId="77777777" w:rsidR="00273AAA" w:rsidRDefault="00273AAA" w:rsidP="00273AAA">
      <w:pPr>
        <w:jc w:val="both"/>
      </w:pPr>
      <w:r>
        <w:t>Obsługa:</w:t>
      </w:r>
    </w:p>
    <w:p w14:paraId="01DF0DD3" w14:textId="77777777" w:rsidR="00273AAA" w:rsidRDefault="00273AAA" w:rsidP="00273AAA">
      <w:pPr>
        <w:jc w:val="both"/>
      </w:pPr>
    </w:p>
    <w:p w14:paraId="6521F8EB" w14:textId="77777777" w:rsidR="00273AAA" w:rsidRDefault="00273AAA" w:rsidP="00273AAA">
      <w:pPr>
        <w:jc w:val="both"/>
      </w:pPr>
      <w:r>
        <w:t>1000 aktywnych sieci VLAN,</w:t>
      </w:r>
    </w:p>
    <w:p w14:paraId="63574216" w14:textId="77777777" w:rsidR="00273AAA" w:rsidRDefault="00273AAA" w:rsidP="00273AAA">
      <w:pPr>
        <w:jc w:val="both"/>
      </w:pPr>
      <w:r>
        <w:t>80 000 adresów MAC,</w:t>
      </w:r>
    </w:p>
    <w:p w14:paraId="258F3A5C" w14:textId="77777777" w:rsidR="00273AAA" w:rsidRDefault="00273AAA" w:rsidP="00273AAA">
      <w:pPr>
        <w:jc w:val="both"/>
      </w:pPr>
      <w:r>
        <w:t>212 000 tras IPv4,</w:t>
      </w:r>
    </w:p>
    <w:p w14:paraId="02BE9246" w14:textId="77777777" w:rsidR="00273AAA" w:rsidRDefault="00273AAA" w:rsidP="00273AAA">
      <w:pPr>
        <w:jc w:val="both"/>
      </w:pPr>
      <w:r>
        <w:t>212 000 tras IPv6,</w:t>
      </w:r>
    </w:p>
    <w:p w14:paraId="63FE3968" w14:textId="77777777" w:rsidR="00273AAA" w:rsidRDefault="00273AAA" w:rsidP="00273AAA">
      <w:pPr>
        <w:jc w:val="both"/>
      </w:pPr>
      <w:r>
        <w:t>Ilość wpisów w listach kontroli dostępu Security ACL – 27 000,</w:t>
      </w:r>
    </w:p>
    <w:p w14:paraId="2AED2A8B" w14:textId="77777777" w:rsidR="00273AAA" w:rsidRDefault="00273AAA" w:rsidP="00273AAA">
      <w:pPr>
        <w:jc w:val="both"/>
      </w:pPr>
      <w:r>
        <w:t>ilość wpisów w listach kontroli dostępu QoS ACL – 16 000,</w:t>
      </w:r>
    </w:p>
    <w:p w14:paraId="6785E638" w14:textId="77777777" w:rsidR="00273AAA" w:rsidRDefault="00273AAA" w:rsidP="00273AAA">
      <w:pPr>
        <w:jc w:val="both"/>
      </w:pPr>
      <w:r>
        <w:t>1000 interfejsów SVI L3,</w:t>
      </w:r>
    </w:p>
    <w:p w14:paraId="16DDD660" w14:textId="77777777" w:rsidR="00273AAA" w:rsidRDefault="00273AAA" w:rsidP="00273AAA">
      <w:pPr>
        <w:jc w:val="both"/>
      </w:pPr>
      <w:r>
        <w:t>Jumbo frame 9198B,</w:t>
      </w:r>
    </w:p>
    <w:p w14:paraId="5775E728" w14:textId="77777777" w:rsidR="00273AAA" w:rsidRDefault="00273AAA" w:rsidP="00273AAA">
      <w:pPr>
        <w:jc w:val="both"/>
      </w:pPr>
      <w:r>
        <w:t>128 połączeń zagregowanych typu „port channel”,</w:t>
      </w:r>
    </w:p>
    <w:p w14:paraId="6131D1E8" w14:textId="77777777" w:rsidR="00273AAA" w:rsidRDefault="00273AAA" w:rsidP="00273AAA">
      <w:pPr>
        <w:jc w:val="both"/>
      </w:pPr>
      <w:r>
        <w:t>16 linków w ramach jednego połączenia zagregowanego typu „port channel” LACP;</w:t>
      </w:r>
    </w:p>
    <w:p w14:paraId="4F4E8C18" w14:textId="77777777" w:rsidR="00273AAA" w:rsidRDefault="00273AAA" w:rsidP="00273AAA">
      <w:pPr>
        <w:jc w:val="both"/>
      </w:pPr>
    </w:p>
    <w:p w14:paraId="13615441" w14:textId="77777777" w:rsidR="00273AAA" w:rsidRDefault="00273AAA" w:rsidP="00273AAA">
      <w:pPr>
        <w:jc w:val="both"/>
      </w:pPr>
      <w:r>
        <w:t>Oprogramowanie/funkcjonalność:</w:t>
      </w:r>
    </w:p>
    <w:p w14:paraId="17EA0BCC" w14:textId="77777777" w:rsidR="00273AAA" w:rsidRDefault="00273AAA" w:rsidP="00273AAA">
      <w:pPr>
        <w:jc w:val="both"/>
      </w:pPr>
      <w:r>
        <w:t>Obsługa protokołu NTP,</w:t>
      </w:r>
    </w:p>
    <w:p w14:paraId="08D33DD8" w14:textId="77777777" w:rsidR="00273AAA" w:rsidRDefault="00273AAA" w:rsidP="00273AAA">
      <w:pPr>
        <w:jc w:val="both"/>
      </w:pPr>
      <w:r>
        <w:t>Obsługa IGMPv1/2/3,</w:t>
      </w:r>
    </w:p>
    <w:p w14:paraId="2AF84BCE" w14:textId="77777777" w:rsidR="00273AAA" w:rsidRDefault="00273AAA" w:rsidP="00273AAA">
      <w:pPr>
        <w:jc w:val="both"/>
      </w:pPr>
    </w:p>
    <w:p w14:paraId="76B09047" w14:textId="593E8E97" w:rsidR="00273AAA" w:rsidRDefault="00273AAA" w:rsidP="00273AAA">
      <w:pPr>
        <w:jc w:val="both"/>
      </w:pPr>
      <w:r>
        <w:t>Obsługa standardu IEEE 802.1ae (MACSec) szyfrowanie ruchu z kluczami o długości 256-bitów dla wszystkich interfejsów</w:t>
      </w:r>
      <w:r>
        <w:t xml:space="preserve"> </w:t>
      </w:r>
      <w:r>
        <w:t>przełącznika. Wsparcie dla uruchomienia MACsec na portach tworzących połączenia zagregowane L2 i L3,</w:t>
      </w:r>
      <w:r w:rsidR="00C3300A">
        <w:t xml:space="preserve"> </w:t>
      </w:r>
    </w:p>
    <w:p w14:paraId="6E9BEFF2" w14:textId="77777777" w:rsidR="00273AAA" w:rsidRDefault="00273AAA" w:rsidP="00273AAA">
      <w:pPr>
        <w:jc w:val="both"/>
      </w:pPr>
      <w:r>
        <w:t>System operacyjny przełącznika umożliwia wgrywanie poprawek bez konieczności restartowania platformy,</w:t>
      </w:r>
    </w:p>
    <w:p w14:paraId="21359678" w14:textId="16F9F385" w:rsidR="00273AAA" w:rsidRDefault="00273AAA" w:rsidP="00273AAA">
      <w:pPr>
        <w:jc w:val="both"/>
      </w:pPr>
      <w:r>
        <w:t>System operacyjny przełącznika jest konfigurowalny poprzez API za pomocą m.in protokołu NETCONF (RFC 6241) imodelów danych YANG (RFC 6020) oraz umożliwia eksportowanie zdefiniowanych według potrzeb danych do</w:t>
      </w:r>
      <w:r w:rsidR="00B916A3">
        <w:t xml:space="preserve"> </w:t>
      </w:r>
      <w:r>
        <w:t>zewnętrznych systemów,</w:t>
      </w:r>
    </w:p>
    <w:p w14:paraId="1FDA46EC" w14:textId="77777777" w:rsidR="00273AAA" w:rsidRDefault="00273AAA" w:rsidP="00273AAA">
      <w:pPr>
        <w:jc w:val="both"/>
      </w:pPr>
      <w:r>
        <w:t>Wsparcie dla protokołu RESTCONF,</w:t>
      </w:r>
    </w:p>
    <w:p w14:paraId="13DF9099" w14:textId="77777777" w:rsidR="00273AAA" w:rsidRDefault="00273AAA" w:rsidP="00273AAA">
      <w:pPr>
        <w:jc w:val="both"/>
      </w:pPr>
      <w:r>
        <w:t>Możliwość uruchamiania zdefiniowanych w Pythonie skryptów w chwili zaistnienia określonego zdarzenia,</w:t>
      </w:r>
    </w:p>
    <w:p w14:paraId="02BAEE4A" w14:textId="77777777" w:rsidR="00273AAA" w:rsidRDefault="00273AAA" w:rsidP="00273AAA">
      <w:pPr>
        <w:jc w:val="both"/>
      </w:pPr>
      <w:r>
        <w:t>Przełącznik realizuje następujące mechanizmy związane z zapewnieniem ciągłości pracy sieci:</w:t>
      </w:r>
    </w:p>
    <w:p w14:paraId="585442E8" w14:textId="77777777" w:rsidR="00273AAA" w:rsidRDefault="00273AAA" w:rsidP="00273AAA">
      <w:pPr>
        <w:jc w:val="both"/>
      </w:pPr>
    </w:p>
    <w:p w14:paraId="339796B3" w14:textId="77777777" w:rsidR="00273AAA" w:rsidRDefault="00273AAA" w:rsidP="00273AAA">
      <w:pPr>
        <w:jc w:val="both"/>
      </w:pPr>
      <w:r>
        <w:lastRenderedPageBreak/>
        <w:t>IEEE 802.1w Rapid Spanning Tree,</w:t>
      </w:r>
    </w:p>
    <w:p w14:paraId="597D2864" w14:textId="77777777" w:rsidR="00273AAA" w:rsidRDefault="00273AAA" w:rsidP="00273AAA">
      <w:pPr>
        <w:jc w:val="both"/>
      </w:pPr>
      <w:r>
        <w:t>Per-VLAN Rapid Spanning Tree (PVRST+),</w:t>
      </w:r>
    </w:p>
    <w:p w14:paraId="31837C97" w14:textId="77777777" w:rsidR="00273AAA" w:rsidRDefault="00273AAA" w:rsidP="00273AAA">
      <w:pPr>
        <w:jc w:val="both"/>
      </w:pPr>
      <w:r>
        <w:t>IEEE 802.1s Multi-Instance Spanning Tree,</w:t>
      </w:r>
    </w:p>
    <w:p w14:paraId="1C4F74CA" w14:textId="77777777" w:rsidR="00273AAA" w:rsidRDefault="00273AAA" w:rsidP="00273AAA">
      <w:pPr>
        <w:jc w:val="both"/>
      </w:pPr>
      <w:r>
        <w:t>Obsługa 1000 instancji protokołu STP;</w:t>
      </w:r>
    </w:p>
    <w:p w14:paraId="2F402B3F" w14:textId="77777777" w:rsidR="00273AAA" w:rsidRDefault="00273AAA" w:rsidP="00273AAA">
      <w:pPr>
        <w:jc w:val="both"/>
      </w:pPr>
      <w:r>
        <w:t>Obsługa protokołu IEEE 802.1ab LLDP i LLDP-MED,</w:t>
      </w:r>
    </w:p>
    <w:p w14:paraId="4BC7DCC3" w14:textId="77777777" w:rsidR="00273AAA" w:rsidRDefault="00273AAA" w:rsidP="00273AAA">
      <w:pPr>
        <w:jc w:val="both"/>
      </w:pPr>
      <w:r>
        <w:t>Realizacja funkcji 802.1Q tunneling (QinQ)</w:t>
      </w:r>
    </w:p>
    <w:p w14:paraId="4D6D0C9D" w14:textId="77777777" w:rsidR="00273AAA" w:rsidRDefault="00273AAA" w:rsidP="00273AAA">
      <w:pPr>
        <w:jc w:val="both"/>
      </w:pPr>
      <w:r>
        <w:t>Funkcja serwera DHCP,</w:t>
      </w:r>
    </w:p>
    <w:p w14:paraId="2169E928" w14:textId="30D6FFC9" w:rsidR="00273AAA" w:rsidRDefault="00273AAA" w:rsidP="00273AAA">
      <w:pPr>
        <w:jc w:val="both"/>
      </w:pPr>
      <w:r>
        <w:t>Obsługa 5 poziomów dostępu administracyjnego poprzez konsolę. Przełącznik umożliwia zalogowanie się administratora z</w:t>
      </w:r>
      <w:r w:rsidR="00B916A3">
        <w:t xml:space="preserve"> </w:t>
      </w:r>
      <w:r>
        <w:t>konkretnym poziomem dostępu zgodnie z odpowiedzą serwera autoryzacji (privilege-level),</w:t>
      </w:r>
    </w:p>
    <w:p w14:paraId="77226AC9" w14:textId="77777777" w:rsidR="00273AAA" w:rsidRDefault="00273AAA" w:rsidP="00273AAA">
      <w:pPr>
        <w:jc w:val="both"/>
      </w:pPr>
      <w:r>
        <w:t>Autoryzacja prób logowania do urządzenia (dostęp administracyjny) do serwerów RADIUS lub TACACS+,</w:t>
      </w:r>
    </w:p>
    <w:p w14:paraId="7E679741" w14:textId="77777777" w:rsidR="00273AAA" w:rsidRDefault="00273AAA" w:rsidP="00273AAA">
      <w:pPr>
        <w:jc w:val="both"/>
      </w:pPr>
      <w:r>
        <w:t>Obsługa list kontroli dostępu (ACL) następujących typów:</w:t>
      </w:r>
    </w:p>
    <w:p w14:paraId="34167BAF" w14:textId="77777777" w:rsidR="00B916A3" w:rsidRDefault="00273AAA" w:rsidP="00273AAA">
      <w:pPr>
        <w:jc w:val="both"/>
      </w:pPr>
      <w:r>
        <w:t>Port ACL umożliwiające kontrolę ruchu wchodzącego (inbound) na poziomie portów L2 przełącznika,</w:t>
      </w:r>
    </w:p>
    <w:p w14:paraId="3330F3FD" w14:textId="5D93AB42" w:rsidR="00273AAA" w:rsidRDefault="00273AAA" w:rsidP="00273AAA">
      <w:pPr>
        <w:jc w:val="both"/>
      </w:pPr>
      <w:r>
        <w:t>VLAN ACL umożliwiające kontrolę ruchu pomiędzy stacjami znajdującymi się w tej samem sieci VLAN w</w:t>
      </w:r>
    </w:p>
    <w:p w14:paraId="780CF265" w14:textId="77777777" w:rsidR="00273AAA" w:rsidRDefault="00273AAA" w:rsidP="00273AAA">
      <w:pPr>
        <w:jc w:val="both"/>
      </w:pPr>
      <w:r>
        <w:t>obrębie przełącznika,</w:t>
      </w:r>
    </w:p>
    <w:p w14:paraId="23BC0374" w14:textId="6978A3E2" w:rsidR="00273AAA" w:rsidRDefault="00273AAA" w:rsidP="00273AAA">
      <w:pPr>
        <w:jc w:val="both"/>
      </w:pPr>
      <w:r>
        <w:t>Routed ACL umożliwiające kontrolę ruchu routowanego pomiędzy sieciami VLAN,</w:t>
      </w:r>
    </w:p>
    <w:p w14:paraId="7EDD4F3B" w14:textId="6B4AB837" w:rsidR="00273AAA" w:rsidRDefault="00273AAA" w:rsidP="00273AAA">
      <w:pPr>
        <w:jc w:val="both"/>
      </w:pPr>
      <w:r>
        <w:t>Możliwość konfiguracji tzw. czasowych list ACL (aktywnych w określonych godzinach i dniach tygodnia);</w:t>
      </w:r>
    </w:p>
    <w:p w14:paraId="0B357F53" w14:textId="77777777" w:rsidR="00273AAA" w:rsidRDefault="00273AAA" w:rsidP="00273AAA">
      <w:pPr>
        <w:jc w:val="both"/>
      </w:pPr>
      <w:r>
        <w:t>Przełącznik realizuje następujące mechanizmy związane z zapewnieniem, jakości usług w sieci:</w:t>
      </w:r>
    </w:p>
    <w:p w14:paraId="1E62546B" w14:textId="77777777" w:rsidR="00273AAA" w:rsidRDefault="00273AAA" w:rsidP="00273AAA">
      <w:pPr>
        <w:jc w:val="both"/>
      </w:pPr>
      <w:r>
        <w:t>8 kolejek dla ruchu wyjściowego na każdym porcie dla obsługi ruchu o różnej klasie obsługi,</w:t>
      </w:r>
    </w:p>
    <w:p w14:paraId="3D4D485D" w14:textId="77777777" w:rsidR="00273AAA" w:rsidRDefault="00273AAA" w:rsidP="00273AAA">
      <w:pPr>
        <w:jc w:val="both"/>
      </w:pPr>
      <w:r>
        <w:t>Implementacja algorytmu Shaped Round Robin lub podobnego dla obsługi kolejek,</w:t>
      </w:r>
    </w:p>
    <w:p w14:paraId="56D30A0D" w14:textId="463D34F2" w:rsidR="00273AAA" w:rsidRDefault="00273AAA" w:rsidP="00273AAA">
      <w:pPr>
        <w:jc w:val="both"/>
      </w:pPr>
      <w:r>
        <w:t>Możliwość obsługi jednej z powyżej wspomnianych kolejek z bezwzględnym priorytetem w stosunku do innych</w:t>
      </w:r>
      <w:r w:rsidR="00B916A3">
        <w:t xml:space="preserve"> </w:t>
      </w:r>
      <w:r>
        <w:t>(Strict Priority),</w:t>
      </w:r>
    </w:p>
    <w:p w14:paraId="79358B08" w14:textId="77777777" w:rsidR="00273AAA" w:rsidRDefault="00273AAA" w:rsidP="00273AAA">
      <w:pPr>
        <w:jc w:val="both"/>
      </w:pPr>
      <w:r>
        <w:t>Klasyfikacja ruchu do klas różnej jakości obsługi (QoS) poprzez wykorzystanie następujących parametrów:</w:t>
      </w:r>
    </w:p>
    <w:p w14:paraId="1623AAD8" w14:textId="77777777" w:rsidR="00273AAA" w:rsidRDefault="00273AAA" w:rsidP="00273AAA">
      <w:pPr>
        <w:jc w:val="both"/>
      </w:pPr>
      <w:r>
        <w:t>źródłowy/docelowy adres MAC, źródłowy/docelowy adres IP, źródłowy/docelowy port TCP,</w:t>
      </w:r>
    </w:p>
    <w:p w14:paraId="3895B135" w14:textId="67008373" w:rsidR="00273AAA" w:rsidRDefault="00273AAA" w:rsidP="00273AAA">
      <w:pPr>
        <w:jc w:val="both"/>
      </w:pPr>
      <w:r>
        <w:t>Możliwość ograniczania pasma dostępnego na danym porcie dla ruchu o danej klasie obsługi z dokładnością</w:t>
      </w:r>
      <w:r w:rsidR="00B916A3">
        <w:t xml:space="preserve"> </w:t>
      </w:r>
      <w:r>
        <w:t>do 8 Kbps (policing, rate limiting),</w:t>
      </w:r>
    </w:p>
    <w:p w14:paraId="61BC0668" w14:textId="77777777" w:rsidR="00273AAA" w:rsidRDefault="00273AAA" w:rsidP="00273AAA">
      <w:pPr>
        <w:jc w:val="both"/>
      </w:pPr>
      <w:r>
        <w:t>Kontrola sztormów dla ruchu broadcast/multicast/unicast,</w:t>
      </w:r>
    </w:p>
    <w:p w14:paraId="054EC0EA" w14:textId="77777777" w:rsidR="00273AAA" w:rsidRDefault="00273AAA" w:rsidP="00273AAA">
      <w:pPr>
        <w:jc w:val="both"/>
      </w:pPr>
      <w:r>
        <w:t>Możliwość zmiany przez urządzenie kodu wartości QoS zawartego w ramce Ethernet lub pakiecie IP –</w:t>
      </w:r>
    </w:p>
    <w:p w14:paraId="394B9186" w14:textId="77777777" w:rsidR="00273AAA" w:rsidRDefault="00273AAA" w:rsidP="00273AAA">
      <w:pPr>
        <w:jc w:val="both"/>
      </w:pPr>
      <w:r>
        <w:t>poprzez zmianę pola 802.1p (CoS) oraz IP ToS/DSCP;</w:t>
      </w:r>
    </w:p>
    <w:p w14:paraId="231A8438" w14:textId="77777777" w:rsidR="00273AAA" w:rsidRDefault="00273AAA" w:rsidP="00273AAA">
      <w:pPr>
        <w:jc w:val="both"/>
      </w:pPr>
    </w:p>
    <w:p w14:paraId="4B4F1735" w14:textId="77777777" w:rsidR="00273AAA" w:rsidRDefault="00273AAA" w:rsidP="00273AAA">
      <w:pPr>
        <w:jc w:val="both"/>
      </w:pPr>
      <w:r>
        <w:t>Przełącznik posiada wbudowane mechanizmy ochrony warstwy kontrolnej przełącznika (CoPP – Control Plane Policing),</w:t>
      </w:r>
    </w:p>
    <w:p w14:paraId="381BBE23" w14:textId="6A5F0EC8" w:rsidR="00273AAA" w:rsidRDefault="00273AAA" w:rsidP="00273AAA">
      <w:pPr>
        <w:jc w:val="both"/>
      </w:pPr>
      <w:r>
        <w:lastRenderedPageBreak/>
        <w:t>Realizacja funkcji Private VLAN zarówno na portach dostępowych oraz portach trunk (obsługa wielu sieci primary VLAN na</w:t>
      </w:r>
      <w:r w:rsidR="00B916A3">
        <w:t xml:space="preserve"> </w:t>
      </w:r>
      <w:r>
        <w:t>jednym porcie trunk oraz wielu sieci secondary vlan na jednym porcie trunk),</w:t>
      </w:r>
    </w:p>
    <w:p w14:paraId="1B5A2586" w14:textId="77777777" w:rsidR="00273AAA" w:rsidRDefault="00273AAA" w:rsidP="00273AAA">
      <w:pPr>
        <w:jc w:val="both"/>
      </w:pPr>
      <w:r>
        <w:t>Urządzenie realizuje routing statyczny i dynamiczny dla IPv4 i IPv6 w zakresie:</w:t>
      </w:r>
    </w:p>
    <w:p w14:paraId="6C5E533A" w14:textId="77777777" w:rsidR="00273AAA" w:rsidRDefault="00273AAA" w:rsidP="00273AAA">
      <w:pPr>
        <w:jc w:val="both"/>
      </w:pPr>
    </w:p>
    <w:p w14:paraId="79ABD832" w14:textId="77777777" w:rsidR="00273AAA" w:rsidRDefault="00273AAA" w:rsidP="00273AAA">
      <w:pPr>
        <w:jc w:val="both"/>
      </w:pPr>
      <w:r>
        <w:t>Routing statyczny dla IPv4 i IPv6,</w:t>
      </w:r>
    </w:p>
    <w:p w14:paraId="5091E761" w14:textId="77777777" w:rsidR="00273AAA" w:rsidRDefault="00273AAA" w:rsidP="00273AAA">
      <w:pPr>
        <w:jc w:val="both"/>
      </w:pPr>
      <w:r>
        <w:t>Routing dynamiczny dla IPv4: BGP, ISIS,</w:t>
      </w:r>
    </w:p>
    <w:p w14:paraId="08665FC4" w14:textId="77777777" w:rsidR="00273AAA" w:rsidRDefault="00273AAA" w:rsidP="00273AAA">
      <w:pPr>
        <w:jc w:val="both"/>
      </w:pPr>
    </w:p>
    <w:p w14:paraId="5A74886A" w14:textId="77777777" w:rsidR="00273AAA" w:rsidRDefault="00273AAA" w:rsidP="00273AAA">
      <w:pPr>
        <w:jc w:val="both"/>
      </w:pPr>
      <w:r>
        <w:t>Routing dynamiczny dla IPv4: OSPF, EIGRP (rfc7868) wraz z obsługą mechanizmu IP FRR (Fast Reroute)</w:t>
      </w:r>
    </w:p>
    <w:p w14:paraId="43A23CC6" w14:textId="77777777" w:rsidR="00273AAA" w:rsidRDefault="00273AAA" w:rsidP="00273AAA">
      <w:pPr>
        <w:jc w:val="both"/>
      </w:pPr>
      <w:r>
        <w:t>Loop Free Alternate (LFA),</w:t>
      </w:r>
    </w:p>
    <w:p w14:paraId="420251D8" w14:textId="77777777" w:rsidR="00273AAA" w:rsidRDefault="00273AAA" w:rsidP="00273AAA">
      <w:pPr>
        <w:jc w:val="both"/>
      </w:pPr>
      <w:r>
        <w:t>Routing dynamiczny dla IPv6: OSPFv3,</w:t>
      </w:r>
    </w:p>
    <w:p w14:paraId="6E0AA41B" w14:textId="77777777" w:rsidR="00273AAA" w:rsidRDefault="00273AAA" w:rsidP="00273AAA">
      <w:pPr>
        <w:jc w:val="both"/>
      </w:pPr>
      <w:r>
        <w:t>Funkcjonalności Policy-based routing,</w:t>
      </w:r>
    </w:p>
    <w:p w14:paraId="29469B71" w14:textId="77777777" w:rsidR="00273AAA" w:rsidRDefault="00273AAA" w:rsidP="00273AAA">
      <w:pPr>
        <w:jc w:val="both"/>
      </w:pPr>
      <w:r>
        <w:t>multicast routing (PIM-SM, PIM-SSM) ,</w:t>
      </w:r>
    </w:p>
    <w:p w14:paraId="14C60CCE" w14:textId="77777777" w:rsidR="00273AAA" w:rsidRDefault="00273AAA" w:rsidP="00273AAA">
      <w:pPr>
        <w:jc w:val="both"/>
      </w:pPr>
      <w:r>
        <w:t>Obsługa protokołu redundancji bramy (VRRP) z obsługą 255 grup,</w:t>
      </w:r>
    </w:p>
    <w:p w14:paraId="0CE5EAA5" w14:textId="77777777" w:rsidR="00273AAA" w:rsidRDefault="00273AAA" w:rsidP="00273AAA">
      <w:pPr>
        <w:jc w:val="both"/>
      </w:pPr>
      <w:r>
        <w:t>Obsługa 200 tuneli GRE (Generic Routing Encapsulation),</w:t>
      </w:r>
    </w:p>
    <w:p w14:paraId="6B676B12" w14:textId="77777777" w:rsidR="00273AAA" w:rsidRDefault="00273AAA" w:rsidP="00273AAA">
      <w:pPr>
        <w:jc w:val="both"/>
      </w:pPr>
      <w:r>
        <w:t>Obsługa 1000 wirtualnych instancji routingu (VRF),</w:t>
      </w:r>
    </w:p>
    <w:p w14:paraId="7983750A" w14:textId="77777777" w:rsidR="00273AAA" w:rsidRDefault="00273AAA" w:rsidP="00273AAA">
      <w:pPr>
        <w:jc w:val="both"/>
      </w:pPr>
    </w:p>
    <w:p w14:paraId="5824D501" w14:textId="3E4ECF74" w:rsidR="00273AAA" w:rsidRDefault="00273AAA" w:rsidP="00273AAA">
      <w:pPr>
        <w:jc w:val="both"/>
      </w:pPr>
      <w:r>
        <w:t>Obsługa protokołu BFD (Bidirectional Forwarding Detection) umożliwiającego szybkie wykrywanie awarii połączeń w sieci</w:t>
      </w:r>
      <w:r>
        <w:t xml:space="preserve"> </w:t>
      </w:r>
      <w:r>
        <w:t>dla potrzeb protokołów routingu, obsługa 100 sesji BFD,</w:t>
      </w:r>
    </w:p>
    <w:p w14:paraId="180C6686" w14:textId="77777777" w:rsidR="00273AAA" w:rsidRDefault="00273AAA" w:rsidP="00273AAA">
      <w:pPr>
        <w:jc w:val="both"/>
      </w:pPr>
      <w:r>
        <w:t>Realizacja funkcjonalności translacji adresów IP NAT (Network Address Translation) z obsługą do 3000 translacji,</w:t>
      </w:r>
    </w:p>
    <w:p w14:paraId="2EC5F062" w14:textId="77777777" w:rsidR="00273AAA" w:rsidRDefault="00273AAA" w:rsidP="00273AAA">
      <w:pPr>
        <w:jc w:val="both"/>
      </w:pPr>
      <w:r>
        <w:t>Urządzenie realizuje protokołu LISP zgodnie z RFC 6830,</w:t>
      </w:r>
    </w:p>
    <w:p w14:paraId="7AA3A0F0" w14:textId="77777777" w:rsidR="00273AAA" w:rsidRDefault="00273AAA" w:rsidP="00273AAA">
      <w:pPr>
        <w:jc w:val="both"/>
      </w:pPr>
      <w:r>
        <w:t>Urządzenie umożliwia enkapsulację ruchu przy pomocy VXLAN’ów,</w:t>
      </w:r>
    </w:p>
    <w:p w14:paraId="72620002" w14:textId="77777777" w:rsidR="00273AAA" w:rsidRDefault="00273AAA" w:rsidP="00273AAA">
      <w:pPr>
        <w:jc w:val="both"/>
      </w:pPr>
      <w:r>
        <w:t>Wsparcie dla BGP EVPN z wykorzystaniem VXLAN w zakresie min. funkcjonalności węzłów leaf / spine / border,</w:t>
      </w:r>
    </w:p>
    <w:p w14:paraId="34A7516D" w14:textId="77777777" w:rsidR="00273AAA" w:rsidRDefault="00273AAA" w:rsidP="00273AAA">
      <w:pPr>
        <w:jc w:val="both"/>
      </w:pPr>
      <w:r>
        <w:t>Obsługa mechanizmów zapewniających autentyczność uruchamianego oprogramowania oraz hardware urządzenia w tym:</w:t>
      </w:r>
    </w:p>
    <w:p w14:paraId="55DEE24E" w14:textId="45E99F8A" w:rsidR="00273AAA" w:rsidRDefault="00273AAA" w:rsidP="00273AAA">
      <w:pPr>
        <w:jc w:val="both"/>
      </w:pPr>
      <w:r>
        <w:t>sprawdzanie autentyczności oprogramowania (w tym firmware, BIOS i system operacyjny urządzenia) przed</w:t>
      </w:r>
      <w:r w:rsidR="00B916A3">
        <w:t xml:space="preserve"> </w:t>
      </w:r>
      <w:r>
        <w:t>uruchomieniem urządzenia, bezpieczna sekwencja uruchamiania, sprzętowy układ umożliwiający sprawdzenie</w:t>
      </w:r>
      <w:r w:rsidR="00B916A3">
        <w:t xml:space="preserve"> </w:t>
      </w:r>
      <w:r>
        <w:t>autentyczności urządzenia,</w:t>
      </w:r>
    </w:p>
    <w:p w14:paraId="2F197B19" w14:textId="7D9C4E00" w:rsidR="00273AAA" w:rsidRDefault="00273AAA" w:rsidP="00273AAA">
      <w:pPr>
        <w:jc w:val="both"/>
      </w:pPr>
      <w:r>
        <w:t xml:space="preserve">Urządzenie jest przygotowane sprzętowo do łączenia w klaster z drugim takim samym urządzeniem (tzw. </w:t>
      </w:r>
      <w:r w:rsidR="00B916A3">
        <w:t>W</w:t>
      </w:r>
      <w:r>
        <w:t>irtualne</w:t>
      </w:r>
      <w:r w:rsidR="00B916A3">
        <w:t xml:space="preserve"> </w:t>
      </w:r>
      <w:r>
        <w:t>stakowanie). Urządzenia w klastrze będą zachowywać się jak jedno urządzenie w punktu widzenia protokołów L2 i L3,</w:t>
      </w:r>
    </w:p>
    <w:p w14:paraId="74283678" w14:textId="14229A62" w:rsidR="00273AAA" w:rsidRDefault="00273AAA" w:rsidP="00273AAA">
      <w:pPr>
        <w:jc w:val="both"/>
      </w:pPr>
      <w:r>
        <w:t>Klastrowanie wspiera funkcję eliminacji przesyłania ruchu BUM (Broadcast, unknown-unicast and multicast traffic) poprzez</w:t>
      </w:r>
      <w:r w:rsidR="00B916A3">
        <w:t xml:space="preserve"> </w:t>
      </w:r>
      <w:r>
        <w:t>połączenie realizujące klaster pomiędzy przełącznikami,</w:t>
      </w:r>
    </w:p>
    <w:p w14:paraId="3819E728" w14:textId="455274C8" w:rsidR="00273AAA" w:rsidRDefault="00273AAA" w:rsidP="00273AAA">
      <w:pPr>
        <w:jc w:val="both"/>
      </w:pPr>
      <w:r>
        <w:lastRenderedPageBreak/>
        <w:t>Przełącznik umożliwia lokalną i zdalną obserwację ruchu na określonym porcie, polegającą na kopiowaniu pojawiających</w:t>
      </w:r>
      <w:r w:rsidR="00B916A3">
        <w:t xml:space="preserve"> </w:t>
      </w:r>
      <w:r>
        <w:t>się na nim ramek i przesyłaniu ich do zdalnego urządzenia monitorującego – mechanizmy SPAN, RSPAN,</w:t>
      </w:r>
    </w:p>
    <w:p w14:paraId="3FBFDDE3" w14:textId="3040A088" w:rsidR="00273AAA" w:rsidRDefault="00273AAA" w:rsidP="00273AAA">
      <w:pPr>
        <w:jc w:val="both"/>
      </w:pPr>
      <w:r>
        <w:t>Możliwość zdalnej obserwacji ruchu z określonych portów lub sieci VLAN polegającą na kopiowaniu pojawiających się na</w:t>
      </w:r>
      <w:r w:rsidR="00B916A3">
        <w:t xml:space="preserve"> </w:t>
      </w:r>
      <w:r>
        <w:t>nim ramek i przesyłaniu ich do zdalnego urządzenia monitorującego poprzez sieć IP (ERSPAN),</w:t>
      </w:r>
    </w:p>
    <w:p w14:paraId="7931ACD2" w14:textId="371C77BD" w:rsidR="00273AAA" w:rsidRDefault="00273AAA" w:rsidP="00273AAA">
      <w:pPr>
        <w:jc w:val="both"/>
      </w:pPr>
      <w:r>
        <w:t>Funkcjonalność sondy IP SLA do aktywnego generowania ruchu testowego i mierzenia parametrów ruchu w celu oceny</w:t>
      </w:r>
      <w:r w:rsidR="00B916A3">
        <w:t xml:space="preserve"> </w:t>
      </w:r>
      <w:r>
        <w:t>jakości działania sieci dla następujących protokołów sieciowych: dhcp, dns, ftp, http, icmp-echo, icmp-jitter, tcp-</w:t>
      </w:r>
      <w:r w:rsidR="00B916A3">
        <w:t xml:space="preserve"> </w:t>
      </w:r>
      <w:r>
        <w:t>connect, udp-echo, udp-jitter,</w:t>
      </w:r>
    </w:p>
    <w:p w14:paraId="01BFEF1A" w14:textId="77777777" w:rsidR="00273AAA" w:rsidRDefault="00273AAA" w:rsidP="00273AAA">
      <w:pPr>
        <w:jc w:val="both"/>
      </w:pPr>
    </w:p>
    <w:p w14:paraId="4943A18C" w14:textId="27A92CFC" w:rsidR="00273AAA" w:rsidRDefault="00273AAA" w:rsidP="00273AAA">
      <w:pPr>
        <w:jc w:val="both"/>
      </w:pPr>
      <w:r>
        <w:t>Przełącznik posiada funkcjonalność umożliwiającą przechwytywanie ruchu z wybranych interfejsów fizycznych urządzenia i</w:t>
      </w:r>
      <w:r w:rsidR="00B916A3">
        <w:t xml:space="preserve"> </w:t>
      </w:r>
      <w:r>
        <w:t>generowanie plików typu „pcap” do dalszej analizy przy pomocy oprogramowanie zewnętrznego,</w:t>
      </w:r>
    </w:p>
    <w:p w14:paraId="4299645B" w14:textId="77777777" w:rsidR="00273AAA" w:rsidRDefault="00273AAA" w:rsidP="00273AAA">
      <w:pPr>
        <w:jc w:val="both"/>
      </w:pPr>
      <w:r>
        <w:t>Wbudowany analizator pakietów,</w:t>
      </w:r>
    </w:p>
    <w:p w14:paraId="0790D832" w14:textId="5A30DE43" w:rsidR="00273AAA" w:rsidRDefault="00273AAA" w:rsidP="00273AAA">
      <w:pPr>
        <w:jc w:val="both"/>
      </w:pPr>
      <w:r>
        <w:t>Możliwość tworzenia bezpośrednio na przełączniku polityki kontroli ruchu i segmentacji logicznej w oparciu o znaczniki</w:t>
      </w:r>
      <w:r w:rsidR="00B916A3">
        <w:t xml:space="preserve"> </w:t>
      </w:r>
      <w:r>
        <w:t>bezpieczeństwa (secure tag) z możliwością przypisywania znaczników:</w:t>
      </w:r>
    </w:p>
    <w:p w14:paraId="5AC2AE95" w14:textId="77777777" w:rsidR="00273AAA" w:rsidRDefault="00273AAA" w:rsidP="00273AAA">
      <w:pPr>
        <w:jc w:val="both"/>
      </w:pPr>
      <w:r>
        <w:t>Statycznie w oparciu o port, do którego podłączona jest stacja,</w:t>
      </w:r>
    </w:p>
    <w:p w14:paraId="79B081B6" w14:textId="77777777" w:rsidR="00273AAA" w:rsidRDefault="00273AAA" w:rsidP="00273AAA">
      <w:pPr>
        <w:jc w:val="both"/>
      </w:pPr>
      <w:r>
        <w:t>Statycznie w oparciu o VLAN, w którym pracuje stacja,</w:t>
      </w:r>
    </w:p>
    <w:p w14:paraId="036D1F6D" w14:textId="77777777" w:rsidR="00273AAA" w:rsidRDefault="00273AAA" w:rsidP="00273AAA">
      <w:pPr>
        <w:jc w:val="both"/>
      </w:pPr>
      <w:r>
        <w:t>Statycznie w oparciu o adres IP stacji,</w:t>
      </w:r>
    </w:p>
    <w:p w14:paraId="0C5B5944" w14:textId="77777777" w:rsidR="00273AAA" w:rsidRDefault="00273AAA" w:rsidP="00273AAA">
      <w:pPr>
        <w:jc w:val="both"/>
      </w:pPr>
      <w:r>
        <w:t>Dynamicznie w oparciu o autoryzację użytkownika / stacji przy pomocy 802.1X;</w:t>
      </w:r>
    </w:p>
    <w:p w14:paraId="62431B8C" w14:textId="5E081DD0" w:rsidR="00273AAA" w:rsidRDefault="00273AAA" w:rsidP="00273AAA">
      <w:pPr>
        <w:jc w:val="both"/>
      </w:pPr>
      <w:r>
        <w:t>Możliwość dynamicznego załadowania do przełącznika polityki kontroli ruchu pracującej w oparciu o znaczniki</w:t>
      </w:r>
      <w:r w:rsidR="00B916A3">
        <w:t xml:space="preserve"> </w:t>
      </w:r>
      <w:r>
        <w:t>bezpieczeństwa (secure tag) z centralnego systemu zarządzania kontrolą dostępu,</w:t>
      </w:r>
    </w:p>
    <w:p w14:paraId="27F75621" w14:textId="7EC76F55" w:rsidR="00273AAA" w:rsidRDefault="00273AAA" w:rsidP="00273AAA">
      <w:pPr>
        <w:jc w:val="both"/>
      </w:pPr>
      <w:r>
        <w:t>Propagacja informacji o przypisaniu stacji danego znacznika bezpieczeństwa (secure tag) bezpośrednio w ramce Ethernet</w:t>
      </w:r>
      <w:r w:rsidR="00B916A3">
        <w:t xml:space="preserve"> </w:t>
      </w:r>
      <w:r>
        <w:t>(metoda in-line) lub za pomocą mechanizmu out-of-band, który przekazuje do urządzeń dokonujących wymuszenia</w:t>
      </w:r>
      <w:r w:rsidR="00B916A3">
        <w:t xml:space="preserve"> </w:t>
      </w:r>
      <w:r>
        <w:t>polityki mapowania aktualnych adresów IP stacji i przypisanego im znacznika bezpieczeństwa,</w:t>
      </w:r>
    </w:p>
    <w:p w14:paraId="56B00149" w14:textId="77777777" w:rsidR="00273AAA" w:rsidRDefault="00273AAA" w:rsidP="00273AAA">
      <w:pPr>
        <w:jc w:val="both"/>
      </w:pPr>
      <w:r>
        <w:t>Urządzenie umożliwia uruchamianie dodatkowych aplikacji w kontenerach Docker,</w:t>
      </w:r>
    </w:p>
    <w:p w14:paraId="3B1EA0CB" w14:textId="5E9360DA" w:rsidR="00273AAA" w:rsidRDefault="00273AAA" w:rsidP="00273AAA">
      <w:pPr>
        <w:jc w:val="both"/>
      </w:pPr>
      <w:r>
        <w:t>Urządzenie może zostać wyposażone w zewnętrzną pamięć przeznaczoną np. do wykorzystania przez aplikacje uruchomiane w</w:t>
      </w:r>
      <w:r w:rsidR="00B916A3">
        <w:t xml:space="preserve"> </w:t>
      </w:r>
      <w:r>
        <w:t>kontenerach Docker w postaci dysku M2 SATA o pojemności 240/480/960GB,</w:t>
      </w:r>
    </w:p>
    <w:p w14:paraId="210B55A1" w14:textId="77777777" w:rsidR="00273AAA" w:rsidRDefault="00273AAA" w:rsidP="00273AAA">
      <w:pPr>
        <w:jc w:val="both"/>
      </w:pPr>
    </w:p>
    <w:p w14:paraId="2A1AF2F0" w14:textId="70F0C221" w:rsidR="00273AAA" w:rsidRDefault="00273AAA" w:rsidP="00273AAA">
      <w:pPr>
        <w:jc w:val="both"/>
      </w:pPr>
      <w:r>
        <w:t>Możliwość modyfikacji programowej takich parametrów urządzenia jak: ilości pozycji w tablicy MAC, ilość tras routingowych</w:t>
      </w:r>
      <w:r w:rsidR="00B916A3">
        <w:t xml:space="preserve"> </w:t>
      </w:r>
      <w:r>
        <w:t>unicast i multicast, ilości tras w sieci MPLS VPN, ilości obsługiwanych sesji netflow,</w:t>
      </w:r>
    </w:p>
    <w:p w14:paraId="66E6AC57" w14:textId="77777777" w:rsidR="00273AAA" w:rsidRDefault="00273AAA" w:rsidP="00273AAA">
      <w:pPr>
        <w:jc w:val="both"/>
      </w:pPr>
    </w:p>
    <w:p w14:paraId="3A6E6690" w14:textId="77777777" w:rsidR="00273AAA" w:rsidRDefault="00273AAA" w:rsidP="00273AAA">
      <w:pPr>
        <w:jc w:val="both"/>
      </w:pPr>
      <w:r>
        <w:t>Funkcjonalności z zakresu MPLS:</w:t>
      </w:r>
    </w:p>
    <w:p w14:paraId="38617DCD" w14:textId="77777777" w:rsidR="00273AAA" w:rsidRDefault="00273AAA" w:rsidP="00273AAA">
      <w:pPr>
        <w:jc w:val="both"/>
      </w:pPr>
      <w:r>
        <w:t>Urządzenie realizuje następujące funkcjonalności z zakresu MPLS:</w:t>
      </w:r>
    </w:p>
    <w:p w14:paraId="0F23F2FF" w14:textId="77777777" w:rsidR="00273AAA" w:rsidRDefault="00273AAA" w:rsidP="00273AAA">
      <w:pPr>
        <w:jc w:val="both"/>
      </w:pPr>
      <w:r>
        <w:t>L2VPN - Ethernet over MPLS (EoMPLS) – obsługa do 1000 połączeń wirtualnych VC,</w:t>
      </w:r>
    </w:p>
    <w:p w14:paraId="291A08CB" w14:textId="3EFBBB2B" w:rsidR="00273AAA" w:rsidRDefault="00273AAA" w:rsidP="00273AAA">
      <w:pPr>
        <w:jc w:val="both"/>
      </w:pPr>
      <w:r>
        <w:lastRenderedPageBreak/>
        <w:t>L2VPN - Virtual Private LAN Services (VPLS) - obsługa 1000 wirtualnych instancji (VFI), 32 sąsiadów w ramach</w:t>
      </w:r>
      <w:r w:rsidR="00B916A3">
        <w:t xml:space="preserve"> </w:t>
      </w:r>
      <w:r>
        <w:t>jednej instancji,L3 VPN - MPLS Virtual Private Network (VPN),</w:t>
      </w:r>
      <w:r w:rsidR="00B916A3">
        <w:t xml:space="preserve"> </w:t>
      </w:r>
      <w:r>
        <w:t>Multicast VPN (MVPN);</w:t>
      </w:r>
    </w:p>
    <w:p w14:paraId="66D02F3B" w14:textId="77777777" w:rsidR="00273AAA" w:rsidRDefault="00273AAA" w:rsidP="00273AAA">
      <w:pPr>
        <w:jc w:val="both"/>
      </w:pPr>
      <w:r>
        <w:t>Inter AS Option A i B,</w:t>
      </w:r>
    </w:p>
    <w:p w14:paraId="5BB0E251" w14:textId="77777777" w:rsidR="00273AAA" w:rsidRDefault="00273AAA" w:rsidP="00273AAA">
      <w:pPr>
        <w:jc w:val="both"/>
      </w:pPr>
      <w:r>
        <w:t>EoMPLS wraz z obsługa MACSec (MACsec over EoMPLS),</w:t>
      </w:r>
    </w:p>
    <w:p w14:paraId="2BE72F3E" w14:textId="77777777" w:rsidR="00273AAA" w:rsidRDefault="00273AAA" w:rsidP="00273AAA">
      <w:pPr>
        <w:jc w:val="both"/>
      </w:pPr>
      <w:r>
        <w:t>MPLS over GRE,</w:t>
      </w:r>
    </w:p>
    <w:p w14:paraId="5F0C33FD" w14:textId="77777777" w:rsidR="00273AAA" w:rsidRDefault="00273AAA" w:rsidP="00273AAA">
      <w:pPr>
        <w:jc w:val="both"/>
      </w:pPr>
      <w:r>
        <w:t>Zarządzanie i konfiguracja:</w:t>
      </w:r>
    </w:p>
    <w:p w14:paraId="384E10D0" w14:textId="1E3726B7" w:rsidR="00273AAA" w:rsidRDefault="00273AAA" w:rsidP="00273AAA">
      <w:pPr>
        <w:jc w:val="both"/>
      </w:pPr>
      <w:r>
        <w:t>Urządzenie realizuje sprzętowo tworzenie statystyk ruchu w oparciu o pełen NetFlow (bez próbkowania), wielkość tablicy</w:t>
      </w:r>
      <w:r w:rsidR="00B916A3">
        <w:t xml:space="preserve"> </w:t>
      </w:r>
      <w:r>
        <w:t>monitorowanych strumieni wynosi 98 000,</w:t>
      </w:r>
    </w:p>
    <w:p w14:paraId="588FBF50" w14:textId="110BF6D8" w:rsidR="00273AAA" w:rsidRDefault="00273AAA" w:rsidP="00273AAA">
      <w:pPr>
        <w:jc w:val="both"/>
      </w:pPr>
      <w:r>
        <w:t>Realizacja rozszerzenia protokołu NetFlow w postaci tzw. Flexible NetFlow, który umożliwia monitorowanie większej ilości</w:t>
      </w:r>
      <w:r w:rsidR="00B916A3">
        <w:t xml:space="preserve"> </w:t>
      </w:r>
      <w:r>
        <w:t>informacji zawartej w pakiecie danych od warstw 2 do 7, bardziej granularne monitorowanie ruchu i definiowanie</w:t>
      </w:r>
      <w:r w:rsidR="00B916A3">
        <w:t xml:space="preserve"> </w:t>
      </w:r>
      <w:r>
        <w:t>monitorowanych przepływów (flow) poprzez elastyczne definiowanie pól kluczowych,</w:t>
      </w:r>
    </w:p>
    <w:p w14:paraId="1DAB3961" w14:textId="77777777" w:rsidR="00273AAA" w:rsidRDefault="00273AAA" w:rsidP="00273AAA">
      <w:pPr>
        <w:jc w:val="both"/>
      </w:pPr>
      <w:r>
        <w:t>Urządzenie posiada dedykowany port Ethernet do zarządzania out-of-band,</w:t>
      </w:r>
    </w:p>
    <w:p w14:paraId="6764A1B4" w14:textId="7452F69B" w:rsidR="00273AAA" w:rsidRDefault="00273AAA" w:rsidP="00273AAA">
      <w:pPr>
        <w:jc w:val="both"/>
      </w:pPr>
      <w:r>
        <w:t>Możliwość realizacji dostępu do konsoli znakowej lub wbudowanego graficznego interfejsu zarządzającego poprzez</w:t>
      </w:r>
      <w:r w:rsidR="00B916A3">
        <w:t xml:space="preserve"> </w:t>
      </w:r>
      <w:r>
        <w:t>połączenie bezprzewodowe Bluetooth przy pomocy dodatkowego adaptera usb Bluetooth podłączanego do portu USB</w:t>
      </w:r>
      <w:r w:rsidR="00B916A3">
        <w:t xml:space="preserve"> </w:t>
      </w:r>
      <w:r>
        <w:t>przełącznika. Funkcjonalność umożliwia kontrolę dostępu do konsoli poprzez mechanizm lokalnego konta logowania</w:t>
      </w:r>
      <w:r>
        <w:t xml:space="preserve"> </w:t>
      </w:r>
      <w:r>
        <w:t>lub mechanizm AAA,</w:t>
      </w:r>
    </w:p>
    <w:p w14:paraId="7C091EB8" w14:textId="3FCBF353" w:rsidR="00273AAA" w:rsidRDefault="00273AAA" w:rsidP="00273AAA">
      <w:pPr>
        <w:jc w:val="both"/>
      </w:pPr>
      <w:r>
        <w:t>Urządzenie posiada port USB umożliwiający podłączenie zewnętrznego nośnika danych. Urządzenie ma możliwość</w:t>
      </w:r>
      <w:r>
        <w:t xml:space="preserve"> </w:t>
      </w:r>
      <w:r>
        <w:t>uruchomienia z nośnika danych umieszczonego w porcie USB,</w:t>
      </w:r>
    </w:p>
    <w:p w14:paraId="04EC7BE6" w14:textId="77777777" w:rsidR="00273AAA" w:rsidRDefault="00273AAA" w:rsidP="00273AAA">
      <w:pPr>
        <w:jc w:val="both"/>
      </w:pPr>
      <w:r>
        <w:t>Urządzenie jest wyposażone w port konsoli USB,</w:t>
      </w:r>
    </w:p>
    <w:p w14:paraId="7F59CE30" w14:textId="77777777" w:rsidR="00273AAA" w:rsidRDefault="00273AAA" w:rsidP="00273AAA">
      <w:pPr>
        <w:jc w:val="both"/>
      </w:pPr>
      <w:r>
        <w:t>Urządzenie umożliwia tworzenie skryptów celem obsługi zdarzeń, które mogą pojawić się w systemie,</w:t>
      </w:r>
    </w:p>
    <w:p w14:paraId="33480B03" w14:textId="77777777" w:rsidR="00273AAA" w:rsidRDefault="00273AAA" w:rsidP="00273AAA">
      <w:pPr>
        <w:jc w:val="both"/>
      </w:pPr>
      <w:r>
        <w:t>Obsługa protokołów SNMPv3, SSHv2, SCP, https, syslog – z wykorzystaniem protokołów IPv4 i IPv6,</w:t>
      </w:r>
    </w:p>
    <w:p w14:paraId="10C33DB9" w14:textId="7D3629C4" w:rsidR="00273AAA" w:rsidRDefault="00273AAA" w:rsidP="00273AAA">
      <w:pPr>
        <w:jc w:val="both"/>
      </w:pPr>
      <w:r>
        <w:t>Przełącznik posiada wbudowany tag RFID w celu łatwiejszego zarządzania infrastrukturą i identyfikacji konkretnego</w:t>
      </w:r>
      <w:r>
        <w:t xml:space="preserve"> </w:t>
      </w:r>
      <w:r>
        <w:t>urządzenia,</w:t>
      </w:r>
    </w:p>
    <w:p w14:paraId="2D239B14" w14:textId="77777777" w:rsidR="00273AAA" w:rsidRDefault="00273AAA" w:rsidP="00273AAA">
      <w:pPr>
        <w:jc w:val="both"/>
      </w:pPr>
      <w:r>
        <w:t>Przełącznik posiada diodę umożliwiającą identyfikację konkretnego urządzenia podczas akcji serwisowych,</w:t>
      </w:r>
    </w:p>
    <w:p w14:paraId="05836E9F" w14:textId="03FA82D3" w:rsidR="00273AAA" w:rsidRDefault="00273AAA" w:rsidP="00273AAA">
      <w:pPr>
        <w:jc w:val="both"/>
      </w:pPr>
      <w:r>
        <w:t>Funkcja programowego resetu urządzenia do ustawień fabrycznych wraz z całkowitym i nieodwracalnym (3-krotne</w:t>
      </w:r>
      <w:r>
        <w:t xml:space="preserve"> </w:t>
      </w:r>
      <w:r>
        <w:t>nadpisanie) wyczyszczeniem takich danych jak: konfiguracja urządzenia, pliki logów, zmienne bootowania (startowe),</w:t>
      </w:r>
      <w:r>
        <w:t xml:space="preserve"> </w:t>
      </w:r>
      <w:r>
        <w:t>dane uwierzytelniające (tzw. credentials), obrazy oprogramowania, klucze szyfrujące,</w:t>
      </w:r>
    </w:p>
    <w:p w14:paraId="1E377E24" w14:textId="77777777" w:rsidR="00273AAA" w:rsidRDefault="00273AAA" w:rsidP="00273AAA">
      <w:pPr>
        <w:jc w:val="both"/>
      </w:pPr>
    </w:p>
    <w:p w14:paraId="51EEDD48" w14:textId="77777777" w:rsidR="00273AAA" w:rsidRDefault="00273AAA" w:rsidP="00273AAA">
      <w:pPr>
        <w:jc w:val="both"/>
      </w:pPr>
      <w:r>
        <w:t>Obudowa:</w:t>
      </w:r>
    </w:p>
    <w:p w14:paraId="03F5183B" w14:textId="2954225F" w:rsidR="00273AAA" w:rsidRDefault="00273AAA" w:rsidP="00273AAA">
      <w:pPr>
        <w:jc w:val="both"/>
      </w:pPr>
      <w:r>
        <w:t>Możliwość montażu w szafie rack 19”. Wysokość urządzenia 1 RU. Głębokość chassis urządzenia z wentylatorami, i</w:t>
      </w:r>
      <w:r>
        <w:t xml:space="preserve"> </w:t>
      </w:r>
      <w:r>
        <w:t>zasilaczami mniejsza niż 50 cm,</w:t>
      </w:r>
    </w:p>
    <w:p w14:paraId="6CAF30ED" w14:textId="77777777" w:rsidR="00273AAA" w:rsidRDefault="00273AAA" w:rsidP="00273AAA">
      <w:pPr>
        <w:jc w:val="both"/>
      </w:pPr>
    </w:p>
    <w:p w14:paraId="17F4D55B" w14:textId="77777777" w:rsidR="00273AAA" w:rsidRDefault="00273AAA" w:rsidP="00273AAA">
      <w:pPr>
        <w:jc w:val="both"/>
      </w:pPr>
      <w:r>
        <w:t>Wyposażenie urządzenia</w:t>
      </w:r>
    </w:p>
    <w:p w14:paraId="26A9D535" w14:textId="77777777" w:rsidR="00273AAA" w:rsidRDefault="00273AAA" w:rsidP="00273AAA">
      <w:pPr>
        <w:jc w:val="both"/>
      </w:pPr>
      <w:r>
        <w:lastRenderedPageBreak/>
        <w:t>Przełącznik wyposażony w zasilacz redundantny identyczny jak zasilacz podstawowy,</w:t>
      </w:r>
    </w:p>
    <w:p w14:paraId="5C65213A" w14:textId="77777777" w:rsidR="00273AAA" w:rsidRDefault="00273AAA" w:rsidP="00273AAA">
      <w:pPr>
        <w:jc w:val="both"/>
      </w:pPr>
      <w:r>
        <w:t>Przełącznik wyposażony jest w następujące moduły interfejsowe pochodzące z oferty producenta przełącznika:</w:t>
      </w:r>
    </w:p>
    <w:p w14:paraId="2EB89925" w14:textId="77777777" w:rsidR="00273AAA" w:rsidRDefault="00273AAA" w:rsidP="00273AAA">
      <w:pPr>
        <w:jc w:val="both"/>
      </w:pPr>
      <w:r>
        <w:t>10Gigabit Ethernet 10GBase-SR – 4 szt</w:t>
      </w:r>
    </w:p>
    <w:p w14:paraId="7AD7E991" w14:textId="13995844" w:rsidR="00273AAA" w:rsidRDefault="00273AAA" w:rsidP="00273AAA">
      <w:pPr>
        <w:jc w:val="both"/>
      </w:pPr>
      <w:r>
        <w:t>40G-LR4 – 2 szt</w:t>
      </w:r>
      <w:r w:rsidR="001004D2">
        <w:t>.</w:t>
      </w:r>
    </w:p>
    <w:p w14:paraId="1A2D3BCA" w14:textId="5965E5F4" w:rsidR="001004D2" w:rsidRDefault="001004D2" w:rsidP="00273AAA">
      <w:pPr>
        <w:jc w:val="both"/>
      </w:pPr>
      <w:r w:rsidRPr="001004D2">
        <w:t>Licencja DNA Advantage</w:t>
      </w:r>
      <w:r>
        <w:t>, lub równoważna</w:t>
      </w:r>
    </w:p>
    <w:p w14:paraId="48286AAB" w14:textId="77777777" w:rsidR="00273AAA" w:rsidRDefault="00273AAA" w:rsidP="00273AAA">
      <w:pPr>
        <w:jc w:val="both"/>
      </w:pPr>
    </w:p>
    <w:p w14:paraId="5190F9DD" w14:textId="77777777" w:rsidR="00273AAA" w:rsidRDefault="00273AAA" w:rsidP="00273AAA">
      <w:pPr>
        <w:jc w:val="both"/>
      </w:pPr>
      <w:r>
        <w:t>Jeżeli dla poprawnej pracy urządzenia w zakresie funkcjonalności wymagane są licencje subskrypcyjne należy je dostarczyć na</w:t>
      </w:r>
    </w:p>
    <w:p w14:paraId="41CE61A9" w14:textId="77777777" w:rsidR="00273AAA" w:rsidRDefault="00273AAA" w:rsidP="00273AAA">
      <w:pPr>
        <w:jc w:val="both"/>
      </w:pPr>
      <w:r>
        <w:t>okres 3 lat / 5 lat,</w:t>
      </w:r>
    </w:p>
    <w:p w14:paraId="25856A16" w14:textId="77777777" w:rsidR="00273AAA" w:rsidRDefault="00273AAA" w:rsidP="00273AAA">
      <w:pPr>
        <w:jc w:val="both"/>
      </w:pPr>
      <w:r>
        <w:t>Serwis i gwarancja</w:t>
      </w:r>
    </w:p>
    <w:p w14:paraId="0A4391BB" w14:textId="77777777" w:rsidR="00273AAA" w:rsidRDefault="00273AAA" w:rsidP="00273AAA">
      <w:pPr>
        <w:jc w:val="both"/>
      </w:pPr>
      <w:r>
        <w:t>Zamawiający wymaga aby wszystkie urządzenia zostały objęte serwisem/gwarancją na okres 5 lat.</w:t>
      </w:r>
    </w:p>
    <w:p w14:paraId="5D3A6E33" w14:textId="77777777" w:rsidR="00273AAA" w:rsidRDefault="00273AAA" w:rsidP="00273AAA">
      <w:pPr>
        <w:jc w:val="both"/>
      </w:pPr>
      <w:r>
        <w:t>Warunki serwisu/gwarancji (minimalne):</w:t>
      </w:r>
    </w:p>
    <w:p w14:paraId="25A28E5E" w14:textId="77777777" w:rsidR="00273AAA" w:rsidRDefault="00273AAA" w:rsidP="00273AAA">
      <w:pPr>
        <w:jc w:val="both"/>
      </w:pPr>
    </w:p>
    <w:p w14:paraId="683C7EF1" w14:textId="77777777" w:rsidR="00273AAA" w:rsidRDefault="00273AAA" w:rsidP="00273AAA">
      <w:pPr>
        <w:jc w:val="both"/>
      </w:pPr>
      <w:r>
        <w:t>dostarczenie urządzenia/części zamiennego na następny dzień roboczy od zgłoszenia</w:t>
      </w:r>
    </w:p>
    <w:p w14:paraId="7779A4E9" w14:textId="2D0A4E81" w:rsidR="00273AAA" w:rsidRDefault="00273AAA" w:rsidP="00273AAA">
      <w:pPr>
        <w:jc w:val="both"/>
      </w:pPr>
      <w:r>
        <w:t>zgłoszenia muszą być przyjmowane w dni robocze w godzinach 9:00 – 16:00 (dopuszcza się aby zgłoszenia</w:t>
      </w:r>
      <w:r w:rsidR="001E5C7D">
        <w:t xml:space="preserve"> </w:t>
      </w:r>
      <w:r>
        <w:t>przez cały okres serwisu/gwarancji prawo do najnowszych wersji oprogramowania systemowego</w:t>
      </w:r>
      <w:r w:rsidR="001E5C7D">
        <w:t xml:space="preserve"> </w:t>
      </w:r>
      <w:r>
        <w:t>przez cały okres serwisu/gwarancji prawo do zgłaszania spraw serwisowych (service case) o błędnym działaniu</w:t>
      </w:r>
      <w:r>
        <w:t xml:space="preserve"> </w:t>
      </w:r>
      <w:r>
        <w:t>urządzeń/oprogramowania</w:t>
      </w:r>
    </w:p>
    <w:p w14:paraId="1B676273" w14:textId="005DAB03" w:rsidR="00273AAA" w:rsidRDefault="00273AAA" w:rsidP="00273AAA">
      <w:pPr>
        <w:jc w:val="both"/>
      </w:pPr>
      <w:r>
        <w:t>Zamawiający dopuszcza realizowanie serwisu w oparciu o bezpośrednie usługi Producent (Zamawiający będzie się</w:t>
      </w:r>
      <w:r>
        <w:t xml:space="preserve"> </w:t>
      </w:r>
      <w:r>
        <w:t>kontaktował bezpośrednio z Producentem) lub serwis Partnerski (stroną dla Zamawiającego będzie autoryzowany</w:t>
      </w:r>
      <w:r>
        <w:t xml:space="preserve"> </w:t>
      </w:r>
      <w:r>
        <w:t>serwis partnerski Producenta). Niezależnie od powyższego usługi muszą być realizowane w oparciu o usługi</w:t>
      </w:r>
    </w:p>
    <w:p w14:paraId="6838A4AD" w14:textId="77777777" w:rsidR="00273AAA" w:rsidRDefault="00273AAA" w:rsidP="00273AAA">
      <w:pPr>
        <w:jc w:val="both"/>
      </w:pPr>
      <w:r>
        <w:t>Producenta zgodnie z jego polityką serwisowania rozwiązań.</w:t>
      </w:r>
    </w:p>
    <w:p w14:paraId="6562DFE1" w14:textId="68158052" w:rsidR="008A7683" w:rsidRDefault="00273AAA" w:rsidP="00273AAA">
      <w:pPr>
        <w:jc w:val="both"/>
      </w:pPr>
      <w:r>
        <w:t>Zamawiający zastrzega sobie prawo do weryfikacji wykupienia odpowiednich usług po stronie Producentów sprzętu</w:t>
      </w:r>
      <w:r>
        <w:t xml:space="preserve"> </w:t>
      </w:r>
      <w:r>
        <w:t>i oprogramowania.</w:t>
      </w:r>
    </w:p>
    <w:sectPr w:rsidR="008A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AA"/>
    <w:rsid w:val="001004D2"/>
    <w:rsid w:val="001E5C7D"/>
    <w:rsid w:val="00273AAA"/>
    <w:rsid w:val="008A7683"/>
    <w:rsid w:val="00B916A3"/>
    <w:rsid w:val="00C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9B16"/>
  <w15:chartTrackingRefBased/>
  <w15:docId w15:val="{E6EA6CA3-E586-4E2A-BE2C-CFB7E69D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73A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8</Pages>
  <Words>2028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Świerczek</dc:creator>
  <cp:keywords/>
  <dc:description/>
  <cp:lastModifiedBy>Szymon Świerczek</cp:lastModifiedBy>
  <cp:revision>2</cp:revision>
  <dcterms:created xsi:type="dcterms:W3CDTF">2023-09-13T08:37:00Z</dcterms:created>
  <dcterms:modified xsi:type="dcterms:W3CDTF">2023-09-14T06:03:00Z</dcterms:modified>
</cp:coreProperties>
</file>