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6060" w14:textId="1DE89FC9" w:rsidR="00F464B8" w:rsidRDefault="00AA799C" w:rsidP="00AA799C">
      <w:pPr>
        <w:jc w:val="center"/>
        <w:rPr>
          <w:b/>
          <w:bCs/>
          <w:sz w:val="28"/>
          <w:szCs w:val="28"/>
        </w:rPr>
      </w:pPr>
      <w:r w:rsidRPr="00892348">
        <w:rPr>
          <w:b/>
          <w:bCs/>
          <w:sz w:val="28"/>
          <w:szCs w:val="28"/>
        </w:rPr>
        <w:t>Szczegółowy opis przedmiotu zamówienia</w:t>
      </w:r>
    </w:p>
    <w:p w14:paraId="004696B3" w14:textId="77777777" w:rsidR="00290414" w:rsidRPr="00892348" w:rsidRDefault="00290414" w:rsidP="00AA799C">
      <w:pPr>
        <w:jc w:val="center"/>
        <w:rPr>
          <w:b/>
          <w:bCs/>
          <w:sz w:val="28"/>
          <w:szCs w:val="28"/>
        </w:rPr>
      </w:pPr>
    </w:p>
    <w:p w14:paraId="7A49B366" w14:textId="3C200A7A" w:rsidR="00AA799C" w:rsidRDefault="00AA799C" w:rsidP="00AA799C">
      <w:pPr>
        <w:spacing w:after="0"/>
        <w:ind w:firstLine="709"/>
      </w:pPr>
      <w:r>
        <w:t>Przedmiotem zamówienia jest zakup znaków i urządzeń drogowych dla Miejskiego Zarządu Obiektów Sportowo-Turystycznych i Infrastruktury Technicznej w Ostrołęce.</w:t>
      </w:r>
    </w:p>
    <w:p w14:paraId="343EC031" w14:textId="74FAA214" w:rsidR="00AA799C" w:rsidRDefault="00AA799C" w:rsidP="00AA799C">
      <w:pPr>
        <w:spacing w:after="0"/>
        <w:ind w:firstLine="709"/>
      </w:pPr>
      <w:r>
        <w:t xml:space="preserve">Dostawy realizowane będą do magazynu Zamawiającego w Ostrołęce przy ul. </w:t>
      </w:r>
      <w:r w:rsidR="006776D5">
        <w:t>Wiaduktowa 3</w:t>
      </w:r>
      <w:r>
        <w:t xml:space="preserve"> w dni robocze w godzinach od 7:00 do 15:00.</w:t>
      </w:r>
    </w:p>
    <w:p w14:paraId="62FE646C" w14:textId="77777777" w:rsidR="00892348" w:rsidRDefault="00892348" w:rsidP="00AA799C">
      <w:pPr>
        <w:spacing w:after="0"/>
        <w:ind w:firstLine="709"/>
      </w:pPr>
    </w:p>
    <w:p w14:paraId="5639F4F3" w14:textId="3F9C00BB" w:rsidR="00AA799C" w:rsidRPr="00892348" w:rsidRDefault="00AA799C" w:rsidP="00AA799C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 w:rsidRPr="00892348">
        <w:rPr>
          <w:b/>
          <w:bCs/>
        </w:rPr>
        <w:t>Dokumentacja określająca przedmiot zamówienia.</w:t>
      </w:r>
    </w:p>
    <w:p w14:paraId="5ED4E996" w14:textId="50843C34" w:rsidR="00892348" w:rsidRDefault="00892348" w:rsidP="00892348">
      <w:pPr>
        <w:spacing w:after="0"/>
      </w:pPr>
      <w:r>
        <w:t xml:space="preserve">Zamawiane znaki i urządzenia drogowe muszą być wykonane zgodnie z </w:t>
      </w:r>
      <w:r w:rsidR="00446FE6">
        <w:t>załącznikami 1-4</w:t>
      </w:r>
      <w:r>
        <w:t xml:space="preserve"> do rozporządzenia Ministra infrastruktury z dnia 3 lipca 2003r. w sprawie szczegółowych warunków technicznych dla znaków i sygnałów drogowych oraz urządzeń bezpieczeństwa ruchu drogowego i warunków ich umieszczania na drogach (Dz. U. NR 220, </w:t>
      </w:r>
      <w:proofErr w:type="spellStart"/>
      <w:r>
        <w:t>poz</w:t>
      </w:r>
      <w:proofErr w:type="spellEnd"/>
      <w:r>
        <w:t xml:space="preserve"> 2181 z </w:t>
      </w:r>
      <w:proofErr w:type="spellStart"/>
      <w:r>
        <w:t>póź</w:t>
      </w:r>
      <w:r w:rsidR="00156EB2">
        <w:t>n</w:t>
      </w:r>
      <w:proofErr w:type="spellEnd"/>
      <w:r w:rsidR="00156EB2">
        <w:t xml:space="preserve">. zm.), zwanego dalej rozporządzeniem </w:t>
      </w:r>
      <w:r w:rsidR="00B34528">
        <w:t>Ministra Infrastruktury z dnia 3 lipca 2003 roku.</w:t>
      </w:r>
    </w:p>
    <w:p w14:paraId="09C519D9" w14:textId="77777777" w:rsidR="00B34528" w:rsidRDefault="00B34528" w:rsidP="00892348">
      <w:pPr>
        <w:spacing w:after="0"/>
      </w:pPr>
    </w:p>
    <w:p w14:paraId="0B8A323B" w14:textId="697D5B8B" w:rsidR="00B34528" w:rsidRDefault="00B34528" w:rsidP="00B34528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 w:rsidRPr="00B34528">
        <w:rPr>
          <w:b/>
          <w:bCs/>
        </w:rPr>
        <w:t>Warunki techniczne jakimi powinny odpowiadać znaki drogowe pionowe i urządzenia bezpieczeństwa ruchu drogowego.</w:t>
      </w:r>
    </w:p>
    <w:p w14:paraId="092DC8CE" w14:textId="2E6DE1DA" w:rsidR="00B34528" w:rsidRDefault="00B34528" w:rsidP="00B34528">
      <w:pPr>
        <w:spacing w:after="0"/>
      </w:pPr>
      <w:r w:rsidRPr="00B34528">
        <w:t>Podstawowe dane techniczne znaków drogowych pionowych i urządzeń bezpieczeństwa ruchu drogowego, określa niniejszy opis przedmiotu zamówienia, stanowiący i</w:t>
      </w:r>
      <w:r w:rsidR="0041520E">
        <w:t>n</w:t>
      </w:r>
      <w:r w:rsidRPr="00B34528">
        <w:t>tegralną część Specyfikacji Istotnych Warunków Zamówienia</w:t>
      </w:r>
      <w:r>
        <w:t>.</w:t>
      </w:r>
    </w:p>
    <w:p w14:paraId="2913232B" w14:textId="41415609" w:rsidR="00B34528" w:rsidRDefault="00B34528" w:rsidP="00B34528">
      <w:pPr>
        <w:spacing w:after="0"/>
      </w:pPr>
    </w:p>
    <w:p w14:paraId="028E7562" w14:textId="0684C6A7" w:rsidR="00B34528" w:rsidRPr="00F5088B" w:rsidRDefault="00B34528" w:rsidP="00F5088B">
      <w:pPr>
        <w:pStyle w:val="Akapitzlist"/>
        <w:numPr>
          <w:ilvl w:val="1"/>
          <w:numId w:val="4"/>
        </w:numPr>
        <w:spacing w:after="0"/>
        <w:rPr>
          <w:b/>
          <w:bCs/>
        </w:rPr>
      </w:pPr>
      <w:r w:rsidRPr="00F5088B">
        <w:rPr>
          <w:b/>
          <w:bCs/>
        </w:rPr>
        <w:t>Lustra drogowe</w:t>
      </w:r>
    </w:p>
    <w:p w14:paraId="01C9F747" w14:textId="57B8E2D9" w:rsidR="00AA799C" w:rsidRDefault="00B34528" w:rsidP="00F5088B">
      <w:pPr>
        <w:spacing w:after="0"/>
      </w:pPr>
      <w:r>
        <w:t xml:space="preserve">Zgodnie z </w:t>
      </w:r>
      <w:r w:rsidR="004A1BFC">
        <w:t>załącznikiem nr 4</w:t>
      </w:r>
      <w:r>
        <w:t xml:space="preserve"> do </w:t>
      </w:r>
      <w:r w:rsidR="0050683B">
        <w:t>rozporządzenia Ministra Infrastruktury z dnia 3 lipca 2003r</w:t>
      </w:r>
      <w:r w:rsidR="004A1BFC">
        <w:t>. punkt9 L</w:t>
      </w:r>
      <w:r w:rsidR="00F5088B">
        <w:t>ustra wypukłe drogowe o zwiększonym kącie obserwacji w dwóch rodzajach:</w:t>
      </w:r>
    </w:p>
    <w:p w14:paraId="53C6FBEC" w14:textId="4E1009D7" w:rsidR="00F5088B" w:rsidRDefault="00F5088B" w:rsidP="00F5088B">
      <w:pPr>
        <w:pStyle w:val="Akapitzlist"/>
        <w:numPr>
          <w:ilvl w:val="0"/>
          <w:numId w:val="3"/>
        </w:numPr>
        <w:spacing w:after="0"/>
      </w:pPr>
      <w:r>
        <w:t>lustra drogowe okrągłe o wymiarach średnicy 500mm, 600mm, 700mm, 800mm, 900mm</w:t>
      </w:r>
    </w:p>
    <w:p w14:paraId="6D7A1794" w14:textId="77777777" w:rsidR="00F5088B" w:rsidRDefault="00F5088B" w:rsidP="00F5088B">
      <w:pPr>
        <w:pStyle w:val="Akapitzlist"/>
        <w:numPr>
          <w:ilvl w:val="0"/>
          <w:numId w:val="3"/>
        </w:numPr>
        <w:spacing w:after="0"/>
      </w:pPr>
      <w:r>
        <w:t>lustra drogowe prostokątne o wymiarach 400x600mm,. 600x8000mm, 800x1000mm</w:t>
      </w:r>
    </w:p>
    <w:p w14:paraId="45F2C3E1" w14:textId="77777777" w:rsidR="00F5088B" w:rsidRDefault="00F5088B" w:rsidP="00F5088B">
      <w:pPr>
        <w:spacing w:after="0"/>
      </w:pPr>
    </w:p>
    <w:p w14:paraId="73E7714F" w14:textId="155D1D2D" w:rsidR="00F5088B" w:rsidRPr="00AE32F9" w:rsidRDefault="00F5088B" w:rsidP="00AE32F9">
      <w:pPr>
        <w:pStyle w:val="Akapitzlist"/>
        <w:numPr>
          <w:ilvl w:val="1"/>
          <w:numId w:val="4"/>
        </w:numPr>
        <w:spacing w:after="0"/>
        <w:rPr>
          <w:b/>
          <w:bCs/>
        </w:rPr>
      </w:pPr>
      <w:r w:rsidRPr="00AE32F9">
        <w:rPr>
          <w:b/>
          <w:bCs/>
        </w:rPr>
        <w:t xml:space="preserve">Progi zwalniające </w:t>
      </w:r>
    </w:p>
    <w:p w14:paraId="4EDD283A" w14:textId="13AFAFEC" w:rsidR="00AE32F9" w:rsidRDefault="00AE32F9" w:rsidP="00AE32F9">
      <w:pPr>
        <w:pStyle w:val="Akapitzlist"/>
        <w:spacing w:after="0"/>
        <w:ind w:left="0"/>
      </w:pPr>
      <w:r>
        <w:t xml:space="preserve">Zgodnie z </w:t>
      </w:r>
      <w:r w:rsidR="004A1BFC">
        <w:t>załącznikiem nr 4</w:t>
      </w:r>
      <w:r>
        <w:t xml:space="preserve"> do rozporządzenia Ministra Infrastruktury z dnia 3 lipca 2003r</w:t>
      </w:r>
      <w:r w:rsidR="004A1BFC">
        <w:t>. punkt 8.1 P</w:t>
      </w:r>
      <w:r>
        <w:t>rogi zwalniając występują w dwóch kształtach;</w:t>
      </w:r>
    </w:p>
    <w:p w14:paraId="4FBDDD79" w14:textId="4EA023C9" w:rsidR="00AE32F9" w:rsidRDefault="00AE32F9" w:rsidP="00AE32F9">
      <w:pPr>
        <w:pStyle w:val="Akapitzlist"/>
        <w:numPr>
          <w:ilvl w:val="0"/>
          <w:numId w:val="6"/>
        </w:numPr>
        <w:spacing w:after="0"/>
      </w:pPr>
      <w:r>
        <w:t>listwowe:</w:t>
      </w:r>
    </w:p>
    <w:p w14:paraId="11A8F904" w14:textId="6D09DE25" w:rsidR="00AE32F9" w:rsidRDefault="00AE32F9" w:rsidP="00AE32F9">
      <w:pPr>
        <w:pStyle w:val="Akapitzlist"/>
        <w:numPr>
          <w:ilvl w:val="0"/>
          <w:numId w:val="7"/>
        </w:numPr>
        <w:spacing w:after="0"/>
      </w:pPr>
      <w:r>
        <w:t>liniowy próg listwowy o ograniczonej prędkości przejazdu 25-30 km/h – o długości w przekroju poprzecznym 3,7m i wysokości 10cm wyprofilowany łukiem o promieniu 17,2m</w:t>
      </w:r>
    </w:p>
    <w:p w14:paraId="2DCC4F99" w14:textId="432B80A9" w:rsidR="00AE32F9" w:rsidRDefault="00031D94" w:rsidP="00AE32F9">
      <w:pPr>
        <w:pStyle w:val="Akapitzlist"/>
        <w:numPr>
          <w:ilvl w:val="0"/>
          <w:numId w:val="7"/>
        </w:numPr>
        <w:spacing w:after="0"/>
      </w:pPr>
      <w:r>
        <w:t>l</w:t>
      </w:r>
      <w:r w:rsidR="00AE32F9">
        <w:t>iniowy próg listwowy o ograniczonej prędkości przejazdu 18-20 km/h – o długości w przekroju poprzecznym od 0,9m do 1,5m wysokości 7cm, wyprofilowany łukiem o promieniu 4,1m</w:t>
      </w:r>
    </w:p>
    <w:p w14:paraId="376AB310" w14:textId="17610A9D" w:rsidR="00031D94" w:rsidRDefault="00031D94" w:rsidP="00031D94">
      <w:pPr>
        <w:pStyle w:val="Akapitzlist"/>
        <w:numPr>
          <w:ilvl w:val="0"/>
          <w:numId w:val="6"/>
        </w:numPr>
        <w:spacing w:after="0"/>
      </w:pPr>
      <w:r>
        <w:t>płytkowe</w:t>
      </w:r>
    </w:p>
    <w:p w14:paraId="00E0F7A4" w14:textId="4B1DE3A0" w:rsidR="00031D94" w:rsidRDefault="00031D94" w:rsidP="00031D94">
      <w:pPr>
        <w:pStyle w:val="Akapitzlist"/>
        <w:numPr>
          <w:ilvl w:val="0"/>
          <w:numId w:val="8"/>
        </w:numPr>
        <w:spacing w:after="0"/>
      </w:pPr>
      <w:r>
        <w:t>liniowy próg zwalniający o ograniczonej prędkości przejazdu 25-30 km/h – o wysokości w poprzecznym przekroju 10cm, płycie głównej (środkowej) dłuższej niż 2m i elementach najazdowych o długości 1,5m wyprofilowane łukiem o promieniu 17,2m  lub elementach najazdowych wykonanych w kształcie trójkąta prostokątnego o podstawie 1m i wysokości 10cm</w:t>
      </w:r>
    </w:p>
    <w:p w14:paraId="54B2408C" w14:textId="4033B4F9" w:rsidR="00031D94" w:rsidRDefault="00031D94" w:rsidP="00031D94">
      <w:pPr>
        <w:spacing w:after="0"/>
      </w:pPr>
    </w:p>
    <w:p w14:paraId="1AB2883B" w14:textId="2D123F34" w:rsidR="00031D94" w:rsidRPr="001D158F" w:rsidRDefault="004A1BFC" w:rsidP="00031D94">
      <w:pPr>
        <w:pStyle w:val="Akapitzlist"/>
        <w:numPr>
          <w:ilvl w:val="1"/>
          <w:numId w:val="4"/>
        </w:numPr>
        <w:spacing w:after="0"/>
        <w:rPr>
          <w:b/>
          <w:bCs/>
        </w:rPr>
      </w:pPr>
      <w:r w:rsidRPr="001D158F">
        <w:rPr>
          <w:b/>
          <w:bCs/>
        </w:rPr>
        <w:t>Znaki pionowe</w:t>
      </w:r>
    </w:p>
    <w:p w14:paraId="300F7A52" w14:textId="020AE6BD" w:rsidR="004A1BFC" w:rsidRDefault="004A1BFC" w:rsidP="004A1BFC">
      <w:pPr>
        <w:pStyle w:val="Akapitzlist"/>
        <w:spacing w:after="0"/>
        <w:ind w:left="360"/>
      </w:pPr>
      <w:r>
        <w:t>Zgodnie z załącznikiem nr 1 do rozporządzenia Ministra Infrastruktury z dnia 3 Lipca 2003r. punkt 1.2, 1.3, 1.4</w:t>
      </w:r>
    </w:p>
    <w:p w14:paraId="77428260" w14:textId="122262E4" w:rsidR="004A1BFC" w:rsidRDefault="004A1BFC" w:rsidP="004A1BFC">
      <w:pPr>
        <w:pStyle w:val="Akapitzlist"/>
        <w:spacing w:after="0"/>
        <w:ind w:left="360"/>
      </w:pPr>
      <w:r w:rsidRPr="00290414">
        <w:rPr>
          <w:b/>
          <w:bCs/>
        </w:rPr>
        <w:lastRenderedPageBreak/>
        <w:t>Punkt 1.2</w:t>
      </w:r>
      <w:r>
        <w:t xml:space="preserve"> – Wielkość, wymiary i widoczność znaków – przedmiotem zamówienia są znaki </w:t>
      </w:r>
      <w:r w:rsidRPr="00290414">
        <w:rPr>
          <w:b/>
          <w:bCs/>
          <w:i/>
          <w:iCs/>
        </w:rPr>
        <w:t>małe i średnie.</w:t>
      </w:r>
      <w:r>
        <w:t xml:space="preserve"> Do wykonywania lic znaków należy stosować materiały odblaskowe typu 1,2 oraz folie pryzmatyczne. Odwrotna strona tarczy znaku i tabliczki, jeżeli nie jest wykorzystywana do  umieszczenia znaku dla jadących z przeciwnego kierunku, powinna mieć barwę szarą. Na odwrotnej stronie tarczy znaku należy umieścić informacje, zawierające dane identyfikujące producenta znaku</w:t>
      </w:r>
      <w:r w:rsidR="001D158F">
        <w:t>.</w:t>
      </w:r>
    </w:p>
    <w:p w14:paraId="4C388F9B" w14:textId="30EA11CA" w:rsidR="001D158F" w:rsidRDefault="001D158F" w:rsidP="004A1BFC">
      <w:pPr>
        <w:pStyle w:val="Akapitzlist"/>
        <w:spacing w:after="0"/>
        <w:ind w:left="360"/>
      </w:pPr>
    </w:p>
    <w:p w14:paraId="7CA92FAB" w14:textId="77777777" w:rsidR="001D158F" w:rsidRDefault="001D158F" w:rsidP="004A1BFC">
      <w:pPr>
        <w:pStyle w:val="Akapitzlist"/>
        <w:spacing w:after="0"/>
        <w:ind w:left="360"/>
      </w:pPr>
      <w:r w:rsidRPr="00290414">
        <w:rPr>
          <w:b/>
          <w:bCs/>
        </w:rPr>
        <w:t>Punkt 1.3</w:t>
      </w:r>
      <w:r>
        <w:t xml:space="preserve"> – Barwa i odblaskowość znaków – całość zamówienia zgodnie załącznikiem nr1 do rozporządzenia.</w:t>
      </w:r>
    </w:p>
    <w:p w14:paraId="0C001933" w14:textId="77777777" w:rsidR="001D158F" w:rsidRDefault="001D158F" w:rsidP="004A1BFC">
      <w:pPr>
        <w:pStyle w:val="Akapitzlist"/>
        <w:spacing w:after="0"/>
        <w:ind w:left="360"/>
      </w:pPr>
    </w:p>
    <w:p w14:paraId="646C881C" w14:textId="77777777" w:rsidR="001D158F" w:rsidRDefault="001D158F" w:rsidP="004A1BFC">
      <w:pPr>
        <w:pStyle w:val="Akapitzlist"/>
        <w:spacing w:after="0"/>
        <w:ind w:left="360"/>
      </w:pPr>
      <w:r w:rsidRPr="00290414">
        <w:rPr>
          <w:b/>
          <w:bCs/>
        </w:rPr>
        <w:t>Punkt 1.4</w:t>
      </w:r>
      <w:r>
        <w:t xml:space="preserve"> – Liternictwo znaków drogowych pionowych – całość zamówienia zgodnie załącznikiem nr 1 do rozporządzenia.</w:t>
      </w:r>
    </w:p>
    <w:p w14:paraId="059881CD" w14:textId="77777777" w:rsidR="001D158F" w:rsidRDefault="001D158F" w:rsidP="004A1BFC">
      <w:pPr>
        <w:pStyle w:val="Akapitzlist"/>
        <w:spacing w:after="0"/>
        <w:ind w:left="360"/>
      </w:pPr>
    </w:p>
    <w:p w14:paraId="1EB93C1D" w14:textId="0DB08804" w:rsidR="001D158F" w:rsidRPr="00290414" w:rsidRDefault="001D158F" w:rsidP="001D158F">
      <w:pPr>
        <w:pStyle w:val="Akapitzlist"/>
        <w:numPr>
          <w:ilvl w:val="0"/>
          <w:numId w:val="4"/>
        </w:numPr>
        <w:spacing w:after="0"/>
        <w:rPr>
          <w:b/>
          <w:bCs/>
        </w:rPr>
      </w:pPr>
      <w:r w:rsidRPr="00290414">
        <w:rPr>
          <w:b/>
          <w:bCs/>
        </w:rPr>
        <w:t>Wielkość przedmiotu zamówienia została określona szacunkowo. Zamawiający zgodnie z aktualnymi potrzebami, zastrzega sobie możliwość zmian ilościowych (zmniejszenie lub zwiększenie) zamawianych znaków drogowych pionowych i urządzeń bezpieczeństwa ruchu drogowego, jak również rezygnację z zamówień na poszczególne rodzaje (typy) znaków drogowych pionowych i urządzeń bezpieczeństwa ruchu drogowego, w stosunku do przewidywanej ilości objętej dostawą.</w:t>
      </w:r>
    </w:p>
    <w:p w14:paraId="485EA74B" w14:textId="4E6AFCE4" w:rsidR="001D158F" w:rsidRPr="00290414" w:rsidRDefault="001D158F" w:rsidP="001D158F">
      <w:pPr>
        <w:pStyle w:val="Akapitzlist"/>
        <w:numPr>
          <w:ilvl w:val="0"/>
          <w:numId w:val="4"/>
        </w:numPr>
        <w:spacing w:after="0"/>
        <w:rPr>
          <w:b/>
          <w:bCs/>
        </w:rPr>
      </w:pPr>
      <w:r w:rsidRPr="00290414">
        <w:rPr>
          <w:b/>
          <w:bCs/>
        </w:rPr>
        <w:t>Dostawy zamówionych znaków drogowych pionowych i urządzeń bezpieczeństwa ruchu drogowego, będą realizowane przez Wykonawcę sukcesywn</w:t>
      </w:r>
      <w:r w:rsidR="00290414" w:rsidRPr="00290414">
        <w:rPr>
          <w:b/>
          <w:bCs/>
        </w:rPr>
        <w:t>ie, według potrzeb zgłaszanych przez Zamawiającego, w całym okresie obowiązywania umowy.</w:t>
      </w:r>
    </w:p>
    <w:p w14:paraId="57D978BB" w14:textId="4CF983B0" w:rsidR="001D158F" w:rsidRDefault="001D158F" w:rsidP="004A1BFC">
      <w:pPr>
        <w:pStyle w:val="Akapitzlist"/>
        <w:spacing w:after="0"/>
        <w:ind w:left="360"/>
      </w:pPr>
    </w:p>
    <w:p w14:paraId="1B3DC40B" w14:textId="77777777" w:rsidR="001D158F" w:rsidRPr="00AE32F9" w:rsidRDefault="001D158F" w:rsidP="004A1BFC">
      <w:pPr>
        <w:pStyle w:val="Akapitzlist"/>
        <w:spacing w:after="0"/>
        <w:ind w:left="360"/>
      </w:pPr>
    </w:p>
    <w:sectPr w:rsidR="001D158F" w:rsidRPr="00AE32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BD989" w14:textId="77777777" w:rsidR="001D021A" w:rsidRDefault="001D021A" w:rsidP="00290414">
      <w:pPr>
        <w:spacing w:after="0" w:line="240" w:lineRule="auto"/>
      </w:pPr>
      <w:r>
        <w:separator/>
      </w:r>
    </w:p>
  </w:endnote>
  <w:endnote w:type="continuationSeparator" w:id="0">
    <w:p w14:paraId="723C7F79" w14:textId="77777777" w:rsidR="001D021A" w:rsidRDefault="001D021A" w:rsidP="0029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4522667"/>
      <w:docPartObj>
        <w:docPartGallery w:val="Page Numbers (Bottom of Page)"/>
        <w:docPartUnique/>
      </w:docPartObj>
    </w:sdtPr>
    <w:sdtEndPr/>
    <w:sdtContent>
      <w:p w14:paraId="511AB18A" w14:textId="610C51A3" w:rsidR="00290414" w:rsidRDefault="0029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D6C312" w14:textId="77777777" w:rsidR="00290414" w:rsidRDefault="00290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8963" w14:textId="77777777" w:rsidR="001D021A" w:rsidRDefault="001D021A" w:rsidP="00290414">
      <w:pPr>
        <w:spacing w:after="0" w:line="240" w:lineRule="auto"/>
      </w:pPr>
      <w:r>
        <w:separator/>
      </w:r>
    </w:p>
  </w:footnote>
  <w:footnote w:type="continuationSeparator" w:id="0">
    <w:p w14:paraId="6ACC258F" w14:textId="77777777" w:rsidR="001D021A" w:rsidRDefault="001D021A" w:rsidP="00290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D2A"/>
    <w:multiLevelType w:val="hybridMultilevel"/>
    <w:tmpl w:val="73F4EE76"/>
    <w:lvl w:ilvl="0" w:tplc="CEA045A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7835C09"/>
    <w:multiLevelType w:val="hybridMultilevel"/>
    <w:tmpl w:val="C60A0402"/>
    <w:lvl w:ilvl="0" w:tplc="A97448A8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52D085E"/>
    <w:multiLevelType w:val="hybridMultilevel"/>
    <w:tmpl w:val="83F48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76B74"/>
    <w:multiLevelType w:val="multilevel"/>
    <w:tmpl w:val="87A64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EC56E8A"/>
    <w:multiLevelType w:val="multilevel"/>
    <w:tmpl w:val="F75C12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287991"/>
    <w:multiLevelType w:val="hybridMultilevel"/>
    <w:tmpl w:val="FB72D1A8"/>
    <w:lvl w:ilvl="0" w:tplc="DDDE2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256188"/>
    <w:multiLevelType w:val="hybridMultilevel"/>
    <w:tmpl w:val="8C923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07635"/>
    <w:multiLevelType w:val="hybridMultilevel"/>
    <w:tmpl w:val="FD50A708"/>
    <w:lvl w:ilvl="0" w:tplc="49ACA46A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F7"/>
    <w:rsid w:val="00031D94"/>
    <w:rsid w:val="00156EB2"/>
    <w:rsid w:val="001D021A"/>
    <w:rsid w:val="001D158F"/>
    <w:rsid w:val="00290414"/>
    <w:rsid w:val="0041520E"/>
    <w:rsid w:val="00446FE6"/>
    <w:rsid w:val="004A1BFC"/>
    <w:rsid w:val="0050683B"/>
    <w:rsid w:val="006776D5"/>
    <w:rsid w:val="00752759"/>
    <w:rsid w:val="00892348"/>
    <w:rsid w:val="00A41DF7"/>
    <w:rsid w:val="00AA25F8"/>
    <w:rsid w:val="00AA799C"/>
    <w:rsid w:val="00AE32F9"/>
    <w:rsid w:val="00B34528"/>
    <w:rsid w:val="00B52C66"/>
    <w:rsid w:val="00F464B8"/>
    <w:rsid w:val="00F5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50A0"/>
  <w15:chartTrackingRefBased/>
  <w15:docId w15:val="{23E9517A-7B76-4636-926C-8C7FF7E9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9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414"/>
  </w:style>
  <w:style w:type="paragraph" w:styleId="Stopka">
    <w:name w:val="footer"/>
    <w:basedOn w:val="Normalny"/>
    <w:link w:val="StopkaZnak"/>
    <w:uiPriority w:val="99"/>
    <w:unhideWhenUsed/>
    <w:rsid w:val="0029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7</cp:revision>
  <dcterms:created xsi:type="dcterms:W3CDTF">2021-05-12T11:55:00Z</dcterms:created>
  <dcterms:modified xsi:type="dcterms:W3CDTF">2021-05-13T09:53:00Z</dcterms:modified>
</cp:coreProperties>
</file>