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D60F" w14:textId="77777777" w:rsidR="00F072E7" w:rsidRDefault="00F072E7" w:rsidP="00F072E7">
      <w:pPr>
        <w:jc w:val="right"/>
        <w:rPr>
          <w:rFonts w:cstheme="minorHAnsi"/>
        </w:rPr>
      </w:pPr>
      <w:r w:rsidRPr="00F072E7">
        <w:rPr>
          <w:rFonts w:cstheme="minorHAnsi"/>
        </w:rPr>
        <w:t xml:space="preserve">Załącznik nr 1 do Umowy……….……………. </w:t>
      </w:r>
    </w:p>
    <w:p w14:paraId="1F85D531" w14:textId="333754AF" w:rsidR="00F072E7" w:rsidRPr="00F072E7" w:rsidRDefault="003229FA" w:rsidP="00CE0E37">
      <w:pPr>
        <w:jc w:val="right"/>
        <w:rPr>
          <w:rFonts w:cstheme="minorHAnsi"/>
        </w:rPr>
      </w:pPr>
      <w:r>
        <w:rPr>
          <w:rFonts w:cstheme="minorHAnsi"/>
        </w:rPr>
        <w:t>Część II</w:t>
      </w:r>
      <w:bookmarkStart w:id="0" w:name="_GoBack"/>
      <w:bookmarkEnd w:id="0"/>
    </w:p>
    <w:p w14:paraId="685EA309" w14:textId="505289D5" w:rsidR="00F072E7" w:rsidRPr="00CE0E37" w:rsidRDefault="00F072E7" w:rsidP="00CE0E37">
      <w:pPr>
        <w:pStyle w:val="Nagwek2"/>
        <w:tabs>
          <w:tab w:val="left" w:pos="709"/>
        </w:tabs>
        <w:spacing w:after="120" w:line="276" w:lineRule="auto"/>
        <w:jc w:val="center"/>
        <w:rPr>
          <w:rFonts w:asciiTheme="minorHAnsi" w:hAnsiTheme="minorHAnsi" w:cstheme="minorHAnsi"/>
          <w:color w:val="auto"/>
          <w:sz w:val="24"/>
          <w:szCs w:val="24"/>
        </w:rPr>
      </w:pPr>
      <w:r w:rsidRPr="00F072E7">
        <w:rPr>
          <w:rFonts w:asciiTheme="minorHAnsi" w:hAnsiTheme="minorHAnsi" w:cstheme="minorHAnsi"/>
          <w:color w:val="auto"/>
          <w:sz w:val="24"/>
          <w:szCs w:val="24"/>
        </w:rPr>
        <w:t xml:space="preserve">Opis przedmiotu zamówienia </w:t>
      </w:r>
    </w:p>
    <w:p w14:paraId="7DF1F6FA" w14:textId="6CA74E64" w:rsidR="00F072E7" w:rsidRPr="00CE0E37" w:rsidRDefault="00F072E7" w:rsidP="00CE0E37">
      <w:pPr>
        <w:spacing w:after="120" w:line="276" w:lineRule="auto"/>
        <w:jc w:val="both"/>
        <w:rPr>
          <w:rFonts w:cstheme="minorHAnsi"/>
          <w:b/>
        </w:rPr>
      </w:pPr>
      <w:r w:rsidRPr="00F072E7">
        <w:rPr>
          <w:rFonts w:cstheme="minorHAnsi"/>
          <w:b/>
        </w:rPr>
        <w:t>Wykonawca dostarczy TOWAR zakupiony dla Miejski Ośrodek Pomocy Rodzinie w Poznaniu ul. Cześnikowska 18, 60-330 Poznań. Dostarczony TOWAR będzie spełniał niżej wymienione wymogi:</w:t>
      </w:r>
    </w:p>
    <w:tbl>
      <w:tblPr>
        <w:tblW w:w="9622" w:type="dxa"/>
        <w:tblInd w:w="-18" w:type="dxa"/>
        <w:tblLayout w:type="fixed"/>
        <w:tblCellMar>
          <w:left w:w="70" w:type="dxa"/>
          <w:right w:w="70" w:type="dxa"/>
        </w:tblCellMar>
        <w:tblLook w:val="04A0" w:firstRow="1" w:lastRow="0" w:firstColumn="1" w:lastColumn="0" w:noHBand="0" w:noVBand="1"/>
      </w:tblPr>
      <w:tblGrid>
        <w:gridCol w:w="1081"/>
        <w:gridCol w:w="709"/>
        <w:gridCol w:w="851"/>
        <w:gridCol w:w="6981"/>
      </w:tblGrid>
      <w:tr w:rsidR="00F072E7" w:rsidRPr="00F072E7" w14:paraId="3A395CD2" w14:textId="77777777" w:rsidTr="00F072E7">
        <w:trPr>
          <w:trHeight w:val="526"/>
        </w:trPr>
        <w:tc>
          <w:tcPr>
            <w:tcW w:w="10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9CC4FD" w14:textId="2639D27A" w:rsidR="00F072E7" w:rsidRPr="00F072E7" w:rsidRDefault="00F072E7" w:rsidP="0095358E">
            <w:pPr>
              <w:spacing w:line="276" w:lineRule="auto"/>
              <w:rPr>
                <w:rFonts w:cstheme="minorHAnsi"/>
                <w:b/>
              </w:rPr>
            </w:pPr>
            <w:r w:rsidRPr="00F072E7">
              <w:rPr>
                <w:rFonts w:cstheme="minorHAnsi"/>
                <w:b/>
              </w:rPr>
              <w:t>nazwa</w:t>
            </w:r>
          </w:p>
        </w:tc>
        <w:tc>
          <w:tcPr>
            <w:tcW w:w="70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EDD97DA" w14:textId="77777777" w:rsidR="00F072E7" w:rsidRPr="00F072E7" w:rsidRDefault="00F072E7" w:rsidP="0095358E">
            <w:pPr>
              <w:spacing w:line="276" w:lineRule="auto"/>
              <w:rPr>
                <w:rFonts w:cstheme="minorHAnsi"/>
                <w:b/>
              </w:rPr>
            </w:pPr>
            <w:r w:rsidRPr="00F072E7">
              <w:rPr>
                <w:rFonts w:cstheme="minorHAnsi"/>
                <w:b/>
              </w:rPr>
              <w:t>J.m.</w:t>
            </w:r>
          </w:p>
        </w:tc>
        <w:tc>
          <w:tcPr>
            <w:tcW w:w="851"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177337" w14:textId="77777777" w:rsidR="00F072E7" w:rsidRPr="00F072E7" w:rsidRDefault="00F072E7" w:rsidP="0095358E">
            <w:pPr>
              <w:spacing w:line="276" w:lineRule="auto"/>
              <w:jc w:val="center"/>
              <w:rPr>
                <w:rFonts w:cstheme="minorHAnsi"/>
                <w:b/>
              </w:rPr>
            </w:pPr>
            <w:r w:rsidRPr="00F072E7">
              <w:rPr>
                <w:rFonts w:cstheme="minorHAnsi"/>
                <w:b/>
              </w:rPr>
              <w:t>Ilość</w:t>
            </w:r>
          </w:p>
        </w:tc>
        <w:tc>
          <w:tcPr>
            <w:tcW w:w="6981"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ABE9EA" w14:textId="77777777" w:rsidR="00F072E7" w:rsidRPr="00F072E7" w:rsidRDefault="00F072E7" w:rsidP="0095358E">
            <w:pPr>
              <w:spacing w:line="276" w:lineRule="auto"/>
              <w:rPr>
                <w:rFonts w:cstheme="minorHAnsi"/>
              </w:rPr>
            </w:pPr>
            <w:r w:rsidRPr="00F072E7">
              <w:rPr>
                <w:rFonts w:cstheme="minorHAnsi"/>
                <w:b/>
                <w:bCs/>
              </w:rPr>
              <w:t>Szczegółowy opis przedmiotu zamówienia</w:t>
            </w:r>
          </w:p>
        </w:tc>
      </w:tr>
      <w:tr w:rsidR="00F072E7" w:rsidRPr="00F072E7" w14:paraId="15EBF243" w14:textId="77777777" w:rsidTr="00F072E7">
        <w:trPr>
          <w:trHeight w:val="4607"/>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45AAC193" w14:textId="18D0C54D" w:rsidR="00F072E7" w:rsidRPr="00F072E7" w:rsidRDefault="00F072E7" w:rsidP="0095358E">
            <w:pPr>
              <w:spacing w:line="276" w:lineRule="auto"/>
              <w:jc w:val="both"/>
              <w:rPr>
                <w:rFonts w:eastAsia="Times New Roman" w:cstheme="minorHAnsi"/>
                <w:lang w:eastAsia="pl-PL"/>
              </w:rPr>
            </w:pPr>
            <w:r w:rsidRPr="00F072E7">
              <w:rPr>
                <w:rFonts w:eastAsia="Times New Roman" w:cstheme="minorHAnsi"/>
                <w:lang w:eastAsia="pl-PL"/>
              </w:rPr>
              <w:t>Zasilacz UPS</w:t>
            </w:r>
          </w:p>
        </w:tc>
        <w:tc>
          <w:tcPr>
            <w:tcW w:w="709" w:type="dxa"/>
            <w:tcBorders>
              <w:top w:val="nil"/>
              <w:left w:val="nil"/>
              <w:bottom w:val="single" w:sz="4" w:space="0" w:color="auto"/>
              <w:right w:val="single" w:sz="4" w:space="0" w:color="auto"/>
            </w:tcBorders>
            <w:shd w:val="clear" w:color="auto" w:fill="auto"/>
            <w:noWrap/>
            <w:vAlign w:val="center"/>
          </w:tcPr>
          <w:p w14:paraId="678838C1" w14:textId="77777777" w:rsidR="00F072E7" w:rsidRPr="00F072E7" w:rsidRDefault="00F072E7" w:rsidP="0095358E">
            <w:pPr>
              <w:spacing w:line="276" w:lineRule="auto"/>
              <w:jc w:val="both"/>
              <w:rPr>
                <w:rFonts w:cstheme="minorHAnsi"/>
              </w:rPr>
            </w:pPr>
            <w:r w:rsidRPr="00F072E7">
              <w:rPr>
                <w:rFonts w:cstheme="minorHAnsi"/>
              </w:rPr>
              <w:t>szt.</w:t>
            </w:r>
          </w:p>
        </w:tc>
        <w:tc>
          <w:tcPr>
            <w:tcW w:w="851" w:type="dxa"/>
            <w:tcBorders>
              <w:top w:val="nil"/>
              <w:left w:val="nil"/>
              <w:bottom w:val="single" w:sz="4" w:space="0" w:color="auto"/>
              <w:right w:val="single" w:sz="4" w:space="0" w:color="auto"/>
            </w:tcBorders>
            <w:shd w:val="clear" w:color="auto" w:fill="auto"/>
            <w:noWrap/>
            <w:vAlign w:val="center"/>
          </w:tcPr>
          <w:p w14:paraId="6FF62392" w14:textId="77777777" w:rsidR="00F072E7" w:rsidRPr="00F072E7" w:rsidRDefault="00F072E7" w:rsidP="0095358E">
            <w:pPr>
              <w:spacing w:line="276" w:lineRule="auto"/>
              <w:jc w:val="both"/>
              <w:rPr>
                <w:rFonts w:cstheme="minorHAnsi"/>
              </w:rPr>
            </w:pPr>
            <w:r w:rsidRPr="00F072E7">
              <w:rPr>
                <w:rFonts w:cstheme="minorHAnsi"/>
              </w:rPr>
              <w:t>8</w:t>
            </w:r>
          </w:p>
        </w:tc>
        <w:tc>
          <w:tcPr>
            <w:tcW w:w="6981" w:type="dxa"/>
            <w:tcBorders>
              <w:top w:val="nil"/>
              <w:left w:val="nil"/>
              <w:bottom w:val="single" w:sz="4" w:space="0" w:color="auto"/>
              <w:right w:val="single" w:sz="4" w:space="0" w:color="auto"/>
            </w:tcBorders>
            <w:shd w:val="clear" w:color="auto" w:fill="auto"/>
            <w:vAlign w:val="center"/>
          </w:tcPr>
          <w:p w14:paraId="50BF819D" w14:textId="77777777" w:rsidR="00F072E7" w:rsidRPr="00F072E7" w:rsidRDefault="00F072E7" w:rsidP="0095358E">
            <w:pPr>
              <w:spacing w:line="276" w:lineRule="auto"/>
              <w:jc w:val="both"/>
              <w:rPr>
                <w:rFonts w:cstheme="minorHAnsi"/>
              </w:rPr>
            </w:pPr>
            <w:r w:rsidRPr="00F072E7">
              <w:rPr>
                <w:rFonts w:cstheme="minorHAnsi"/>
              </w:rPr>
              <w:t xml:space="preserve">Wykonawca zobowiązany jest dostarczyć </w:t>
            </w:r>
            <w:proofErr w:type="spellStart"/>
            <w:r w:rsidRPr="00F072E7">
              <w:rPr>
                <w:rFonts w:cstheme="minorHAnsi"/>
              </w:rPr>
              <w:t>UPS`y</w:t>
            </w:r>
            <w:proofErr w:type="spellEnd"/>
            <w:r w:rsidRPr="00F072E7">
              <w:rPr>
                <w:rFonts w:cstheme="minorHAnsi"/>
              </w:rPr>
              <w:t xml:space="preserve"> o poniższych parametrach:</w:t>
            </w:r>
          </w:p>
          <w:p w14:paraId="5DDC3B53"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Topologia UPS – podwójnej konwersji (online)</w:t>
            </w:r>
          </w:p>
          <w:p w14:paraId="64DCD071"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Moc rzeczywista – min. 1980W</w:t>
            </w:r>
          </w:p>
          <w:p w14:paraId="06357178"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Napięcie operacyjne wejścia 150 V – 280 V</w:t>
            </w:r>
          </w:p>
          <w:p w14:paraId="4B4ECA15"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 xml:space="preserve">Częstotliwość danych wejściowych – 40 – 70 </w:t>
            </w:r>
            <w:proofErr w:type="spellStart"/>
            <w:r w:rsidRPr="00F072E7">
              <w:rPr>
                <w:rFonts w:asciiTheme="minorHAnsi" w:hAnsiTheme="minorHAnsi" w:cstheme="minorHAnsi"/>
                <w:sz w:val="24"/>
                <w:szCs w:val="24"/>
              </w:rPr>
              <w:t>Hz</w:t>
            </w:r>
            <w:proofErr w:type="spellEnd"/>
          </w:p>
          <w:p w14:paraId="28AB5807"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Napięcie operacyjne wyjścia 220 V – 240 V</w:t>
            </w:r>
          </w:p>
          <w:p w14:paraId="505CDA8F"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Awaryjne wyłączenie zasilania – tak</w:t>
            </w:r>
          </w:p>
          <w:p w14:paraId="15398DDF"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Słyszalny alarm – tak</w:t>
            </w:r>
          </w:p>
          <w:p w14:paraId="5C046965" w14:textId="10241A94"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 xml:space="preserve">Ilość gniazd sieciowych – min. </w:t>
            </w:r>
            <w:r w:rsidR="00EB2403">
              <w:rPr>
                <w:rFonts w:asciiTheme="minorHAnsi" w:hAnsiTheme="minorHAnsi" w:cstheme="minorHAnsi"/>
                <w:sz w:val="24"/>
                <w:szCs w:val="24"/>
              </w:rPr>
              <w:t>6</w:t>
            </w:r>
          </w:p>
          <w:p w14:paraId="304C292D"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Ilość portów Ethernet LAN (RJ-45) – 1</w:t>
            </w:r>
          </w:p>
          <w:p w14:paraId="74D462E2"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 xml:space="preserve">Pojemność baterii – min. 360 </w:t>
            </w:r>
            <w:proofErr w:type="spellStart"/>
            <w:r w:rsidRPr="00F072E7">
              <w:rPr>
                <w:rFonts w:asciiTheme="minorHAnsi" w:hAnsiTheme="minorHAnsi" w:cstheme="minorHAnsi"/>
                <w:sz w:val="24"/>
                <w:szCs w:val="24"/>
              </w:rPr>
              <w:t>VAh</w:t>
            </w:r>
            <w:proofErr w:type="spellEnd"/>
          </w:p>
          <w:p w14:paraId="155C1804" w14:textId="77777777" w:rsidR="00F072E7" w:rsidRPr="00F072E7" w:rsidRDefault="00F072E7" w:rsidP="0095358E">
            <w:pPr>
              <w:pStyle w:val="Akapitzlist"/>
              <w:numPr>
                <w:ilvl w:val="0"/>
                <w:numId w:val="2"/>
              </w:numPr>
              <w:jc w:val="both"/>
              <w:rPr>
                <w:rFonts w:asciiTheme="minorHAnsi" w:hAnsiTheme="minorHAnsi" w:cstheme="minorHAnsi"/>
                <w:sz w:val="24"/>
                <w:szCs w:val="24"/>
              </w:rPr>
            </w:pPr>
            <w:r w:rsidRPr="00F072E7">
              <w:rPr>
                <w:rFonts w:asciiTheme="minorHAnsi" w:hAnsiTheme="minorHAnsi" w:cstheme="minorHAnsi"/>
                <w:sz w:val="24"/>
                <w:szCs w:val="24"/>
              </w:rPr>
              <w:t>Układ – RACK19</w:t>
            </w:r>
          </w:p>
          <w:p w14:paraId="0912163E" w14:textId="77777777" w:rsidR="00F072E7" w:rsidRPr="00F072E7" w:rsidRDefault="00F072E7" w:rsidP="0095358E">
            <w:pPr>
              <w:pStyle w:val="Akapitzlist"/>
              <w:numPr>
                <w:ilvl w:val="0"/>
                <w:numId w:val="2"/>
              </w:numPr>
              <w:jc w:val="both"/>
              <w:rPr>
                <w:rFonts w:asciiTheme="minorHAnsi" w:eastAsia="Times New Roman" w:hAnsiTheme="minorHAnsi" w:cstheme="minorHAnsi"/>
                <w:sz w:val="24"/>
                <w:szCs w:val="24"/>
                <w:lang w:eastAsia="pl-PL"/>
              </w:rPr>
            </w:pPr>
            <w:r w:rsidRPr="00F072E7">
              <w:rPr>
                <w:rFonts w:asciiTheme="minorHAnsi" w:hAnsiTheme="minorHAnsi" w:cstheme="minorHAnsi"/>
                <w:sz w:val="24"/>
                <w:szCs w:val="24"/>
              </w:rPr>
              <w:t>Pojemność stelaża – max. 2U</w:t>
            </w:r>
          </w:p>
        </w:tc>
      </w:tr>
    </w:tbl>
    <w:p w14:paraId="17B9AE7D" w14:textId="77777777" w:rsidR="00F072E7" w:rsidRPr="00F072E7" w:rsidRDefault="00F072E7" w:rsidP="00F072E7">
      <w:pPr>
        <w:pStyle w:val="Nagwek1"/>
        <w:spacing w:line="276" w:lineRule="auto"/>
        <w:rPr>
          <w:rFonts w:asciiTheme="minorHAnsi" w:hAnsiTheme="minorHAnsi" w:cstheme="minorHAnsi"/>
          <w:b/>
          <w:color w:val="auto"/>
          <w:sz w:val="24"/>
          <w:szCs w:val="24"/>
        </w:rPr>
      </w:pPr>
      <w:r w:rsidRPr="00F072E7">
        <w:rPr>
          <w:rFonts w:asciiTheme="minorHAnsi" w:hAnsiTheme="minorHAnsi" w:cstheme="minorHAnsi"/>
          <w:b/>
          <w:color w:val="auto"/>
          <w:sz w:val="24"/>
          <w:szCs w:val="24"/>
        </w:rPr>
        <w:t>Uwaga !</w:t>
      </w:r>
    </w:p>
    <w:p w14:paraId="4967A316" w14:textId="77777777" w:rsidR="00F072E7" w:rsidRPr="00F072E7" w:rsidRDefault="00F072E7" w:rsidP="00F072E7">
      <w:pPr>
        <w:numPr>
          <w:ilvl w:val="0"/>
          <w:numId w:val="1"/>
        </w:numPr>
        <w:suppressAutoHyphens/>
        <w:spacing w:line="276" w:lineRule="auto"/>
        <w:jc w:val="both"/>
        <w:rPr>
          <w:rFonts w:cstheme="minorHAnsi"/>
        </w:rPr>
      </w:pPr>
      <w:r w:rsidRPr="00F072E7">
        <w:rPr>
          <w:rFonts w:eastAsia="Calibri" w:cstheme="minorHAnsi"/>
          <w:color w:val="0D0D0D"/>
        </w:rPr>
        <w:t>Zamawiający nie wyraża zgody aby zaproponowane urządzenia były prototypami. Zamawiający wymaga aby zaproponowane urządzenia były fabrycznie nowe, nieużywane, nieuszkodzone, nieobciążone prawami osób trzecich, pierwszej jakości.</w:t>
      </w:r>
    </w:p>
    <w:p w14:paraId="27E86D3E" w14:textId="77777777" w:rsidR="00F072E7" w:rsidRPr="00F072E7" w:rsidRDefault="00F072E7" w:rsidP="00F072E7">
      <w:pPr>
        <w:pStyle w:val="Akapitzlist1"/>
        <w:numPr>
          <w:ilvl w:val="0"/>
          <w:numId w:val="1"/>
        </w:numPr>
        <w:spacing w:after="0"/>
        <w:jc w:val="both"/>
        <w:rPr>
          <w:rFonts w:asciiTheme="minorHAnsi" w:hAnsiTheme="minorHAnsi" w:cstheme="minorHAnsi"/>
          <w:color w:val="0D0D0D"/>
          <w:sz w:val="24"/>
          <w:szCs w:val="24"/>
        </w:rPr>
      </w:pPr>
      <w:r w:rsidRPr="00F072E7">
        <w:rPr>
          <w:rFonts w:asciiTheme="minorHAnsi" w:hAnsiTheme="minorHAnsi" w:cstheme="minorHAnsi"/>
          <w:sz w:val="24"/>
          <w:szCs w:val="24"/>
        </w:rPr>
        <w:t>Wszystkie urządzenia muszą posiadać znak CE oraz być zgodne z normami i dyrektywami dopuszczającymi do stosowania w Unii Europejskiej.</w:t>
      </w:r>
    </w:p>
    <w:p w14:paraId="4794E71B" w14:textId="77777777" w:rsidR="00CE0E37" w:rsidRDefault="00F072E7" w:rsidP="00CE0E37">
      <w:pPr>
        <w:pStyle w:val="Tekstpodstawowy"/>
        <w:numPr>
          <w:ilvl w:val="0"/>
          <w:numId w:val="1"/>
        </w:numPr>
        <w:suppressAutoHyphens/>
        <w:spacing w:after="0" w:line="276" w:lineRule="auto"/>
        <w:jc w:val="both"/>
        <w:rPr>
          <w:rFonts w:cstheme="minorHAnsi"/>
        </w:rPr>
      </w:pPr>
      <w:r w:rsidRPr="00F072E7">
        <w:rPr>
          <w:rFonts w:cstheme="minorHAnsi"/>
        </w:rPr>
        <w:t>Opisując przedmiot zamówienia Zamawiający dąży do zapewnienia zachowania uczciwej konkurencji i równego traktowania Wykonawców, zgodnie z zasadami proporcjonalności i przejrzystości. Przedmiotu zamówienia nie opisano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Ponadto, nie zawarto w nim norm, ocen technicznych, aprobat, specyfikacji technicznych i systemów referencji technicznych.</w:t>
      </w:r>
    </w:p>
    <w:p w14:paraId="79F6472A" w14:textId="3672C975" w:rsidR="00F072E7" w:rsidRPr="00CE0E37" w:rsidRDefault="00F072E7" w:rsidP="00CE0E37">
      <w:pPr>
        <w:pStyle w:val="Tekstpodstawowy"/>
        <w:numPr>
          <w:ilvl w:val="0"/>
          <w:numId w:val="1"/>
        </w:numPr>
        <w:suppressAutoHyphens/>
        <w:spacing w:after="0" w:line="276" w:lineRule="auto"/>
        <w:jc w:val="both"/>
        <w:rPr>
          <w:rFonts w:cstheme="minorHAnsi"/>
        </w:rPr>
      </w:pPr>
      <w:r w:rsidRPr="00CE0E37">
        <w:rPr>
          <w:rFonts w:cstheme="minorHAnsi"/>
        </w:rPr>
        <w:t>Wykonawca zobowiązuje się wraz z dostawą urządzeń, sprzętu oraz wszelkich niezbędnych elementów dostarczyć w dniu dostawy dokumentacje techniczne.</w:t>
      </w:r>
    </w:p>
    <w:sectPr w:rsidR="00F072E7" w:rsidRPr="00CE0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E9A451C"/>
    <w:name w:val="WWNum1"/>
    <w:lvl w:ilvl="0">
      <w:start w:val="1"/>
      <w:numFmt w:val="decimal"/>
      <w:lvlText w:val="%1."/>
      <w:lvlJc w:val="left"/>
      <w:pPr>
        <w:tabs>
          <w:tab w:val="num" w:pos="0"/>
        </w:tabs>
        <w:ind w:left="360" w:hanging="360"/>
      </w:pPr>
      <w:rPr>
        <w:rFonts w:ascii="Times New Roman" w:hAnsi="Times New Roman" w:cs="Times New Roman" w:hint="default"/>
        <w:b/>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2D0D799D"/>
    <w:multiLevelType w:val="hybridMultilevel"/>
    <w:tmpl w:val="940ACA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5034"/>
    <w:rsid w:val="003229FA"/>
    <w:rsid w:val="004C5034"/>
    <w:rsid w:val="00521C14"/>
    <w:rsid w:val="00877902"/>
    <w:rsid w:val="008B11D4"/>
    <w:rsid w:val="00CE0E37"/>
    <w:rsid w:val="00E30110"/>
    <w:rsid w:val="00EB2403"/>
    <w:rsid w:val="00F072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0273"/>
  <w15:chartTrackingRefBased/>
  <w15:docId w15:val="{2325B62D-364D-49F0-9C73-8217A5CE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2E7"/>
    <w:pPr>
      <w:spacing w:after="0" w:line="240" w:lineRule="auto"/>
    </w:pPr>
    <w:rPr>
      <w:kern w:val="0"/>
      <w:sz w:val="24"/>
      <w:szCs w:val="24"/>
    </w:rPr>
  </w:style>
  <w:style w:type="paragraph" w:styleId="Nagwek1">
    <w:name w:val="heading 1"/>
    <w:basedOn w:val="Normalny"/>
    <w:next w:val="Normalny"/>
    <w:link w:val="Nagwek1Znak"/>
    <w:uiPriority w:val="9"/>
    <w:qFormat/>
    <w:rsid w:val="00F072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072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2E7"/>
    <w:rPr>
      <w:rFonts w:asciiTheme="majorHAnsi" w:eastAsiaTheme="majorEastAsia" w:hAnsiTheme="majorHAnsi" w:cstheme="majorBidi"/>
      <w:color w:val="2F5496" w:themeColor="accent1" w:themeShade="BF"/>
      <w:kern w:val="0"/>
      <w:sz w:val="32"/>
      <w:szCs w:val="32"/>
    </w:rPr>
  </w:style>
  <w:style w:type="paragraph" w:styleId="Akapitzlist">
    <w:name w:val="List Paragraph"/>
    <w:basedOn w:val="Normalny"/>
    <w:uiPriority w:val="34"/>
    <w:qFormat/>
    <w:rsid w:val="00F072E7"/>
    <w:pPr>
      <w:spacing w:after="200" w:line="276" w:lineRule="auto"/>
      <w:ind w:left="720"/>
      <w:contextualSpacing/>
    </w:pPr>
    <w:rPr>
      <w:rFonts w:ascii="Calibri" w:eastAsia="Calibri" w:hAnsi="Calibri" w:cs="Times New Roman"/>
      <w:sz w:val="22"/>
      <w:szCs w:val="22"/>
    </w:rPr>
  </w:style>
  <w:style w:type="paragraph" w:styleId="Tekstpodstawowy">
    <w:name w:val="Body Text"/>
    <w:basedOn w:val="Normalny"/>
    <w:link w:val="TekstpodstawowyZnak"/>
    <w:uiPriority w:val="99"/>
    <w:unhideWhenUsed/>
    <w:rsid w:val="00F072E7"/>
    <w:pPr>
      <w:spacing w:after="120"/>
    </w:pPr>
  </w:style>
  <w:style w:type="character" w:customStyle="1" w:styleId="TekstpodstawowyZnak">
    <w:name w:val="Tekst podstawowy Znak"/>
    <w:basedOn w:val="Domylnaczcionkaakapitu"/>
    <w:link w:val="Tekstpodstawowy"/>
    <w:uiPriority w:val="99"/>
    <w:rsid w:val="00F072E7"/>
    <w:rPr>
      <w:kern w:val="0"/>
      <w:sz w:val="24"/>
      <w:szCs w:val="24"/>
    </w:rPr>
  </w:style>
  <w:style w:type="paragraph" w:customStyle="1" w:styleId="Akapitzlist1">
    <w:name w:val="Akapit z listą1"/>
    <w:basedOn w:val="Normalny"/>
    <w:rsid w:val="00F072E7"/>
    <w:pPr>
      <w:suppressAutoHyphens/>
      <w:spacing w:after="200" w:line="276" w:lineRule="auto"/>
      <w:ind w:left="720"/>
    </w:pPr>
    <w:rPr>
      <w:rFonts w:ascii="Calibri" w:eastAsia="Calibri" w:hAnsi="Calibri" w:cs="Times New Roman"/>
      <w:sz w:val="22"/>
      <w:szCs w:val="22"/>
      <w:lang w:eastAsia="ar-SA"/>
    </w:rPr>
  </w:style>
  <w:style w:type="character" w:customStyle="1" w:styleId="Nagwek2Znak">
    <w:name w:val="Nagłówek 2 Znak"/>
    <w:basedOn w:val="Domylnaczcionkaakapitu"/>
    <w:link w:val="Nagwek2"/>
    <w:uiPriority w:val="9"/>
    <w:rsid w:val="00F072E7"/>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288</Words>
  <Characters>1729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Mach-Zgórecka</dc:creator>
  <cp:keywords/>
  <dc:description/>
  <cp:lastModifiedBy>Sylwia Kępa</cp:lastModifiedBy>
  <cp:revision>8</cp:revision>
  <dcterms:created xsi:type="dcterms:W3CDTF">2023-11-03T12:00:00Z</dcterms:created>
  <dcterms:modified xsi:type="dcterms:W3CDTF">2024-01-17T10:37:00Z</dcterms:modified>
</cp:coreProperties>
</file>