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AD" w:rsidRDefault="00A018AD">
      <w:pPr>
        <w:suppressAutoHyphens/>
        <w:spacing w:line="360" w:lineRule="auto"/>
        <w:ind w:left="426" w:hanging="426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zh-CN"/>
        </w:rPr>
      </w:pPr>
    </w:p>
    <w:p w:rsidR="00A018AD" w:rsidRDefault="00E02B6F">
      <w:pPr>
        <w:widowControl w:val="0"/>
        <w:spacing w:before="81"/>
        <w:ind w:left="6473"/>
        <w:jc w:val="right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Barciany, 08.12.2022 r.</w:t>
      </w:r>
    </w:p>
    <w:p w:rsidR="00A018AD" w:rsidRDefault="00A018AD">
      <w:pPr>
        <w:widowControl w:val="0"/>
        <w:spacing w:before="3"/>
        <w:rPr>
          <w:rFonts w:ascii="Liberation Serif" w:eastAsia="Liberation Serif" w:hAnsi="Liberation Serif" w:cs="Liberation Serif"/>
          <w:bCs/>
          <w:sz w:val="28"/>
          <w:szCs w:val="22"/>
          <w:lang w:eastAsia="en-US"/>
        </w:rPr>
      </w:pPr>
    </w:p>
    <w:p w:rsidR="00A018AD" w:rsidRDefault="00E02B6F">
      <w:pPr>
        <w:widowControl w:val="0"/>
        <w:spacing w:before="1"/>
        <w:ind w:left="4349"/>
        <w:jc w:val="right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WSZYSCY WYKONAWCY</w:t>
      </w:r>
    </w:p>
    <w:p w:rsidR="00A018AD" w:rsidRDefault="00A018AD">
      <w:pPr>
        <w:widowControl w:val="0"/>
        <w:spacing w:before="6"/>
        <w:rPr>
          <w:rFonts w:ascii="Liberation Serif" w:eastAsia="Liberation Serif" w:hAnsi="Liberation Serif" w:cs="Liberation Serif"/>
          <w:b/>
          <w:bCs/>
          <w:szCs w:val="22"/>
          <w:lang w:eastAsia="en-US"/>
        </w:rPr>
      </w:pPr>
    </w:p>
    <w:p w:rsidR="00A018AD" w:rsidRDefault="00E02B6F">
      <w:pPr>
        <w:widowControl w:val="0"/>
        <w:spacing w:before="91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Znak sprawy: RGKiI.271.11.2022</w:t>
      </w:r>
    </w:p>
    <w:p w:rsidR="00A018AD" w:rsidRDefault="00A018AD">
      <w:pPr>
        <w:widowControl w:val="0"/>
        <w:spacing w:before="91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</w:p>
    <w:p w:rsidR="00A018AD" w:rsidRDefault="00A018AD">
      <w:pPr>
        <w:widowControl w:val="0"/>
        <w:spacing w:before="4"/>
        <w:rPr>
          <w:rFonts w:ascii="Liberation Serif" w:eastAsia="Liberation Serif" w:hAnsi="Liberation Serif" w:cs="Liberation Serif"/>
          <w:b/>
          <w:bCs/>
          <w:sz w:val="28"/>
          <w:szCs w:val="22"/>
          <w:lang w:eastAsia="en-US"/>
        </w:rPr>
      </w:pPr>
    </w:p>
    <w:p w:rsidR="00A018AD" w:rsidRDefault="00E02B6F">
      <w:pPr>
        <w:widowControl w:val="0"/>
        <w:ind w:left="10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>Dotyczy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: Postępowania prowadzonego w trybie podstawowym pn.:</w:t>
      </w:r>
    </w:p>
    <w:p w:rsidR="00A018AD" w:rsidRDefault="00A018AD">
      <w:pPr>
        <w:widowControl w:val="0"/>
        <w:spacing w:before="5"/>
        <w:rPr>
          <w:rFonts w:ascii="Liberation Serif" w:eastAsia="Liberation Serif" w:hAnsi="Liberation Serif" w:cs="Liberation Serif"/>
          <w:bCs/>
          <w:sz w:val="28"/>
          <w:szCs w:val="22"/>
          <w:lang w:eastAsia="en-US"/>
        </w:rPr>
      </w:pPr>
    </w:p>
    <w:p w:rsidR="00A018AD" w:rsidRDefault="00E02B6F">
      <w:pPr>
        <w:widowControl w:val="0"/>
        <w:spacing w:before="10"/>
        <w:jc w:val="center"/>
        <w:rPr>
          <w:rFonts w:ascii="Liberation Serif" w:eastAsia="Liberation Serif" w:hAnsi="Liberation Serif" w:cs="Liberation Serif"/>
          <w:b/>
          <w:bCs/>
          <w:i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i/>
          <w:sz w:val="22"/>
          <w:szCs w:val="22"/>
          <w:lang w:eastAsia="en-US"/>
        </w:rPr>
        <w:t>Zakup sprzętu komputerowego i wyposażenia serwerowni Urzędu Gminy Barciany i jednostek podległych Gminie Barciany w</w:t>
      </w:r>
      <w:r>
        <w:rPr>
          <w:rFonts w:ascii="Liberation Serif" w:eastAsia="Liberation Serif" w:hAnsi="Liberation Serif" w:cs="Liberation Serif"/>
          <w:b/>
          <w:bCs/>
          <w:i/>
          <w:sz w:val="22"/>
          <w:szCs w:val="22"/>
          <w:lang w:eastAsia="en-US"/>
        </w:rPr>
        <w:t xml:space="preserve"> ramach  projektu „Cyfrowa Gmina”</w:t>
      </w:r>
    </w:p>
    <w:p w:rsidR="00A018AD" w:rsidRDefault="00A018AD">
      <w:pPr>
        <w:widowControl w:val="0"/>
        <w:spacing w:before="10"/>
        <w:rPr>
          <w:rFonts w:ascii="Liberation Serif" w:eastAsia="Liberation Serif" w:hAnsi="Liberation Serif" w:cs="Liberation Serif"/>
          <w:b/>
          <w:bCs/>
          <w:i/>
          <w:szCs w:val="22"/>
          <w:lang w:eastAsia="en-US"/>
        </w:rPr>
      </w:pPr>
    </w:p>
    <w:p w:rsidR="00A018AD" w:rsidRDefault="00E02B6F">
      <w:pPr>
        <w:widowControl w:val="0"/>
        <w:spacing w:line="360" w:lineRule="auto"/>
        <w:ind w:left="100" w:right="114" w:firstLine="708"/>
        <w:jc w:val="both"/>
        <w:rPr>
          <w:rFonts w:ascii="Liberation Serif" w:eastAsia="Liberation Serif" w:hAnsi="Liberation Serif" w:cs="Liberation Serif"/>
          <w:b/>
          <w:i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Zamawiający zgodnie z art. 286 ust. 1, ust. 3, ust. 5, ust. 6, ust. 7 ustawy z dnia 11 września 2019 r. Prawo zamówień publicznych (Dz. U. z 2021 r., poz. 1129 z </w:t>
      </w:r>
      <w:proofErr w:type="spellStart"/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późn</w:t>
      </w:r>
      <w:proofErr w:type="spellEnd"/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. zm.), informuje o zmianie treści Specyfikacji 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Warunków Zamówienia</w:t>
      </w: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 xml:space="preserve"> powodującą zmianę treści ogłoszenia o zamówieniu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 na realizację zadania pn. </w:t>
      </w:r>
      <w:r>
        <w:rPr>
          <w:rFonts w:ascii="Liberation Serif" w:eastAsia="Liberation Serif" w:hAnsi="Liberation Serif" w:cs="Liberation Serif"/>
          <w:b/>
          <w:i/>
          <w:sz w:val="22"/>
          <w:szCs w:val="22"/>
          <w:lang w:eastAsia="en-US"/>
        </w:rPr>
        <w:t>Zakup sprzętu komputerowego i wyposażenia serwerowni Urzędu Gminy Barciany i jednostek podległych Gminie Barciany w ramach  projektu „Cyfrowa Gmina”</w:t>
      </w:r>
    </w:p>
    <w:p w:rsidR="00A018AD" w:rsidRDefault="00A018AD">
      <w:pPr>
        <w:widowControl w:val="0"/>
        <w:spacing w:line="360" w:lineRule="auto"/>
        <w:ind w:left="100" w:right="114" w:firstLine="708"/>
        <w:jc w:val="both"/>
        <w:rPr>
          <w:rFonts w:ascii="Liberation Serif" w:eastAsia="Liberation Serif" w:hAnsi="Liberation Serif" w:cs="Liberation Serif"/>
          <w:i/>
          <w:sz w:val="32"/>
          <w:szCs w:val="22"/>
          <w:lang w:eastAsia="en-US"/>
        </w:rPr>
      </w:pPr>
    </w:p>
    <w:p w:rsidR="00A018AD" w:rsidRDefault="00E02B6F">
      <w:pPr>
        <w:widowControl w:val="0"/>
        <w:spacing w:before="1" w:line="360" w:lineRule="auto"/>
        <w:ind w:left="100" w:right="114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Zmiana 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treści SWZ polega na zmianie treści zapisu poniższych pozycji załącznika nr 1 do SWZ (szczegółowy opis zamówienia) oraz w formularzu ofertowym:</w:t>
      </w:r>
    </w:p>
    <w:p w:rsidR="00A018AD" w:rsidRDefault="00A018AD">
      <w:pPr>
        <w:widowControl w:val="0"/>
        <w:spacing w:before="1"/>
        <w:rPr>
          <w:rFonts w:ascii="Liberation Serif" w:eastAsia="Liberation Serif" w:hAnsi="Liberation Serif" w:cs="Liberation Serif"/>
          <w:bCs/>
          <w:sz w:val="33"/>
          <w:szCs w:val="22"/>
          <w:lang w:eastAsia="en-US"/>
        </w:rPr>
      </w:pPr>
    </w:p>
    <w:p w:rsidR="00A018AD" w:rsidRDefault="00E02B6F">
      <w:pPr>
        <w:widowControl w:val="0"/>
        <w:spacing w:before="1"/>
        <w:ind w:left="10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Parametry serwerów</w:t>
      </w:r>
    </w:p>
    <w:p w:rsidR="00A018AD" w:rsidRDefault="00E02B6F">
      <w:pPr>
        <w:widowControl w:val="0"/>
        <w:spacing w:before="126" w:line="360" w:lineRule="auto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- Obudowa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 - podwojony zapis</w:t>
      </w:r>
    </w:p>
    <w:p w:rsidR="00A018AD" w:rsidRDefault="00E02B6F">
      <w:pPr>
        <w:widowControl w:val="0"/>
        <w:spacing w:line="360" w:lineRule="auto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 – Płyta główna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 - podwojony zapis</w:t>
      </w:r>
    </w:p>
    <w:p w:rsidR="00A018AD" w:rsidRDefault="00E02B6F">
      <w:pPr>
        <w:widowControl w:val="0"/>
        <w:spacing w:line="252" w:lineRule="exact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 – Procesory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 - podwojony zapis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– Pamięć RAM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 - podwojony zapis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– Dyski twarde i napędy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 - podwojony zapis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Zostaje dodana:</w:t>
      </w:r>
    </w:p>
    <w:p w:rsidR="00A018AD" w:rsidRDefault="00E02B6F">
      <w:pPr>
        <w:widowControl w:val="0"/>
        <w:spacing w:before="126"/>
        <w:ind w:firstLine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- System operacyjny - Microsoft Windows Server </w:t>
      </w:r>
      <w:proofErr w:type="spellStart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Essential</w:t>
      </w:r>
      <w:proofErr w:type="spellEnd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2019 lub równoważne </w:t>
      </w:r>
    </w:p>
    <w:p w:rsidR="00A018AD" w:rsidRDefault="00E02B6F">
      <w:pPr>
        <w:widowControl w:val="0"/>
        <w:spacing w:before="126"/>
        <w:jc w:val="both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Zamawiający wymaga dostarczenia Oprogramowania: Microsoft Windows Serwer </w:t>
      </w:r>
      <w:proofErr w:type="spellStart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Essential</w:t>
      </w:r>
      <w:proofErr w:type="spellEnd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2019,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br/>
        <w:t>o następujących parametrach lub równoważnego, spełniającego poni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ższe kryteria oceny równoważności wskazane: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Metryka licencyjna: per </w:t>
      </w:r>
      <w:proofErr w:type="spellStart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server</w:t>
      </w:r>
      <w:proofErr w:type="spellEnd"/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Rodzaj licencji: bezterminowa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Obsługa do 64GB RAM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Obsługa 2 CPU (bez ograniczenia liczby rdzeni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Możliwość obsługi maksymalnie 25 użytkowników i 50 urządzeń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Oprogramowanie nie moż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e wymagać dodatkowych licencji w celu uzyskania dostępu do serwera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lastRenderedPageBreak/>
        <w:t xml:space="preserve">Współpraca z procesorami o architekturze x86-64 Instalacja i użytkowanie aplikacji 32-bit. i 64-bit. na dostarczonym systemie operacyjnym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Możliwość uruchomienia roli kontrolera domeny Microsoft Active Directory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Zawarta możliwość uruchomienia roli serwera DNS 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Zawarta możliwość uruchomienia roli klienta i serwera czasu (NTP)</w:t>
      </w:r>
    </w:p>
    <w:p w:rsidR="00A018AD" w:rsidRDefault="00E02B6F">
      <w:pPr>
        <w:widowControl w:val="0"/>
        <w:numPr>
          <w:ilvl w:val="0"/>
          <w:numId w:val="2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Zawarta możliwość uruchomienia roli serwera plików z  uwierzytelnie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niem i autoryzacją dostępu w domenie Microsoft Active Directory 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Zawarta możliwość uruchomienia roli serwera stron WWW</w:t>
      </w:r>
    </w:p>
    <w:p w:rsidR="00A018AD" w:rsidRDefault="00A018AD">
      <w:pPr>
        <w:widowControl w:val="0"/>
        <w:rPr>
          <w:rFonts w:ascii="Liberation Serif" w:eastAsia="Liberation Serif" w:hAnsi="Liberation Serif" w:cs="Liberation Serif"/>
          <w:b/>
          <w:bCs/>
          <w:sz w:val="24"/>
          <w:szCs w:val="22"/>
          <w:lang w:eastAsia="en-US"/>
        </w:rPr>
      </w:pPr>
    </w:p>
    <w:p w:rsidR="00A018AD" w:rsidRDefault="00E02B6F">
      <w:pPr>
        <w:widowControl w:val="0"/>
        <w:spacing w:before="1"/>
        <w:ind w:left="10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Parametry komputerów stacjonarnych</w:t>
      </w:r>
    </w:p>
    <w:p w:rsidR="00A018AD" w:rsidRDefault="00E02B6F">
      <w:pPr>
        <w:widowControl w:val="0"/>
        <w:spacing w:before="126" w:line="360" w:lineRule="auto"/>
        <w:ind w:left="100"/>
        <w:jc w:val="both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10 - Porty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wykreśla się zapis „czytnik kart SD” oraz „Uwaga: Wymagana ilość i rozmieszczenie (na zewnątrz obudowy komputera) portów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u w:val="single"/>
          <w:lang w:eastAsia="en-US"/>
        </w:rPr>
        <w:t>USB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 nie może być osiągnięta w wyniku stosowania konwerterów, przejściówek itp.” zmienia brzmienie na „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Uwaga: Wymagana ilość i rozmieszc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zenie (na zewnątrz obudowy komputera) portów nie może być osiągnięta w wyniku stosowania konwerterów, przejściówek itp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.”</w:t>
      </w:r>
    </w:p>
    <w:p w:rsidR="00A018AD" w:rsidRDefault="00E02B6F">
      <w:pPr>
        <w:widowControl w:val="0"/>
        <w:spacing w:line="360" w:lineRule="auto"/>
        <w:ind w:left="100"/>
        <w:jc w:val="both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17  – Gwarancja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zmienia brzmienie z „Gwarancja i rękojmia: min.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u w:val="single"/>
          <w:lang w:eastAsia="en-US"/>
        </w:rPr>
        <w:t>24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 miesiące gwarancji i rękojmi producenta świadczona na m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iejscu u użytkownika końcowego. Czas reakcji serwisu - do końca następnego dnia roboczego. Serwis urządzeń musi byś realizowany przez producenta lub autoryzowanego partnera serwisowego producenta. Dostęp do aktualnych sterowników zainstalowanych w komputer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ze urządzeń, realizowany poprzez podanie identyfikatora klienta lub modelu komputera lub numeru seryjnego komputera, na dedykowanej przez producenta stronie internetowej umożliwiającej zgłaszanie awarii lub usterek oraz sprawdzenie okresu gwarancji i rękoj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mi.” Na „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Gwarancja i rękojmia: min.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u w:val="single"/>
          <w:lang w:eastAsia="en-US"/>
        </w:rPr>
        <w:t>36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miesięcy gwarancji i rękojmi producenta świadczona na miejscu u użytkownika końcowego. Czas reakcji serwisu - do końca następnego dnia roboczego. Serwis urządzeń musi byś realizowany przez producenta lub autoryzowaneg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o partnera serwisowego producenta. Dostęp do aktualnych sterowników zainstalowanych w komputerze urządzeń, realizowany poprzez podanie identyfikatora klienta lub modelu komputera lub numeru seryjnego komputera, na dedykowanej przez producenta stronie inter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netowej umożliwiającej zgłaszanie awarii lub usterek oraz sprawdzenie okresu gwarancji i rękojmi.”</w:t>
      </w:r>
    </w:p>
    <w:p w:rsidR="00A018AD" w:rsidRDefault="00A018AD">
      <w:pPr>
        <w:widowControl w:val="0"/>
        <w:spacing w:line="360" w:lineRule="auto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</w:p>
    <w:p w:rsidR="00A018AD" w:rsidRDefault="00E02B6F">
      <w:pPr>
        <w:widowControl w:val="0"/>
        <w:spacing w:before="1"/>
        <w:ind w:left="10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 xml:space="preserve">Parametry komputera </w:t>
      </w:r>
      <w:proofErr w:type="spellStart"/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przenosnego</w:t>
      </w:r>
      <w:proofErr w:type="spellEnd"/>
    </w:p>
    <w:p w:rsidR="00A018AD" w:rsidRDefault="00E02B6F">
      <w:pPr>
        <w:widowControl w:val="0"/>
        <w:spacing w:before="126" w:line="360" w:lineRule="auto"/>
        <w:ind w:left="100"/>
        <w:jc w:val="both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-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Zamawiający zastrzega sobie prawo sprawdzenia pełnej zgodności parametrów oferowanego sprzętu z wymogami niniejsze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j SIWZ. W tym celu Wykonawcy na wezwanie Zamawiającego dostarczą do siedziby Zamawiającego w terminie 5 dni od daty otrzymania wezwania, próbkę oferowanego sprzętu. W odniesieniu do programowania mogą zostać dostarczone licencje tymczasowe, w pełni zgodne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z oferowanymi.  Ocena złożonych próbek zostanie dokonana przez Komisję Przetargową na zasadzie spełnia / nie spełnia. Z badania każdej próbki zostanie sporządzony protokół. Pozytywna ocena próbki będzie oznaczała zgodność próbki (oferty) z treścią SIWZ. Ni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ezgodność próbki z SIWZ chociażby w zakresie jednego parametru podlegającemu badaniu bądź nieprzedłożenie wymaganej próbki w sposób i terminie wymaganym przez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lastRenderedPageBreak/>
        <w:t>Zamawiającego będzie oznaczało negatywny wynik oceny próbki i będzie skutkowało odrzuceniem ofert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y na podstawie art. 89 ust. 1 pkt 2 ustawy z dnia 29 stycznia 2004 r. Prawo zamówień publicznych (Dz. U. z 2015 r. poz. 2164 ze zm.), tj. z uwagi na fakt, że treść oferty nie odpowiada treści specyfikacji istotnych warunków zamówienia. Szczegółowy sposób p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rzygotowania i złożenia próbek zostanie dostarczony wykonawcom wraz z wezwaniem do złożenia próbek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</w:t>
      </w:r>
    </w:p>
    <w:p w:rsidR="00A018AD" w:rsidRDefault="00E02B6F">
      <w:pPr>
        <w:widowControl w:val="0"/>
        <w:spacing w:line="360" w:lineRule="auto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2 – Pamięć operacyjna RAM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zapis „Wolny slot na dalszą rozbudowę”</w:t>
      </w:r>
    </w:p>
    <w:p w:rsidR="00A018AD" w:rsidRDefault="00E02B6F">
      <w:pPr>
        <w:widowControl w:val="0"/>
        <w:spacing w:line="252" w:lineRule="exact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Pozycja nr 3  – Parametry pamięci maso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wej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zapis „zawierający RECOVERY umożliwiające odtworzenie systemu operacyjnego fabrycznie zainstalowanego na komputerze po awarii.”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4  – Karta graficzna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wykreśla się zapis „Zintegrowana karta graficzna”, a dodaje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„dedykowana do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oferowanego laptopa”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5 – Wyposażenie multimedialne–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wykreśla się zapis „Dolby Audio” oraz „sterowanie głośnością głośników za pośrednictwem wydzielonych klawiszy funkcyjnych na klawiaturze, wydzielony przycisk funkcyjny do natychmiastowego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wyciszania głośników oraz mikrofonu (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mute</w:t>
      </w:r>
      <w:proofErr w:type="spellEnd"/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),”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6 – Obudowa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zapis „Obudowa wyposażona w zawiasy metalowe.” oraz „W obudowę wbudowane co najmniej 2 diody sygnalizujące stan naładowania akumulatora oraz pracę dysku twardego lub stan pr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acy komputera.” zmienia brzmienie na: „Kąt otwarcia matrycy min.170 stopni.”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11 – Ekran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– wykreśla się zapis „powłoka antyrefleksyjna”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14 – Klawiatura –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wykreśla się całą pozycję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Pozycja nr 19 – System operacyjne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– zapis „Windows 11 H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ome 64 bit lub równoważny 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System operacyjny klasy PC musi spełniać następujące wymagania poprzez wbudowane mechanizmy, bez użycia dodatkowych aplikacji: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1.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Dostępne dwa rodzaje graficznego interfejsu użytkownika: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a.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 xml:space="preserve">Klasyczny, umożliwiający obsługę przy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pomocy klawiatury i myszy,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b.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Dotykowy umożliwiający sterowanie dotykiem na urządzeniach typu tablet lub monitorach dotykowych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2.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Funkcje związane z obsługą komputerów typu tablet, z wbudowanym modułem „uczenia się” pisma użytkownika – obsługa języka polsk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iego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3.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Interfejs użytkownika dostępny w wielu językach do wyboru – w tym polskim i angielskim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4.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Możliwość tworzenia pulpitów wirtualnych, przenoszenia aplikacji pomiędzy pulpitami i przełączanie się pomiędzy pulpitami za pomocą skrótów klawiaturowych lub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 GUI.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5.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Wbudowane w system operacyjny minimum dwie przeglądarki Internetowe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6.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Zintegrowany z systemem moduł wyszukiwania informacji (plików różnego typu, tekstów, metadanych) dostępny z kilku poziomów: poziom menu, poziom otwartego okna systemu operacyjn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ego; system wyszukiwania oparty na konfigurowalnym przez użytkownika module indeksacji zasobów lokalnych,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7.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Zlokalizowane w języku polskim, co najmniej następujące elementy: menu, pomoc, komunikaty systemowe, menedżer plików.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8.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Graficzne środowisko insta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lacji i konfiguracji dostępne w języku polskim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9.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Wbudowany system pomocy w języku polskim.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10.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ab/>
        <w:t>Możliwość przystosowania stanowiska dla osób niepełnosprawnych (np. słabo widzących).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Możliwość sterowania czasem dostarczania nowych wersji systemu operacyjneg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o, możliwość centralnego opóźniania dostarczania nowej wersji o minimum 4 miesiące.</w:t>
      </w:r>
    </w:p>
    <w:p w:rsidR="00A018AD" w:rsidRDefault="00E02B6F">
      <w:pPr>
        <w:widowControl w:val="0"/>
        <w:spacing w:before="126"/>
        <w:ind w:left="10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lastRenderedPageBreak/>
        <w:t xml:space="preserve">Klucz produktu przypisany do komputera aby przy ponownej 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>reinstalacji</w:t>
      </w:r>
      <w:proofErr w:type="spellEnd"/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 systemu nie było konieczności wpisywania klucza.” zmienia brzmienie na „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Windows 10 Home 64 bit lub rów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noważny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br/>
        <w:t>System, poprzez mechanizmy wbudowane, bez użycia dodatkowych aplikacji, musi: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umożliwiać  dokonywanie  aktualizacji  i  poprawek  systemu  przez  Internet  z  możliwością  wyboru instalowanych poprawek;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zapewniać internetową aktualizację w języku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polskim;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posiadać wbudowaną zaporę internetową (firewall) dla ochrony połączeń internetowych; zintegrowana z systemem konsola do zarządzania ustawieniami zapory i regułami IP v4 i v6;  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posiadać  zlokalizowane  w  języku  polskim,  co  najmniej  następując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e  elementy:  menu,  odtwarzacz multimediów, pomoc, komunikaty systemowe; 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posiadać wsparcie dla większości powszechnie używanych urządzeń peryferyjnych (drukarek, urządzeń sieciowych, standardów USB, </w:t>
      </w:r>
      <w:proofErr w:type="spellStart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Plug&amp;Play</w:t>
      </w:r>
      <w:proofErr w:type="spellEnd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WiFi</w:t>
      </w:r>
      <w:proofErr w:type="spellEnd"/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) ;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posiadać wbudowany system pomocy w j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ęzyku polskim;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posiadać certyfikat producenta systemu operacyjnego na zgodność z dostarczanym sprzętem; 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dostarczać wsparcie dla Sun Java i .NET Framework 1.1, 2.0, 3.0 i 4.5 oraz możliwość uruchomienia aplikacji działających we wskazanych środowiskach;</w:t>
      </w:r>
    </w:p>
    <w:p w:rsidR="00A018AD" w:rsidRDefault="00E02B6F">
      <w:pPr>
        <w:widowControl w:val="0"/>
        <w:numPr>
          <w:ilvl w:val="0"/>
          <w:numId w:val="3"/>
        </w:numPr>
        <w:spacing w:before="126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po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>siadać graficzne środowisko instalacji i konfiguracji.”</w:t>
      </w:r>
    </w:p>
    <w:p w:rsidR="00A018AD" w:rsidRDefault="00A018AD">
      <w:pPr>
        <w:widowControl w:val="0"/>
        <w:spacing w:line="360" w:lineRule="auto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</w:p>
    <w:p w:rsidR="00A018AD" w:rsidRDefault="00A018AD">
      <w:pPr>
        <w:widowControl w:val="0"/>
        <w:spacing w:before="11"/>
        <w:rPr>
          <w:rFonts w:ascii="Liberation Serif" w:eastAsia="Liberation Serif" w:hAnsi="Liberation Serif" w:cs="Liberation Serif"/>
          <w:b/>
          <w:bCs/>
          <w:sz w:val="19"/>
          <w:szCs w:val="22"/>
          <w:lang w:eastAsia="en-US"/>
        </w:rPr>
      </w:pPr>
    </w:p>
    <w:p w:rsidR="00A018AD" w:rsidRDefault="00A018AD">
      <w:pPr>
        <w:widowControl w:val="0"/>
        <w:spacing w:before="11"/>
        <w:rPr>
          <w:rFonts w:ascii="Liberation Serif" w:eastAsia="Liberation Serif" w:hAnsi="Liberation Serif" w:cs="Liberation Serif"/>
          <w:b/>
          <w:bCs/>
          <w:sz w:val="19"/>
          <w:szCs w:val="22"/>
          <w:lang w:eastAsia="en-US"/>
        </w:rPr>
      </w:pPr>
    </w:p>
    <w:p w:rsidR="00A018AD" w:rsidRDefault="00A018AD">
      <w:pPr>
        <w:widowControl w:val="0"/>
        <w:spacing w:before="11"/>
        <w:rPr>
          <w:rFonts w:ascii="Liberation Serif" w:eastAsia="Liberation Serif" w:hAnsi="Liberation Serif" w:cs="Liberation Serif"/>
          <w:b/>
          <w:bCs/>
          <w:sz w:val="19"/>
          <w:szCs w:val="22"/>
          <w:lang w:eastAsia="en-US"/>
        </w:rPr>
      </w:pPr>
    </w:p>
    <w:p w:rsidR="00A018AD" w:rsidRDefault="00E02B6F">
      <w:pPr>
        <w:widowControl w:val="0"/>
        <w:spacing w:line="362" w:lineRule="auto"/>
        <w:ind w:left="100" w:right="430"/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Dokonane zmiany treści specyfikacji warunków zamówienia prowadzą  do zmiany ogłoszenia o zamówieniu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      </w:t>
      </w: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w następujący</w:t>
      </w:r>
      <w:r>
        <w:rPr>
          <w:rFonts w:ascii="Liberation Serif" w:eastAsia="Liberation Serif" w:hAnsi="Liberation Serif" w:cs="Liberation Serif"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sposób:</w:t>
      </w:r>
    </w:p>
    <w:p w:rsidR="00A018AD" w:rsidRDefault="00A018AD">
      <w:pPr>
        <w:widowControl w:val="0"/>
        <w:spacing w:line="362" w:lineRule="auto"/>
        <w:ind w:left="100" w:right="43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</w:p>
    <w:p w:rsidR="00A018AD" w:rsidRDefault="00A018AD">
      <w:pPr>
        <w:widowControl w:val="0"/>
        <w:spacing w:before="9"/>
        <w:rPr>
          <w:rFonts w:ascii="Liberation Serif" w:eastAsia="Liberation Serif" w:hAnsi="Liberation Serif" w:cs="Liberation Serif"/>
          <w:bCs/>
          <w:sz w:val="24"/>
          <w:szCs w:val="22"/>
          <w:lang w:eastAsia="en-US"/>
        </w:rPr>
      </w:pPr>
    </w:p>
    <w:p w:rsidR="00A018AD" w:rsidRDefault="00A018AD">
      <w:pPr>
        <w:widowControl w:val="0"/>
        <w:spacing w:before="9"/>
        <w:rPr>
          <w:rFonts w:ascii="Liberation Serif" w:eastAsia="Liberation Serif" w:hAnsi="Liberation Serif" w:cs="Liberation Serif"/>
          <w:bCs/>
          <w:sz w:val="24"/>
          <w:szCs w:val="22"/>
          <w:lang w:eastAsia="en-US"/>
        </w:rPr>
      </w:pPr>
    </w:p>
    <w:p w:rsidR="00A018AD" w:rsidRDefault="00E02B6F">
      <w:pPr>
        <w:widowControl w:val="0"/>
        <w:numPr>
          <w:ilvl w:val="0"/>
          <w:numId w:val="1"/>
        </w:numPr>
        <w:tabs>
          <w:tab w:val="left" w:pos="379"/>
        </w:tabs>
        <w:spacing w:before="91" w:line="360" w:lineRule="auto"/>
        <w:ind w:right="114"/>
        <w:jc w:val="both"/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Dział XI TERMIN ZWIĄZANIA OFERTĄ zapis 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„Wykonawca jest związany ofertą od dnia upływu terminu składania ofert do dnia 07.01.2022 r.” otrzymuje brzmienie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>„Wykonawca jest związany ofertą od dnia upływu terminu składania ofert do dnia 11.01.2022</w:t>
      </w:r>
      <w:r>
        <w:rPr>
          <w:rFonts w:ascii="Liberation Serif" w:eastAsia="Liberation Serif" w:hAnsi="Liberation Serif" w:cs="Liberation Serif"/>
          <w:b/>
          <w:color w:val="FF0000"/>
          <w:spacing w:val="-4"/>
          <w:sz w:val="22"/>
          <w:szCs w:val="22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>r.”</w:t>
      </w:r>
    </w:p>
    <w:p w:rsidR="00A018AD" w:rsidRDefault="00A018AD">
      <w:pPr>
        <w:widowControl w:val="0"/>
        <w:spacing w:before="2"/>
        <w:rPr>
          <w:rFonts w:ascii="Liberation Serif" w:eastAsia="Liberation Serif" w:hAnsi="Liberation Serif" w:cs="Liberation Serif"/>
          <w:b/>
          <w:bCs/>
          <w:sz w:val="24"/>
          <w:szCs w:val="22"/>
          <w:lang w:eastAsia="en-US"/>
        </w:rPr>
      </w:pPr>
    </w:p>
    <w:p w:rsidR="00A018AD" w:rsidRDefault="00A018AD">
      <w:pPr>
        <w:widowControl w:val="0"/>
        <w:spacing w:before="2"/>
        <w:rPr>
          <w:rFonts w:ascii="Liberation Serif" w:eastAsia="Liberation Serif" w:hAnsi="Liberation Serif" w:cs="Liberation Serif"/>
          <w:b/>
          <w:bCs/>
          <w:sz w:val="24"/>
          <w:szCs w:val="22"/>
          <w:lang w:eastAsia="en-US"/>
        </w:rPr>
      </w:pPr>
    </w:p>
    <w:p w:rsidR="00A018AD" w:rsidRDefault="00E02B6F">
      <w:pPr>
        <w:widowControl w:val="0"/>
        <w:numPr>
          <w:ilvl w:val="0"/>
          <w:numId w:val="1"/>
        </w:numPr>
        <w:tabs>
          <w:tab w:val="left" w:pos="352"/>
        </w:tabs>
        <w:spacing w:line="360" w:lineRule="auto"/>
        <w:ind w:right="112"/>
        <w:jc w:val="both"/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sectPr w:rsidR="00A018AD">
          <w:headerReference w:type="default" r:id="rId8"/>
          <w:footerReference w:type="default" r:id="rId9"/>
          <w:pgSz w:w="11906" w:h="16838"/>
          <w:pgMar w:top="1640" w:right="580" w:bottom="1360" w:left="1040" w:header="485" w:footer="1166" w:gutter="0"/>
          <w:cols w:space="708"/>
          <w:formProt w:val="0"/>
          <w:docGrid w:linePitch="240" w:charSpace="2047"/>
        </w:sect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Dział XIII. WYMAGANIA DOTYCZĄCE WADIUM zapis 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„Wadium wnosi się przed upływem terminu składania ofert tj. </w:t>
      </w:r>
      <w:r>
        <w:rPr>
          <w:rFonts w:ascii="Liberation Serif" w:eastAsia="Liberation Serif" w:hAnsi="Liberation Serif" w:cs="Liberation Serif"/>
          <w:b/>
          <w:sz w:val="22"/>
          <w:szCs w:val="22"/>
          <w:u w:val="thick"/>
          <w:lang w:eastAsia="en-US"/>
        </w:rPr>
        <w:t>do dnia 9 grudnia 2022 r.,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 do godz. 11:00 i utrzymuje nieprzerwanie do dnia upływu terminu związania ofertą, z wyjątkiem przyp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adków, o których mowa w art. 98 ust. 1 pkt 2 i 3 oraz ust. 2 Ustawy” 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otrzymuje brzmienie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 xml:space="preserve">„Wadium wnosi się przed upływem terminu składania ofert tj.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u w:val="thick" w:color="FF0000"/>
          <w:lang w:eastAsia="en-US"/>
        </w:rPr>
        <w:t>do dnia 13 grudnia</w:t>
      </w:r>
    </w:p>
    <w:p w:rsidR="00A018AD" w:rsidRDefault="00E02B6F">
      <w:pPr>
        <w:widowControl w:val="0"/>
        <w:spacing w:before="81" w:line="355" w:lineRule="auto"/>
        <w:ind w:right="120"/>
        <w:jc w:val="both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u w:val="thick" w:color="FF0000"/>
          <w:lang w:eastAsia="en-US"/>
        </w:rPr>
        <w:lastRenderedPageBreak/>
        <w:t>2022 r.,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t xml:space="preserve"> do godz. 11:00 i utrzymuje nieprzerwanie do dnia upływu terminu związania ofertą, </w:t>
      </w:r>
      <w:r>
        <w:rPr>
          <w:rFonts w:ascii="Liberation Serif" w:eastAsia="Liberation Serif" w:hAnsi="Liberation Serif" w:cs="Liberation Serif"/>
          <w:b/>
          <w:bCs/>
          <w:color w:val="FF0000"/>
          <w:sz w:val="22"/>
          <w:szCs w:val="22"/>
          <w:lang w:eastAsia="en-US"/>
        </w:rPr>
        <w:br/>
        <w:t>z wyjątkiem przypadków, o których mowa w art. 98 ust. 1 pkt 2 i 3 oraz ust. 2 Ustawy.”</w:t>
      </w:r>
    </w:p>
    <w:p w:rsidR="00A018AD" w:rsidRDefault="00A018AD">
      <w:pPr>
        <w:widowControl w:val="0"/>
        <w:spacing w:before="9"/>
        <w:rPr>
          <w:rFonts w:ascii="Liberation Serif" w:eastAsia="Liberation Serif" w:hAnsi="Liberation Serif" w:cs="Liberation Serif"/>
          <w:b/>
          <w:bCs/>
          <w:sz w:val="24"/>
          <w:szCs w:val="22"/>
          <w:lang w:eastAsia="en-US"/>
        </w:rPr>
      </w:pPr>
    </w:p>
    <w:p w:rsidR="00A018AD" w:rsidRDefault="00E02B6F">
      <w:pPr>
        <w:widowControl w:val="0"/>
        <w:numPr>
          <w:ilvl w:val="0"/>
          <w:numId w:val="1"/>
        </w:numPr>
        <w:tabs>
          <w:tab w:val="left" w:pos="322"/>
        </w:tabs>
        <w:spacing w:line="360" w:lineRule="auto"/>
        <w:ind w:right="114"/>
        <w:jc w:val="both"/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Dział XIV. SPOSÓB ORAZ TERMIN SKŁADANIA OFERT zapis 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„Termin składania ofert upływa 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br/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w dniu 09.12.2022 r., o godz. 11:00.” otrzymuje brzmienie: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>„Termin składania ofert upływa w dniu 13.12.2022 r., o godz. 11:00.”</w:t>
      </w:r>
    </w:p>
    <w:p w:rsidR="00A018AD" w:rsidRDefault="00A018AD">
      <w:pPr>
        <w:widowControl w:val="0"/>
        <w:spacing w:before="11"/>
        <w:rPr>
          <w:rFonts w:ascii="Liberation Serif" w:eastAsia="Liberation Serif" w:hAnsi="Liberation Serif" w:cs="Liberation Serif"/>
          <w:b/>
          <w:bCs/>
          <w:sz w:val="32"/>
          <w:szCs w:val="22"/>
          <w:lang w:eastAsia="en-US"/>
        </w:rPr>
      </w:pPr>
    </w:p>
    <w:p w:rsidR="00A018AD" w:rsidRDefault="00E02B6F">
      <w:pPr>
        <w:widowControl w:val="0"/>
        <w:numPr>
          <w:ilvl w:val="0"/>
          <w:numId w:val="1"/>
        </w:numPr>
        <w:tabs>
          <w:tab w:val="left" w:pos="326"/>
        </w:tabs>
        <w:spacing w:line="360" w:lineRule="auto"/>
        <w:ind w:right="114"/>
        <w:jc w:val="both"/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Dział XV. TERMIN OTWARCIA OFERT zapis 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>„Otwarcie ofert nastąpi niezwłocznie po upływie terminu składania ofert, tj. w dniu 09.12</w:t>
      </w:r>
      <w:r>
        <w:rPr>
          <w:rFonts w:ascii="Liberation Serif" w:eastAsia="Liberation Serif" w:hAnsi="Liberation Serif" w:cs="Liberation Serif"/>
          <w:b/>
          <w:sz w:val="22"/>
          <w:szCs w:val="22"/>
          <w:lang w:eastAsia="en-US"/>
        </w:rPr>
        <w:t xml:space="preserve">.2022 roku o godz. 11:10.” otrzymuje brzmienie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>„Otwarcie ofert nastąpi niezwłocznie po upływie terminu składania ofert, tj. w dniu 13.12.2022 roku o godz.</w:t>
      </w:r>
      <w:r>
        <w:rPr>
          <w:rFonts w:ascii="Liberation Serif" w:eastAsia="Liberation Serif" w:hAnsi="Liberation Serif" w:cs="Liberation Serif"/>
          <w:b/>
          <w:color w:val="FF0000"/>
          <w:spacing w:val="-11"/>
          <w:sz w:val="22"/>
          <w:szCs w:val="22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b/>
          <w:color w:val="FF0000"/>
          <w:sz w:val="22"/>
          <w:szCs w:val="22"/>
          <w:lang w:eastAsia="en-US"/>
        </w:rPr>
        <w:t>11:10”</w:t>
      </w:r>
    </w:p>
    <w:p w:rsidR="00A018AD" w:rsidRDefault="00A018AD">
      <w:pPr>
        <w:widowControl w:val="0"/>
        <w:spacing w:before="2"/>
        <w:rPr>
          <w:rFonts w:ascii="Liberation Serif" w:eastAsia="Liberation Serif" w:hAnsi="Liberation Serif" w:cs="Liberation Serif"/>
          <w:b/>
          <w:bCs/>
          <w:sz w:val="33"/>
          <w:szCs w:val="22"/>
          <w:lang w:eastAsia="en-US"/>
        </w:rPr>
      </w:pPr>
    </w:p>
    <w:p w:rsidR="00A018AD" w:rsidRDefault="00E02B6F">
      <w:pPr>
        <w:widowControl w:val="0"/>
        <w:spacing w:line="360" w:lineRule="auto"/>
        <w:ind w:left="100" w:right="112"/>
        <w:jc w:val="both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Informacja o zmianie treści SWZ stanowi integralną część specyfikacji warunków zamówienia z 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dnia 01.12.2022 r., a dokonane zmiany są wiążące dla Wykonawców od chwili ogłoszenia treści niniejszej informacji na stronie internetowej prowadzonego postępowania.</w:t>
      </w:r>
    </w:p>
    <w:p w:rsidR="00A018AD" w:rsidRDefault="00E02B6F">
      <w:pPr>
        <w:widowControl w:val="0"/>
        <w:spacing w:line="252" w:lineRule="exact"/>
        <w:ind w:left="100"/>
        <w:jc w:val="both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Pozostałe zapisy SWZ pozostają bez zmian.</w:t>
      </w:r>
    </w:p>
    <w:p w:rsidR="00A018AD" w:rsidRDefault="00A018AD">
      <w:pPr>
        <w:widowControl w:val="0"/>
        <w:rPr>
          <w:rFonts w:ascii="Liberation Serif" w:eastAsia="Liberation Serif" w:hAnsi="Liberation Serif" w:cs="Liberation Serif"/>
          <w:bCs/>
          <w:sz w:val="24"/>
          <w:szCs w:val="22"/>
          <w:lang w:eastAsia="en-US"/>
        </w:rPr>
      </w:pPr>
    </w:p>
    <w:p w:rsidR="00A018AD" w:rsidRDefault="00A018AD">
      <w:pPr>
        <w:widowControl w:val="0"/>
        <w:rPr>
          <w:rFonts w:ascii="Liberation Serif" w:eastAsia="Liberation Serif" w:hAnsi="Liberation Serif" w:cs="Liberation Serif"/>
          <w:bCs/>
          <w:sz w:val="24"/>
          <w:szCs w:val="22"/>
          <w:lang w:eastAsia="en-US"/>
        </w:rPr>
      </w:pPr>
    </w:p>
    <w:p w:rsidR="00A018AD" w:rsidRDefault="00A018AD">
      <w:pPr>
        <w:widowControl w:val="0"/>
        <w:spacing w:before="11"/>
        <w:rPr>
          <w:rFonts w:ascii="Liberation Serif" w:eastAsia="Liberation Serif" w:hAnsi="Liberation Serif" w:cs="Liberation Serif"/>
          <w:bCs/>
          <w:sz w:val="28"/>
          <w:szCs w:val="22"/>
          <w:lang w:eastAsia="en-US"/>
        </w:rPr>
      </w:pPr>
    </w:p>
    <w:p w:rsidR="00A018AD" w:rsidRDefault="00E02B6F">
      <w:pPr>
        <w:widowControl w:val="0"/>
        <w:ind w:left="100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Times New Roman" w:eastAsia="Liberation Serif" w:hAnsi="Times New Roman" w:cs="Liberation Serif"/>
          <w:spacing w:val="-56"/>
          <w:sz w:val="22"/>
          <w:szCs w:val="22"/>
          <w:u w:val="single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sz w:val="22"/>
          <w:szCs w:val="22"/>
          <w:u w:val="single"/>
          <w:lang w:eastAsia="en-US"/>
        </w:rPr>
        <w:t>Załączniki:</w:t>
      </w:r>
    </w:p>
    <w:p w:rsidR="00A018AD" w:rsidRDefault="00E02B6F">
      <w:pPr>
        <w:widowControl w:val="0"/>
        <w:spacing w:before="128"/>
        <w:ind w:left="100"/>
        <w:jc w:val="both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1. zmodyfikowana SWZ</w:t>
      </w:r>
    </w:p>
    <w:p w:rsidR="00A018AD" w:rsidRDefault="00A018AD">
      <w:pPr>
        <w:widowControl w:val="0"/>
        <w:rPr>
          <w:rFonts w:ascii="Liberation Serif" w:eastAsia="Liberation Serif" w:hAnsi="Liberation Serif" w:cs="Liberation Serif"/>
          <w:bCs/>
          <w:sz w:val="24"/>
          <w:szCs w:val="22"/>
          <w:lang w:eastAsia="en-US"/>
        </w:rPr>
      </w:pPr>
    </w:p>
    <w:p w:rsidR="00A018AD" w:rsidRDefault="00A018AD">
      <w:pPr>
        <w:widowControl w:val="0"/>
        <w:rPr>
          <w:rFonts w:ascii="Liberation Serif" w:eastAsia="Liberation Serif" w:hAnsi="Liberation Serif" w:cs="Liberation Serif"/>
          <w:bCs/>
          <w:szCs w:val="22"/>
          <w:lang w:eastAsia="en-US"/>
        </w:rPr>
      </w:pPr>
    </w:p>
    <w:p w:rsidR="00A018AD" w:rsidRDefault="00E02B6F">
      <w:pPr>
        <w:widowControl w:val="0"/>
        <w:ind w:left="4830" w:right="597"/>
        <w:jc w:val="center"/>
        <w:rPr>
          <w:rFonts w:ascii="Liberation Serif" w:eastAsia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 xml:space="preserve">Z </w:t>
      </w:r>
      <w:r>
        <w:rPr>
          <w:rFonts w:ascii="Liberation Serif" w:eastAsia="Liberation Serif" w:hAnsi="Liberation Serif" w:cs="Liberation Serif"/>
          <w:sz w:val="22"/>
          <w:szCs w:val="22"/>
          <w:lang w:eastAsia="en-US"/>
        </w:rPr>
        <w:t>poważaniem</w:t>
      </w:r>
    </w:p>
    <w:p w:rsidR="00A018AD" w:rsidRDefault="00E02B6F">
      <w:pPr>
        <w:widowControl w:val="0"/>
        <w:ind w:left="6545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WÓJT GMINY BARCIANY</w:t>
      </w:r>
    </w:p>
    <w:p w:rsidR="00A018AD" w:rsidRDefault="00E02B6F">
      <w:pPr>
        <w:widowControl w:val="0"/>
        <w:ind w:left="5760" w:firstLine="720"/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="Liberation Serif" w:hAnsi="Liberation Serif" w:cs="Liberation Serif"/>
          <w:b/>
          <w:bCs/>
          <w:sz w:val="22"/>
          <w:szCs w:val="22"/>
          <w:lang w:eastAsia="en-US"/>
        </w:rPr>
        <w:t xml:space="preserve">  /-/ Marta Kamińska</w:t>
      </w:r>
    </w:p>
    <w:p w:rsidR="00A018AD" w:rsidRDefault="00A018AD" w:rsidP="00A107CE">
      <w:pPr>
        <w:widowControl w:val="0"/>
        <w:rPr>
          <w:rFonts w:ascii="Liberation Serif" w:eastAsia="Liberation Serif" w:hAnsi="Liberation Serif" w:cs="Liberation Serif"/>
          <w:sz w:val="16"/>
          <w:szCs w:val="22"/>
          <w:lang w:eastAsia="en-US"/>
        </w:rPr>
      </w:pPr>
      <w:bookmarkStart w:id="0" w:name="_GoBack"/>
      <w:bookmarkEnd w:id="0"/>
    </w:p>
    <w:p w:rsidR="00A018AD" w:rsidRDefault="00A018AD">
      <w:pPr>
        <w:suppressAutoHyphens/>
        <w:spacing w:line="360" w:lineRule="auto"/>
        <w:ind w:left="426" w:hanging="426"/>
        <w:jc w:val="center"/>
      </w:pPr>
    </w:p>
    <w:sectPr w:rsidR="00A018AD">
      <w:headerReference w:type="default" r:id="rId10"/>
      <w:footerReference w:type="default" r:id="rId11"/>
      <w:pgSz w:w="11906" w:h="16838"/>
      <w:pgMar w:top="1400" w:right="1280" w:bottom="765" w:left="1160" w:header="708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6F" w:rsidRDefault="00E02B6F">
      <w:r>
        <w:separator/>
      </w:r>
    </w:p>
  </w:endnote>
  <w:endnote w:type="continuationSeparator" w:id="0">
    <w:p w:rsidR="00E02B6F" w:rsidRDefault="00E0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D" w:rsidRDefault="00E02B6F">
    <w:pPr>
      <w:pStyle w:val="Tekstpodstawowy1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B9F0E1A">
              <wp:simplePos x="0" y="0"/>
              <wp:positionH relativeFrom="page">
                <wp:posOffset>976630</wp:posOffset>
              </wp:positionH>
              <wp:positionV relativeFrom="page">
                <wp:posOffset>9812655</wp:posOffset>
              </wp:positionV>
              <wp:extent cx="5875655" cy="34099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5200" cy="34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18AD" w:rsidRDefault="00E02B6F">
                          <w:pPr>
                            <w:pStyle w:val="Zawartoramki"/>
                            <w:spacing w:before="10"/>
                            <w:ind w:left="2153" w:right="-8" w:hanging="2134"/>
                            <w:rPr>
                              <w:sz w:val="24"/>
                            </w:rPr>
                          </w:pPr>
                          <w:r>
                            <w:t>Projekt „Cyfrowa gmina” jest finansowany ze środków Europejskiego Funduszu Rozwoju Regionalnego w ramach Programu Operacyjnego Polska Cyfrowa na lata 2014 - 2020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6.9pt;margin-top:772.65pt;width:462.55pt;height:26.75pt;mso-position-horizontal-relative:page;mso-position-vertical-relative:page" wp14:anchorId="7B9F0E1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left="2153" w:right="-8" w:hanging="2134"/>
                      <w:rPr>
                        <w:sz w:val="24"/>
                      </w:rPr>
                    </w:pPr>
                    <w:r>
                      <w:rPr>
                        <w:color w:val="auto"/>
                      </w:rPr>
                      <w:t>Projekt „Cyfrowa gmina” jest finansowany ze środków Europejskiego Funduszu Rozwoju Regionalnego w ramach Programu Operacyjnego Polska Cyfrowa na lata 2014 - 2020</w:t>
                    </w:r>
                    <w:r>
                      <w:rPr>
                        <w:color w:val="auto"/>
                        <w:sz w:val="24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D" w:rsidRDefault="00A01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6F" w:rsidRDefault="00E02B6F">
      <w:r>
        <w:separator/>
      </w:r>
    </w:p>
  </w:footnote>
  <w:footnote w:type="continuationSeparator" w:id="0">
    <w:p w:rsidR="00E02B6F" w:rsidRDefault="00E0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D" w:rsidRDefault="00E02B6F">
    <w:pPr>
      <w:pStyle w:val="Tekstpodstawowy1"/>
      <w:spacing w:line="12" w:lineRule="auto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307975</wp:posOffset>
          </wp:positionV>
          <wp:extent cx="5718175" cy="628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AD" w:rsidRDefault="00E02B6F">
    <w:pPr>
      <w:pStyle w:val="Nagwek"/>
    </w:pPr>
    <w:r>
      <w:rPr>
        <w:noProof/>
      </w:rPr>
      <w:drawing>
        <wp:inline distT="0" distB="0" distL="0" distR="6350">
          <wp:extent cx="6013450" cy="92265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1BD9"/>
    <w:multiLevelType w:val="multilevel"/>
    <w:tmpl w:val="3960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7075"/>
    <w:multiLevelType w:val="multilevel"/>
    <w:tmpl w:val="2690E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B26368"/>
    <w:multiLevelType w:val="multilevel"/>
    <w:tmpl w:val="C59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73041FD2"/>
    <w:multiLevelType w:val="multilevel"/>
    <w:tmpl w:val="E5BC19BE"/>
    <w:lvl w:ilvl="0">
      <w:start w:val="1"/>
      <w:numFmt w:val="decimal"/>
      <w:lvlText w:val="%1."/>
      <w:lvlJc w:val="left"/>
      <w:pPr>
        <w:ind w:left="100" w:hanging="279"/>
      </w:pPr>
      <w:rPr>
        <w:rFonts w:ascii="Liberation Serif" w:eastAsia="Liberation Serif" w:hAnsi="Liberation Serif" w:cs="Liberation Serif"/>
        <w:b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17" w:hanging="279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35" w:hanging="27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53" w:hanging="27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71" w:hanging="27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89" w:hanging="27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07" w:hanging="27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25" w:hanging="27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3" w:hanging="279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D"/>
    <w:rsid w:val="00A018AD"/>
    <w:rsid w:val="00A107CE"/>
    <w:rsid w:val="00E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53B5-DBB2-4794-9B06-B914167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23A"/>
    <w:rPr>
      <w:rFonts w:cs="Arial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D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0D1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0D1B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0D1B4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D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D1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0D1B4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D1B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czeinternetowe">
    <w:name w:val="Łącze internetowe"/>
    <w:uiPriority w:val="99"/>
    <w:rsid w:val="000D1B4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D1B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rsid w:val="000D1B4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B4F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1B4F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0D1B4F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uiPriority w:val="1"/>
    <w:qFormat/>
    <w:rsid w:val="000D1B4F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D1B4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0D1B4F"/>
    <w:rPr>
      <w:rFonts w:ascii="Calibri" w:eastAsia="Calibri" w:hAnsi="Calibri" w:cs="Arial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D1B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0D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D1B4F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lb">
    <w:name w:val="a_lb"/>
    <w:qFormat/>
    <w:rsid w:val="000D1B4F"/>
  </w:style>
  <w:style w:type="character" w:customStyle="1" w:styleId="Bodytext27ptNotItalic">
    <w:name w:val="Body text (2) + 7 pt;Not Italic"/>
    <w:qFormat/>
    <w:rsid w:val="000D1B4F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Bodytext">
    <w:name w:val="Body text_"/>
    <w:qFormat/>
    <w:locked/>
    <w:rsid w:val="000D1B4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D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0D1B4F"/>
    <w:rPr>
      <w:vertAlign w:val="superscript"/>
    </w:rPr>
  </w:style>
  <w:style w:type="character" w:customStyle="1" w:styleId="DeltaViewInsertion">
    <w:name w:val="DeltaView Insertion"/>
    <w:qFormat/>
    <w:rsid w:val="000D1B4F"/>
    <w:rPr>
      <w:b/>
      <w:bCs w:val="0"/>
      <w:i/>
      <w:iCs w:val="0"/>
      <w:spacing w:val="0"/>
    </w:rPr>
  </w:style>
  <w:style w:type="character" w:customStyle="1" w:styleId="Wyrnienie">
    <w:name w:val="Wyróżnienie"/>
    <w:uiPriority w:val="20"/>
    <w:qFormat/>
    <w:rsid w:val="000D1B4F"/>
    <w:rPr>
      <w:i/>
      <w:iCs/>
    </w:rPr>
  </w:style>
  <w:style w:type="character" w:customStyle="1" w:styleId="specificationitem">
    <w:name w:val="specification__item"/>
    <w:qFormat/>
    <w:rsid w:val="000D1B4F"/>
  </w:style>
  <w:style w:type="character" w:customStyle="1" w:styleId="markedcontent">
    <w:name w:val="markedcontent"/>
    <w:qFormat/>
    <w:rsid w:val="000D1B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161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161F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6111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b w:val="0"/>
    </w:rPr>
  </w:style>
  <w:style w:type="character" w:customStyle="1" w:styleId="ListLabel8">
    <w:name w:val="ListLabel 8"/>
    <w:qFormat/>
    <w:rPr>
      <w:b w:val="0"/>
      <w:i w:val="0"/>
      <w:color w:val="00000A"/>
      <w:sz w:val="22"/>
      <w:szCs w:val="22"/>
    </w:rPr>
  </w:style>
  <w:style w:type="character" w:customStyle="1" w:styleId="ListLabel9">
    <w:name w:val="ListLabel 9"/>
    <w:qFormat/>
    <w:rPr>
      <w:b w:val="0"/>
      <w:i w:val="0"/>
      <w:color w:val="00000A"/>
    </w:rPr>
  </w:style>
  <w:style w:type="character" w:customStyle="1" w:styleId="ListLabel10">
    <w:name w:val="ListLabel 10"/>
    <w:qFormat/>
    <w:rPr>
      <w:b w:val="0"/>
      <w:i w:val="0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entury Gothic"/>
    </w:rPr>
  </w:style>
  <w:style w:type="character" w:customStyle="1" w:styleId="ListLabel15">
    <w:name w:val="ListLabel 15"/>
    <w:qFormat/>
    <w:rPr>
      <w:rFonts w:eastAsia="Calibri"/>
      <w:b/>
      <w:color w:val="00000A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rFonts w:eastAsia="Carlito" w:cs="Carlito"/>
      <w:spacing w:val="-3"/>
      <w:w w:val="100"/>
      <w:sz w:val="24"/>
      <w:szCs w:val="24"/>
      <w:lang w:val="pl-PL" w:eastAsia="en-US" w:bidi="ar-SA"/>
    </w:rPr>
  </w:style>
  <w:style w:type="character" w:customStyle="1" w:styleId="ListLabel125">
    <w:name w:val="ListLabel 125"/>
    <w:qFormat/>
    <w:rPr>
      <w:lang w:val="pl-PL" w:eastAsia="en-US" w:bidi="ar-SA"/>
    </w:rPr>
  </w:style>
  <w:style w:type="character" w:customStyle="1" w:styleId="ListLabel126">
    <w:name w:val="ListLabel 126"/>
    <w:qFormat/>
    <w:rPr>
      <w:lang w:val="pl-PL" w:eastAsia="en-US" w:bidi="ar-SA"/>
    </w:rPr>
  </w:style>
  <w:style w:type="character" w:customStyle="1" w:styleId="ListLabel127">
    <w:name w:val="ListLabel 127"/>
    <w:qFormat/>
    <w:rPr>
      <w:lang w:val="pl-PL" w:eastAsia="en-US" w:bidi="ar-SA"/>
    </w:rPr>
  </w:style>
  <w:style w:type="character" w:customStyle="1" w:styleId="ListLabel128">
    <w:name w:val="ListLabel 128"/>
    <w:qFormat/>
    <w:rPr>
      <w:lang w:val="pl-PL" w:eastAsia="en-US" w:bidi="ar-SA"/>
    </w:rPr>
  </w:style>
  <w:style w:type="character" w:customStyle="1" w:styleId="ListLabel129">
    <w:name w:val="ListLabel 129"/>
    <w:qFormat/>
    <w:rPr>
      <w:lang w:val="pl-PL" w:eastAsia="en-US" w:bidi="ar-SA"/>
    </w:rPr>
  </w:style>
  <w:style w:type="character" w:customStyle="1" w:styleId="ListLabel130">
    <w:name w:val="ListLabel 130"/>
    <w:qFormat/>
    <w:rPr>
      <w:lang w:val="pl-PL" w:eastAsia="en-US" w:bidi="ar-SA"/>
    </w:rPr>
  </w:style>
  <w:style w:type="character" w:customStyle="1" w:styleId="ListLabel131">
    <w:name w:val="ListLabel 131"/>
    <w:qFormat/>
    <w:rPr>
      <w:lang w:val="pl-PL" w:eastAsia="en-US" w:bidi="ar-SA"/>
    </w:rPr>
  </w:style>
  <w:style w:type="character" w:customStyle="1" w:styleId="ListLabel132">
    <w:name w:val="ListLabel 132"/>
    <w:qFormat/>
    <w:rPr>
      <w:lang w:val="pl-PL" w:eastAsia="en-US" w:bidi="ar-SA"/>
    </w:rPr>
  </w:style>
  <w:style w:type="character" w:customStyle="1" w:styleId="ListLabel133">
    <w:name w:val="ListLabel 133"/>
    <w:qFormat/>
    <w:rPr>
      <w:rFonts w:eastAsia="Times New Roman" w:cs="Times New Roman"/>
      <w:spacing w:val="-1"/>
      <w:w w:val="99"/>
      <w:sz w:val="24"/>
      <w:szCs w:val="24"/>
      <w:lang w:val="pl-PL" w:eastAsia="en-US" w:bidi="ar-SA"/>
    </w:rPr>
  </w:style>
  <w:style w:type="character" w:customStyle="1" w:styleId="ListLabel134">
    <w:name w:val="ListLabel 134"/>
    <w:qFormat/>
    <w:rPr>
      <w:rFonts w:eastAsia="Carlito" w:cs="Carlito"/>
      <w:spacing w:val="-8"/>
      <w:w w:val="100"/>
      <w:sz w:val="24"/>
      <w:szCs w:val="24"/>
      <w:lang w:val="pl-PL" w:eastAsia="en-US" w:bidi="ar-SA"/>
    </w:rPr>
  </w:style>
  <w:style w:type="character" w:customStyle="1" w:styleId="ListLabel135">
    <w:name w:val="ListLabel 135"/>
    <w:qFormat/>
    <w:rPr>
      <w:lang w:val="pl-PL" w:eastAsia="en-US" w:bidi="ar-SA"/>
    </w:rPr>
  </w:style>
  <w:style w:type="character" w:customStyle="1" w:styleId="ListLabel136">
    <w:name w:val="ListLabel 136"/>
    <w:qFormat/>
    <w:rPr>
      <w:lang w:val="pl-PL" w:eastAsia="en-US" w:bidi="ar-SA"/>
    </w:rPr>
  </w:style>
  <w:style w:type="character" w:customStyle="1" w:styleId="ListLabel137">
    <w:name w:val="ListLabel 137"/>
    <w:qFormat/>
    <w:rPr>
      <w:lang w:val="pl-PL" w:eastAsia="en-US" w:bidi="ar-SA"/>
    </w:rPr>
  </w:style>
  <w:style w:type="character" w:customStyle="1" w:styleId="ListLabel138">
    <w:name w:val="ListLabel 138"/>
    <w:qFormat/>
    <w:rPr>
      <w:lang w:val="pl-PL" w:eastAsia="en-US" w:bidi="ar-SA"/>
    </w:rPr>
  </w:style>
  <w:style w:type="character" w:customStyle="1" w:styleId="ListLabel139">
    <w:name w:val="ListLabel 139"/>
    <w:qFormat/>
    <w:rPr>
      <w:lang w:val="pl-PL" w:eastAsia="en-US" w:bidi="ar-SA"/>
    </w:rPr>
  </w:style>
  <w:style w:type="character" w:customStyle="1" w:styleId="ListLabel140">
    <w:name w:val="ListLabel 140"/>
    <w:qFormat/>
    <w:rPr>
      <w:lang w:val="pl-PL" w:eastAsia="en-US" w:bidi="ar-SA"/>
    </w:rPr>
  </w:style>
  <w:style w:type="character" w:customStyle="1" w:styleId="ListLabel141">
    <w:name w:val="ListLabel 141"/>
    <w:qFormat/>
    <w:rPr>
      <w:lang w:val="pl-PL" w:eastAsia="en-US" w:bidi="ar-SA"/>
    </w:rPr>
  </w:style>
  <w:style w:type="character" w:customStyle="1" w:styleId="ListLabel142">
    <w:name w:val="ListLabel 142"/>
    <w:qFormat/>
    <w:rPr>
      <w:rFonts w:eastAsia="Times New Roman" w:cs="Times New Roman"/>
      <w:spacing w:val="-23"/>
      <w:w w:val="99"/>
      <w:sz w:val="24"/>
      <w:szCs w:val="24"/>
      <w:lang w:val="pl-PL" w:eastAsia="en-US" w:bidi="ar-SA"/>
    </w:rPr>
  </w:style>
  <w:style w:type="character" w:customStyle="1" w:styleId="ListLabel143">
    <w:name w:val="ListLabel 143"/>
    <w:qFormat/>
    <w:rPr>
      <w:lang w:val="pl-PL" w:eastAsia="en-US" w:bidi="ar-SA"/>
    </w:rPr>
  </w:style>
  <w:style w:type="character" w:customStyle="1" w:styleId="ListLabel144">
    <w:name w:val="ListLabel 144"/>
    <w:qFormat/>
    <w:rPr>
      <w:lang w:val="pl-PL" w:eastAsia="en-US" w:bidi="ar-SA"/>
    </w:rPr>
  </w:style>
  <w:style w:type="character" w:customStyle="1" w:styleId="ListLabel145">
    <w:name w:val="ListLabel 145"/>
    <w:qFormat/>
    <w:rPr>
      <w:lang w:val="pl-PL" w:eastAsia="en-US" w:bidi="ar-SA"/>
    </w:rPr>
  </w:style>
  <w:style w:type="character" w:customStyle="1" w:styleId="ListLabel146">
    <w:name w:val="ListLabel 146"/>
    <w:qFormat/>
    <w:rPr>
      <w:lang w:val="pl-PL" w:eastAsia="en-US" w:bidi="ar-SA"/>
    </w:rPr>
  </w:style>
  <w:style w:type="character" w:customStyle="1" w:styleId="ListLabel147">
    <w:name w:val="ListLabel 147"/>
    <w:qFormat/>
    <w:rPr>
      <w:lang w:val="pl-PL" w:eastAsia="en-US" w:bidi="ar-SA"/>
    </w:rPr>
  </w:style>
  <w:style w:type="character" w:customStyle="1" w:styleId="ListLabel148">
    <w:name w:val="ListLabel 148"/>
    <w:qFormat/>
    <w:rPr>
      <w:lang w:val="pl-PL" w:eastAsia="en-US" w:bidi="ar-SA"/>
    </w:rPr>
  </w:style>
  <w:style w:type="character" w:customStyle="1" w:styleId="ListLabel149">
    <w:name w:val="ListLabel 149"/>
    <w:qFormat/>
    <w:rPr>
      <w:lang w:val="pl-PL" w:eastAsia="en-US" w:bidi="ar-SA"/>
    </w:rPr>
  </w:style>
  <w:style w:type="character" w:customStyle="1" w:styleId="ListLabel150">
    <w:name w:val="ListLabel 150"/>
    <w:qFormat/>
    <w:rPr>
      <w:lang w:val="pl-PL" w:eastAsia="en-US" w:bidi="ar-SA"/>
    </w:rPr>
  </w:style>
  <w:style w:type="character" w:customStyle="1" w:styleId="ListLabel151">
    <w:name w:val="ListLabel 151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customStyle="1" w:styleId="ListLabel152">
    <w:name w:val="ListLabel 152"/>
    <w:qFormat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customStyle="1" w:styleId="ListLabel153">
    <w:name w:val="ListLabel 153"/>
    <w:qFormat/>
    <w:rPr>
      <w:lang w:val="pl-PL" w:eastAsia="en-US" w:bidi="ar-SA"/>
    </w:rPr>
  </w:style>
  <w:style w:type="character" w:customStyle="1" w:styleId="ListLabel154">
    <w:name w:val="ListLabel 154"/>
    <w:qFormat/>
    <w:rPr>
      <w:lang w:val="pl-PL" w:eastAsia="en-US" w:bidi="ar-SA"/>
    </w:rPr>
  </w:style>
  <w:style w:type="character" w:customStyle="1" w:styleId="ListLabel155">
    <w:name w:val="ListLabel 155"/>
    <w:qFormat/>
    <w:rPr>
      <w:lang w:val="pl-PL" w:eastAsia="en-US" w:bidi="ar-SA"/>
    </w:rPr>
  </w:style>
  <w:style w:type="character" w:customStyle="1" w:styleId="ListLabel156">
    <w:name w:val="ListLabel 156"/>
    <w:qFormat/>
    <w:rPr>
      <w:lang w:val="pl-PL" w:eastAsia="en-US" w:bidi="ar-SA"/>
    </w:rPr>
  </w:style>
  <w:style w:type="character" w:customStyle="1" w:styleId="ListLabel157">
    <w:name w:val="ListLabel 157"/>
    <w:qFormat/>
    <w:rPr>
      <w:lang w:val="pl-PL" w:eastAsia="en-US" w:bidi="ar-SA"/>
    </w:rPr>
  </w:style>
  <w:style w:type="character" w:customStyle="1" w:styleId="ListLabel158">
    <w:name w:val="ListLabel 158"/>
    <w:qFormat/>
    <w:rPr>
      <w:lang w:val="pl-PL" w:eastAsia="en-US" w:bidi="ar-SA"/>
    </w:rPr>
  </w:style>
  <w:style w:type="character" w:customStyle="1" w:styleId="ListLabel159">
    <w:name w:val="ListLabel 159"/>
    <w:qFormat/>
    <w:rPr>
      <w:lang w:val="pl-PL" w:eastAsia="en-US" w:bidi="ar-SA"/>
    </w:rPr>
  </w:style>
  <w:style w:type="character" w:customStyle="1" w:styleId="ListLabel160">
    <w:name w:val="ListLabel 160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customStyle="1" w:styleId="ListLabel161">
    <w:name w:val="ListLabel 161"/>
    <w:qFormat/>
    <w:rPr>
      <w:lang w:val="pl-PL" w:eastAsia="en-US" w:bidi="ar-SA"/>
    </w:rPr>
  </w:style>
  <w:style w:type="character" w:customStyle="1" w:styleId="ListLabel162">
    <w:name w:val="ListLabel 162"/>
    <w:qFormat/>
    <w:rPr>
      <w:lang w:val="pl-PL" w:eastAsia="en-US" w:bidi="ar-SA"/>
    </w:rPr>
  </w:style>
  <w:style w:type="character" w:customStyle="1" w:styleId="ListLabel163">
    <w:name w:val="ListLabel 163"/>
    <w:qFormat/>
    <w:rPr>
      <w:lang w:val="pl-PL" w:eastAsia="en-US" w:bidi="ar-SA"/>
    </w:rPr>
  </w:style>
  <w:style w:type="character" w:customStyle="1" w:styleId="ListLabel164">
    <w:name w:val="ListLabel 164"/>
    <w:qFormat/>
    <w:rPr>
      <w:lang w:val="pl-PL" w:eastAsia="en-US" w:bidi="ar-SA"/>
    </w:rPr>
  </w:style>
  <w:style w:type="character" w:customStyle="1" w:styleId="ListLabel165">
    <w:name w:val="ListLabel 165"/>
    <w:qFormat/>
    <w:rPr>
      <w:lang w:val="pl-PL" w:eastAsia="en-US" w:bidi="ar-SA"/>
    </w:rPr>
  </w:style>
  <w:style w:type="character" w:customStyle="1" w:styleId="ListLabel166">
    <w:name w:val="ListLabel 166"/>
    <w:qFormat/>
    <w:rPr>
      <w:lang w:val="pl-PL" w:eastAsia="en-US" w:bidi="ar-SA"/>
    </w:rPr>
  </w:style>
  <w:style w:type="character" w:customStyle="1" w:styleId="ListLabel167">
    <w:name w:val="ListLabel 167"/>
    <w:qFormat/>
    <w:rPr>
      <w:lang w:val="pl-PL" w:eastAsia="en-US" w:bidi="ar-SA"/>
    </w:rPr>
  </w:style>
  <w:style w:type="character" w:customStyle="1" w:styleId="ListLabel168">
    <w:name w:val="ListLabel 168"/>
    <w:qFormat/>
    <w:rPr>
      <w:lang w:val="pl-PL" w:eastAsia="en-US" w:bidi="ar-SA"/>
    </w:rPr>
  </w:style>
  <w:style w:type="character" w:customStyle="1" w:styleId="ListLabel169">
    <w:name w:val="ListLabel 169"/>
    <w:qFormat/>
    <w:rPr>
      <w:rFonts w:eastAsia="Times New Roman" w:cs="Times New Roman"/>
      <w:spacing w:val="-1"/>
      <w:w w:val="99"/>
      <w:sz w:val="24"/>
      <w:szCs w:val="24"/>
      <w:lang w:val="pl-PL" w:eastAsia="en-US" w:bidi="ar-SA"/>
    </w:rPr>
  </w:style>
  <w:style w:type="character" w:customStyle="1" w:styleId="ListLabel170">
    <w:name w:val="ListLabel 170"/>
    <w:qFormat/>
    <w:rPr>
      <w:rFonts w:eastAsia="Times New Roman" w:cs="Times New Roman"/>
      <w:spacing w:val="-24"/>
      <w:w w:val="99"/>
      <w:sz w:val="24"/>
      <w:szCs w:val="24"/>
      <w:lang w:val="pl-PL" w:eastAsia="en-US" w:bidi="ar-SA"/>
    </w:rPr>
  </w:style>
  <w:style w:type="character" w:customStyle="1" w:styleId="ListLabel171">
    <w:name w:val="ListLabel 171"/>
    <w:qFormat/>
    <w:rPr>
      <w:lang w:val="pl-PL" w:eastAsia="en-US" w:bidi="ar-SA"/>
    </w:rPr>
  </w:style>
  <w:style w:type="character" w:customStyle="1" w:styleId="ListLabel172">
    <w:name w:val="ListLabel 172"/>
    <w:qFormat/>
    <w:rPr>
      <w:lang w:val="pl-PL" w:eastAsia="en-US" w:bidi="ar-SA"/>
    </w:rPr>
  </w:style>
  <w:style w:type="character" w:customStyle="1" w:styleId="ListLabel173">
    <w:name w:val="ListLabel 173"/>
    <w:qFormat/>
    <w:rPr>
      <w:lang w:val="pl-PL" w:eastAsia="en-US" w:bidi="ar-SA"/>
    </w:rPr>
  </w:style>
  <w:style w:type="character" w:customStyle="1" w:styleId="ListLabel174">
    <w:name w:val="ListLabel 174"/>
    <w:qFormat/>
    <w:rPr>
      <w:lang w:val="pl-PL" w:eastAsia="en-US" w:bidi="ar-SA"/>
    </w:rPr>
  </w:style>
  <w:style w:type="character" w:customStyle="1" w:styleId="ListLabel175">
    <w:name w:val="ListLabel 175"/>
    <w:qFormat/>
    <w:rPr>
      <w:lang w:val="pl-PL" w:eastAsia="en-US" w:bidi="ar-SA"/>
    </w:rPr>
  </w:style>
  <w:style w:type="character" w:customStyle="1" w:styleId="ListLabel176">
    <w:name w:val="ListLabel 176"/>
    <w:qFormat/>
    <w:rPr>
      <w:lang w:val="pl-PL" w:eastAsia="en-US" w:bidi="ar-SA"/>
    </w:rPr>
  </w:style>
  <w:style w:type="character" w:customStyle="1" w:styleId="ListLabel177">
    <w:name w:val="ListLabel 177"/>
    <w:qFormat/>
    <w:rPr>
      <w:lang w:val="pl-PL" w:eastAsia="en-US" w:bidi="ar-SA"/>
    </w:rPr>
  </w:style>
  <w:style w:type="character" w:customStyle="1" w:styleId="ListLabel178">
    <w:name w:val="ListLabel 178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customStyle="1" w:styleId="ListLabel179">
    <w:name w:val="ListLabel 179"/>
    <w:qFormat/>
    <w:rPr>
      <w:lang w:val="pl-PL" w:eastAsia="en-US" w:bidi="ar-SA"/>
    </w:rPr>
  </w:style>
  <w:style w:type="character" w:customStyle="1" w:styleId="ListLabel180">
    <w:name w:val="ListLabel 180"/>
    <w:qFormat/>
    <w:rPr>
      <w:lang w:val="pl-PL" w:eastAsia="en-US" w:bidi="ar-SA"/>
    </w:rPr>
  </w:style>
  <w:style w:type="character" w:customStyle="1" w:styleId="ListLabel181">
    <w:name w:val="ListLabel 181"/>
    <w:qFormat/>
    <w:rPr>
      <w:lang w:val="pl-PL" w:eastAsia="en-US" w:bidi="ar-SA"/>
    </w:rPr>
  </w:style>
  <w:style w:type="character" w:customStyle="1" w:styleId="ListLabel182">
    <w:name w:val="ListLabel 182"/>
    <w:qFormat/>
    <w:rPr>
      <w:lang w:val="pl-PL" w:eastAsia="en-US" w:bidi="ar-SA"/>
    </w:rPr>
  </w:style>
  <w:style w:type="character" w:customStyle="1" w:styleId="ListLabel183">
    <w:name w:val="ListLabel 183"/>
    <w:qFormat/>
    <w:rPr>
      <w:lang w:val="pl-PL" w:eastAsia="en-US" w:bidi="ar-SA"/>
    </w:rPr>
  </w:style>
  <w:style w:type="character" w:customStyle="1" w:styleId="ListLabel184">
    <w:name w:val="ListLabel 184"/>
    <w:qFormat/>
    <w:rPr>
      <w:lang w:val="pl-PL" w:eastAsia="en-US" w:bidi="ar-SA"/>
    </w:rPr>
  </w:style>
  <w:style w:type="character" w:customStyle="1" w:styleId="ListLabel185">
    <w:name w:val="ListLabel 185"/>
    <w:qFormat/>
    <w:rPr>
      <w:lang w:val="pl-PL" w:eastAsia="en-US" w:bidi="ar-SA"/>
    </w:rPr>
  </w:style>
  <w:style w:type="character" w:customStyle="1" w:styleId="ListLabel186">
    <w:name w:val="ListLabel 186"/>
    <w:qFormat/>
    <w:rPr>
      <w:lang w:val="pl-PL" w:eastAsia="en-US" w:bidi="ar-SA"/>
    </w:rPr>
  </w:style>
  <w:style w:type="character" w:customStyle="1" w:styleId="ListLabel187">
    <w:name w:val="ListLabel 187"/>
    <w:qFormat/>
    <w:rPr>
      <w:rFonts w:eastAsia="Times New Roman" w:cs="Tahoma"/>
    </w:rPr>
  </w:style>
  <w:style w:type="character" w:customStyle="1" w:styleId="ListLabel188">
    <w:name w:val="ListLabel 188"/>
    <w:qFormat/>
    <w:rPr>
      <w:rFonts w:eastAsia="Times New Roman" w:cs="Tahoma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ascii="Liberation Serif" w:eastAsia="Liberation Serif" w:hAnsi="Liberation Serif" w:cs="Liberation Serif"/>
      <w:b/>
      <w:w w:val="100"/>
      <w:sz w:val="22"/>
      <w:szCs w:val="22"/>
      <w:lang w:val="pl-PL" w:eastAsia="en-US" w:bidi="ar-SA"/>
    </w:rPr>
  </w:style>
  <w:style w:type="character" w:customStyle="1" w:styleId="ListLabel196">
    <w:name w:val="ListLabel 196"/>
    <w:qFormat/>
    <w:rPr>
      <w:lang w:val="pl-PL" w:eastAsia="en-US" w:bidi="ar-SA"/>
    </w:rPr>
  </w:style>
  <w:style w:type="character" w:customStyle="1" w:styleId="ListLabel197">
    <w:name w:val="ListLabel 197"/>
    <w:qFormat/>
    <w:rPr>
      <w:lang w:val="pl-PL" w:eastAsia="en-US" w:bidi="ar-SA"/>
    </w:rPr>
  </w:style>
  <w:style w:type="character" w:customStyle="1" w:styleId="ListLabel198">
    <w:name w:val="ListLabel 198"/>
    <w:qFormat/>
    <w:rPr>
      <w:lang w:val="pl-PL" w:eastAsia="en-US" w:bidi="ar-SA"/>
    </w:rPr>
  </w:style>
  <w:style w:type="character" w:customStyle="1" w:styleId="ListLabel199">
    <w:name w:val="ListLabel 199"/>
    <w:qFormat/>
    <w:rPr>
      <w:lang w:val="pl-PL" w:eastAsia="en-US" w:bidi="ar-SA"/>
    </w:rPr>
  </w:style>
  <w:style w:type="character" w:customStyle="1" w:styleId="ListLabel200">
    <w:name w:val="ListLabel 200"/>
    <w:qFormat/>
    <w:rPr>
      <w:lang w:val="pl-PL" w:eastAsia="en-US" w:bidi="ar-SA"/>
    </w:rPr>
  </w:style>
  <w:style w:type="character" w:customStyle="1" w:styleId="ListLabel201">
    <w:name w:val="ListLabel 201"/>
    <w:qFormat/>
    <w:rPr>
      <w:lang w:val="pl-PL" w:eastAsia="en-US" w:bidi="ar-SA"/>
    </w:rPr>
  </w:style>
  <w:style w:type="character" w:customStyle="1" w:styleId="ListLabel202">
    <w:name w:val="ListLabel 202"/>
    <w:qFormat/>
    <w:rPr>
      <w:lang w:val="pl-PL" w:eastAsia="en-US" w:bidi="ar-SA"/>
    </w:rPr>
  </w:style>
  <w:style w:type="character" w:customStyle="1" w:styleId="ListLabel203">
    <w:name w:val="ListLabel 203"/>
    <w:qFormat/>
    <w:rPr>
      <w:lang w:val="pl-PL" w:eastAsia="en-US" w:bidi="ar-SA"/>
    </w:rPr>
  </w:style>
  <w:style w:type="character" w:customStyle="1" w:styleId="ListLabel204">
    <w:name w:val="ListLabel 204"/>
    <w:qFormat/>
    <w:rPr>
      <w:rFonts w:ascii="Liberation Serif" w:hAnsi="Liberation Serif"/>
      <w:b/>
      <w:sz w:val="22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0D1B4F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unhideWhenUsed/>
    <w:rsid w:val="000D1B4F"/>
    <w:rPr>
      <w:rFonts w:ascii="Tahoma" w:eastAsia="Times New Roman" w:hAnsi="Tahoma" w:cs="Tahoma"/>
      <w:b/>
      <w:bCs/>
      <w:color w:val="00000A"/>
      <w:sz w:val="24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qFormat/>
    <w:rsid w:val="000D1B4F"/>
    <w:pPr>
      <w:tabs>
        <w:tab w:val="left" w:pos="180"/>
      </w:tabs>
      <w:suppressAutoHyphens/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0D1B4F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D1B4F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0D1B4F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D1B4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qFormat/>
    <w:rsid w:val="000D1B4F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0D1B4F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rsid w:val="000D1B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0D1B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0D1B4F"/>
    <w:rPr>
      <w:rFonts w:cstheme="minorBidi"/>
      <w:lang w:eastAsia="en-US"/>
    </w:rPr>
  </w:style>
  <w:style w:type="paragraph" w:styleId="Tytu">
    <w:name w:val="Title"/>
    <w:basedOn w:val="Normalny"/>
    <w:link w:val="TytuZnak"/>
    <w:qFormat/>
    <w:rsid w:val="000D1B4F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0D1B4F"/>
    <w:rPr>
      <w:rFonts w:ascii="Times New Roman" w:eastAsia="Times New Roman" w:hAnsi="Times New Roman" w:cs="Times New Roman"/>
    </w:rPr>
  </w:style>
  <w:style w:type="paragraph" w:styleId="Tekstpodstawowy20">
    <w:name w:val="Body Text 2"/>
    <w:basedOn w:val="Normalny"/>
    <w:qFormat/>
    <w:rsid w:val="000D1B4F"/>
    <w:rPr>
      <w:rFonts w:ascii="Arial" w:eastAsia="Times New Roman" w:hAnsi="Arial" w:cs="Times New Roman"/>
      <w:szCs w:val="24"/>
    </w:rPr>
  </w:style>
  <w:style w:type="paragraph" w:customStyle="1" w:styleId="ust">
    <w:name w:val="ust"/>
    <w:qFormat/>
    <w:rsid w:val="000D1B4F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">
    <w:name w:val="Tekst podstawowy2"/>
    <w:basedOn w:val="Normalny"/>
    <w:link w:val="Tekstpodstawowy2Znak"/>
    <w:qFormat/>
    <w:rsid w:val="000D1B4F"/>
    <w:pPr>
      <w:shd w:val="clear" w:color="auto" w:fill="FFFFFF"/>
      <w:spacing w:before="180" w:after="480" w:line="182" w:lineRule="exact"/>
      <w:ind w:hanging="420"/>
    </w:pPr>
    <w:rPr>
      <w:rFonts w:ascii="Arial" w:eastAsia="Arial" w:hAnsi="Arial"/>
      <w:sz w:val="14"/>
      <w:szCs w:val="14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0D1B4F"/>
    <w:rPr>
      <w:rFonts w:ascii="Times New Roman" w:eastAsia="Times New Roman" w:hAnsi="Times New Roman" w:cs="Times New Roman"/>
    </w:rPr>
  </w:style>
  <w:style w:type="paragraph" w:customStyle="1" w:styleId="Arial12CE">
    <w:name w:val="Arial 12 CE"/>
    <w:basedOn w:val="Normalny"/>
    <w:qFormat/>
    <w:rsid w:val="000D1B4F"/>
    <w:pPr>
      <w:suppressAutoHyphens/>
      <w:spacing w:line="360" w:lineRule="auto"/>
      <w:jc w:val="both"/>
    </w:pPr>
    <w:rPr>
      <w:rFonts w:ascii="Arial" w:hAnsi="Arial" w:cs="Times New Roman"/>
      <w:sz w:val="24"/>
      <w:lang w:eastAsia="ar-SA"/>
    </w:rPr>
  </w:style>
  <w:style w:type="paragraph" w:customStyle="1" w:styleId="Tabelapozycja">
    <w:name w:val="Tabela pozycja"/>
    <w:basedOn w:val="Normalny"/>
    <w:qFormat/>
    <w:rsid w:val="000D1B4F"/>
    <w:rPr>
      <w:rFonts w:ascii="Arial" w:eastAsia="MS Outlook" w:hAnsi="Arial" w:cs="Times New Roman"/>
      <w:sz w:val="22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161F"/>
    <w:rPr>
      <w:rFonts w:ascii="Calibri" w:eastAsia="Calibri" w:hAnsi="Calibri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774F26"/>
    <w:pPr>
      <w:widowControl w:val="0"/>
      <w:ind w:left="11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semiHidden/>
    <w:qFormat/>
    <w:rsid w:val="000A1E7A"/>
  </w:style>
  <w:style w:type="table" w:styleId="Tabela-Siatka">
    <w:name w:val="Table Grid"/>
    <w:basedOn w:val="Standardowy"/>
    <w:uiPriority w:val="59"/>
    <w:rsid w:val="000A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0A1E7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4FE-54EF-43CE-A90E-0F4B782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1606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2022-08-19T12:55:00Z</cp:lastPrinted>
  <dcterms:created xsi:type="dcterms:W3CDTF">2022-12-07T14:58:00Z</dcterms:created>
  <dcterms:modified xsi:type="dcterms:W3CDTF">2022-12-08T12:07:00Z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