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B62" w14:textId="4BCFDD49" w:rsidR="00F747B5" w:rsidRDefault="00F747B5" w:rsidP="00F747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GO-DM.7013.3.20.2021  </w:t>
      </w:r>
    </w:p>
    <w:p w14:paraId="00D5E54C" w14:textId="77777777" w:rsidR="00F747B5" w:rsidRDefault="00F747B5" w:rsidP="00F747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Stan istniejący: </w:t>
      </w:r>
    </w:p>
    <w:p w14:paraId="28CA4E28" w14:textId="27586526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gminna działka nr 119 ul. Miłosza w miejscowości Drewnica, obręb Drewnica posiada lokalizację od drogi powiatowej nr 2332 posiada nawierzchnię z płyt drogowych pełnych na odcinku około 100 m, na pozostałym odcinku posiada nawierzchnię z gruntu rodzimego wzmocnionego kruszywem betonowym. </w:t>
      </w:r>
    </w:p>
    <w:p w14:paraId="2E327487" w14:textId="77777777" w:rsidR="00DA279C" w:rsidRDefault="00DA279C" w:rsidP="00DA2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gminna działka nr 119 w miejscowości Drewnica stanowi drogę gminną, publiczną. </w:t>
      </w:r>
    </w:p>
    <w:p w14:paraId="052D195B" w14:textId="77777777" w:rsidR="00DA279C" w:rsidRDefault="00DA279C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51B30" w14:textId="77777777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Stan projektowany:</w:t>
      </w:r>
    </w:p>
    <w:p w14:paraId="4E90F0CB" w14:textId="1EDEC28A" w:rsidR="00F747B5" w:rsidRDefault="00F747B5" w:rsidP="00F7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droga gminna działka nr 119 w miejscowości Drewnica o długości ok. </w:t>
      </w:r>
      <w:r w:rsidRPr="005B0E3F">
        <w:rPr>
          <w:rFonts w:ascii="Times New Roman" w:hAnsi="Times New Roman" w:cs="Times New Roman"/>
          <w:sz w:val="24"/>
          <w:szCs w:val="24"/>
        </w:rPr>
        <w:t xml:space="preserve">530 m </w:t>
      </w:r>
    </w:p>
    <w:p w14:paraId="297270A4" w14:textId="148E67A1" w:rsidR="00F747B5" w:rsidRDefault="00F747B5" w:rsidP="00F7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nawierzchni z płyt betonowych, ażurowych typu IOMB (</w:t>
      </w:r>
      <w:r w:rsidR="005B0E3F">
        <w:rPr>
          <w:rFonts w:ascii="Times New Roman" w:hAnsi="Times New Roman" w:cs="Times New Roman"/>
          <w:sz w:val="24"/>
          <w:szCs w:val="24"/>
        </w:rPr>
        <w:t>nowe</w:t>
      </w:r>
      <w:r>
        <w:rPr>
          <w:rFonts w:ascii="Times New Roman" w:hAnsi="Times New Roman" w:cs="Times New Roman"/>
          <w:sz w:val="24"/>
          <w:szCs w:val="24"/>
        </w:rPr>
        <w:t xml:space="preserve">), szerokości ok. </w:t>
      </w:r>
    </w:p>
    <w:p w14:paraId="265815B4" w14:textId="77777777" w:rsidR="00F747B5" w:rsidRDefault="00F747B5" w:rsidP="00F7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m.</w:t>
      </w:r>
    </w:p>
    <w:p w14:paraId="1C4550DE" w14:textId="77777777" w:rsidR="00F747B5" w:rsidRDefault="00F747B5" w:rsidP="00F74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E21CE" w14:textId="7C9E90F4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Projektuje się odwodnienie powierzchniowe. Należy uwzględnić konieczność dowiązania do drogi powiatowej. </w:t>
      </w:r>
    </w:p>
    <w:p w14:paraId="2243B90D" w14:textId="52353BD4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wykonanie dokumentacji obejmującej:</w:t>
      </w:r>
    </w:p>
    <w:p w14:paraId="1B1ED9B4" w14:textId="5F451C04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budowlany,</w:t>
      </w:r>
    </w:p>
    <w:p w14:paraId="7950A3C9" w14:textId="55F20865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specyfikację techniczną wykonania i odbioru robót,</w:t>
      </w:r>
    </w:p>
    <w:p w14:paraId="099287CA" w14:textId="77777777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przedmiar, </w:t>
      </w:r>
    </w:p>
    <w:p w14:paraId="5570091A" w14:textId="77777777" w:rsidR="00F747B5" w:rsidRDefault="00F747B5" w:rsidP="00F74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kosztorys.</w:t>
      </w:r>
    </w:p>
    <w:p w14:paraId="57A9634C" w14:textId="77777777" w:rsidR="003E2378" w:rsidRPr="00F747B5" w:rsidRDefault="003E2378" w:rsidP="00F747B5"/>
    <w:sectPr w:rsidR="003E2378" w:rsidRPr="00F747B5" w:rsidSect="00F747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B5"/>
    <w:rsid w:val="003E2378"/>
    <w:rsid w:val="004E0707"/>
    <w:rsid w:val="005B0E3F"/>
    <w:rsid w:val="00DA279C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015"/>
  <w15:chartTrackingRefBased/>
  <w15:docId w15:val="{3812B7FE-0F3E-4057-9F44-8BF4985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4</cp:revision>
  <dcterms:created xsi:type="dcterms:W3CDTF">2021-07-29T13:25:00Z</dcterms:created>
  <dcterms:modified xsi:type="dcterms:W3CDTF">2021-08-05T15:20:00Z</dcterms:modified>
</cp:coreProperties>
</file>