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26111BC2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 (Dz.U.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2021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436186" w:rsidRPr="008D7C4C">
        <w:rPr>
          <w:rFonts w:ascii="Times New Roman" w:hAnsi="Times New Roman" w:cs="Times New Roman"/>
          <w:sz w:val="24"/>
          <w:szCs w:val="24"/>
        </w:rPr>
        <w:t>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552E11B5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36A247E" w14:textId="77777777" w:rsidR="00D225B3" w:rsidRDefault="00D225B3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1470F4F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1D47AD1F" w14:textId="77777777" w:rsidR="00D225B3" w:rsidRDefault="00D225B3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3685914" w14:textId="77777777" w:rsidR="00D225B3" w:rsidRDefault="00D225B3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61C95254" w:rsidR="00D74C35" w:rsidRPr="000E589D" w:rsidRDefault="00D225B3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,,Przebudowa drogi dojazdowej do gruntów rolnych w Grylewie”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7F04E" w14:textId="38EFF1CC" w:rsidR="00EA70F9" w:rsidRPr="006B2AAC" w:rsidRDefault="00D225B3" w:rsidP="00E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realizowane będzie przy udziale środków finansowych Województwa Wielkopolskiego z zadania jednorocznego pn.: budowa (przebudowa) drogi dojazdowej do gruntów rolnych.</w:t>
      </w:r>
    </w:p>
    <w:p w14:paraId="79E120D3" w14:textId="4CB5284D" w:rsidR="00EA70F9" w:rsidRPr="006B2AAC" w:rsidRDefault="00EA70F9" w:rsidP="00EA70F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A70F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</w:p>
    <w:p w14:paraId="765F7D47" w14:textId="77777777" w:rsidR="00D225B3" w:rsidRDefault="00D225B3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7A06EA82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D225B3">
        <w:rPr>
          <w:rFonts w:ascii="Times New Roman" w:hAnsi="Times New Roman" w:cs="Times New Roman"/>
          <w:b/>
          <w:sz w:val="24"/>
          <w:szCs w:val="24"/>
        </w:rPr>
        <w:t>5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6CFA1E49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04A68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202DC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341F3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61815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F275E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3D26DD28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18612AAE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225B3">
        <w:rPr>
          <w:rFonts w:ascii="Times New Roman" w:hAnsi="Times New Roman" w:cs="Times New Roman"/>
          <w:sz w:val="24"/>
          <w:szCs w:val="24"/>
        </w:rPr>
        <w:t>24</w:t>
      </w:r>
      <w:r w:rsidR="006B2AAC">
        <w:rPr>
          <w:rFonts w:ascii="Times New Roman" w:hAnsi="Times New Roman" w:cs="Times New Roman"/>
          <w:sz w:val="24"/>
          <w:szCs w:val="24"/>
        </w:rPr>
        <w:t>.03.2022 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277C14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1AE676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436186" w:rsidRPr="008D7C4C">
        <w:rPr>
          <w:rFonts w:ascii="Times New Roman" w:hAnsi="Times New Roman" w:cs="Times New Roman"/>
          <w:sz w:val="24"/>
          <w:szCs w:val="24"/>
        </w:rPr>
        <w:t>(Dz.U. z 2021r. poz.1129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8D7C4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>zwanej dalej "ustawą Pzp"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BF4A0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DF85" w14:textId="122B2018" w:rsidR="00277FA1" w:rsidRDefault="00D225B3" w:rsidP="000E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,,Przebudowa drogi dojazdowej do gruntów rolnych w Grylewie”</w:t>
      </w:r>
    </w:p>
    <w:p w14:paraId="4996B473" w14:textId="6C5963AF" w:rsid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643A5D5" w14:textId="77777777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BDBB2DD" w14:textId="649FBC6B" w:rsidR="00D225B3" w:rsidRPr="00D225B3" w:rsidRDefault="009F514E" w:rsidP="00D225B3">
      <w:pPr>
        <w:pStyle w:val="Tekstpodstawowy"/>
        <w:ind w:left="708"/>
        <w:rPr>
          <w:rFonts w:eastAsia="Calibri"/>
          <w:b/>
        </w:rPr>
      </w:pPr>
      <w:r w:rsidRPr="00FB4A19">
        <w:rPr>
          <w:rFonts w:eastAsia="Calibri"/>
        </w:rPr>
        <w:t>KOD GŁÓWNY:</w:t>
      </w:r>
      <w:r w:rsidR="009836CE">
        <w:rPr>
          <w:rFonts w:eastAsia="Calibri"/>
        </w:rPr>
        <w:t xml:space="preserve"> </w:t>
      </w:r>
      <w:r w:rsidR="00D225B3" w:rsidRPr="00D225B3">
        <w:rPr>
          <w:b/>
          <w:lang w:eastAsia="pl-PL"/>
        </w:rPr>
        <w:t>45.23.32.26 - 9</w:t>
      </w:r>
      <w:r w:rsidR="00D225B3" w:rsidRPr="00D225B3">
        <w:rPr>
          <w:b/>
          <w:lang w:eastAsia="pl-PL"/>
        </w:rPr>
        <w:tab/>
        <w:t>Roboty budowlane w zakresie dróg dojazdowych</w:t>
      </w:r>
    </w:p>
    <w:p w14:paraId="542C646E" w14:textId="3669B216" w:rsidR="00572000" w:rsidRDefault="00572000" w:rsidP="00D74C35">
      <w:pPr>
        <w:pStyle w:val="Tekstpodstawowy"/>
        <w:spacing w:line="276" w:lineRule="auto"/>
        <w:rPr>
          <w:rFonts w:eastAsia="Calibri"/>
        </w:rPr>
      </w:pPr>
    </w:p>
    <w:p w14:paraId="64E7114D" w14:textId="2CDEF1A6" w:rsidR="000E589D" w:rsidRPr="00F45C3E" w:rsidRDefault="00807EBE" w:rsidP="00F45C3E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30881CF3" w14:textId="77777777" w:rsidR="00D225B3" w:rsidRPr="00D225B3" w:rsidRDefault="00A3057E" w:rsidP="00D225B3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Calibri"/>
        </w:rPr>
        <w:tab/>
      </w:r>
      <w:r w:rsidR="00D225B3" w:rsidRPr="00D2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451</w:t>
      </w:r>
    </w:p>
    <w:p w14:paraId="70CB7283" w14:textId="77777777" w:rsidR="00D225B3" w:rsidRPr="00D225B3" w:rsidRDefault="00D225B3" w:rsidP="00D22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45.10.00.00-8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terenu pod budowę</w:t>
      </w:r>
    </w:p>
    <w:p w14:paraId="47F4FC6F" w14:textId="77777777" w:rsidR="00D225B3" w:rsidRPr="00D225B3" w:rsidRDefault="00D225B3" w:rsidP="00D225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45.11.10.00-8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w zakresie burzenia, roboty ziemne</w:t>
      </w:r>
    </w:p>
    <w:p w14:paraId="1C84F715" w14:textId="77777777" w:rsidR="00D225B3" w:rsidRPr="00D225B3" w:rsidRDefault="00D225B3" w:rsidP="00D225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45.11.12.00-0 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w zakresie przygotowania terenu pod budowę i roboty ziemne</w:t>
      </w:r>
    </w:p>
    <w:p w14:paraId="3407A26B" w14:textId="77777777" w:rsidR="00D225B3" w:rsidRPr="00D225B3" w:rsidRDefault="00D225B3" w:rsidP="00D225B3">
      <w:pPr>
        <w:spacing w:after="0" w:line="240" w:lineRule="auto"/>
        <w:ind w:left="431" w:firstLine="277"/>
        <w:jc w:val="both"/>
        <w:outlineLvl w:val="0"/>
        <w:rPr>
          <w:rFonts w:ascii="Times New Roman" w:eastAsia="Times New Roman" w:hAnsi="Times New Roman" w:cs="Times New Roman"/>
          <w:caps/>
          <w:kern w:val="32"/>
          <w:sz w:val="48"/>
          <w:szCs w:val="48"/>
          <w:lang w:val="x-none" w:eastAsia="x-none"/>
        </w:rPr>
      </w:pPr>
      <w:r w:rsidRPr="00D225B3">
        <w:rPr>
          <w:rFonts w:ascii="Times New Roman" w:eastAsia="Times New Roman" w:hAnsi="Times New Roman" w:cs="Times New Roman"/>
          <w:caps/>
          <w:kern w:val="32"/>
          <w:sz w:val="24"/>
          <w:szCs w:val="24"/>
          <w:lang w:val="x-none" w:eastAsia="x-none"/>
        </w:rPr>
        <w:t>45.11.27.30-1</w:t>
      </w:r>
      <w:r w:rsidRPr="00D225B3">
        <w:rPr>
          <w:rFonts w:ascii="Times New Roman" w:eastAsia="Times New Roman" w:hAnsi="Times New Roman" w:cs="Times New Roman"/>
          <w:caps/>
          <w:kern w:val="32"/>
          <w:sz w:val="24"/>
          <w:szCs w:val="24"/>
          <w:lang w:val="x-none" w:eastAsia="x-none"/>
        </w:rPr>
        <w:tab/>
      </w:r>
      <w:r w:rsidRPr="00D225B3">
        <w:rPr>
          <w:rFonts w:ascii="Times New Roman" w:eastAsia="Times New Roman" w:hAnsi="Times New Roman" w:cs="Times New Roman"/>
          <w:caps/>
          <w:kern w:val="32"/>
          <w:sz w:val="24"/>
          <w:szCs w:val="24"/>
          <w:lang w:val="x-none" w:eastAsia="x-none"/>
        </w:rPr>
        <w:tab/>
      </w:r>
      <w:r w:rsidRPr="00D225B3">
        <w:rPr>
          <w:rFonts w:ascii="Times New Roman" w:eastAsia="Times New Roman" w:hAnsi="Times New Roman" w:cs="Times New Roman"/>
          <w:caps/>
          <w:kern w:val="32"/>
          <w:sz w:val="24"/>
          <w:szCs w:val="24"/>
          <w:lang w:eastAsia="x-none"/>
        </w:rPr>
        <w:t>R</w:t>
      </w:r>
      <w:r w:rsidRPr="00D225B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oboty w zakresie kształtowania dróg i autostrad </w:t>
      </w:r>
    </w:p>
    <w:p w14:paraId="23EEA8C8" w14:textId="77777777" w:rsidR="00D225B3" w:rsidRPr="00D225B3" w:rsidRDefault="00D225B3" w:rsidP="00D225B3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452</w:t>
      </w:r>
    </w:p>
    <w:p w14:paraId="15CDC631" w14:textId="4B974491" w:rsidR="00D225B3" w:rsidRPr="00D225B3" w:rsidRDefault="00D225B3" w:rsidP="00D225B3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45.23.32.20-7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nawierzchni dróg</w:t>
      </w:r>
    </w:p>
    <w:p w14:paraId="12390EDC" w14:textId="77777777" w:rsidR="00D225B3" w:rsidRPr="00D225B3" w:rsidRDefault="00D225B3" w:rsidP="00D225B3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713</w:t>
      </w:r>
    </w:p>
    <w:p w14:paraId="31FBC538" w14:textId="052E43E0" w:rsidR="00D225B3" w:rsidRPr="00D225B3" w:rsidRDefault="00D225B3" w:rsidP="00D225B3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71.31.53.00-2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0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opomiarowania dla budownictwa</w:t>
      </w:r>
    </w:p>
    <w:p w14:paraId="47122833" w14:textId="22C9D122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BF4A00">
      <w:pPr>
        <w:pStyle w:val="Tekstpodstawowy"/>
        <w:numPr>
          <w:ilvl w:val="0"/>
          <w:numId w:val="43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41BA2A3F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27CBA728" w14:textId="77777777" w:rsidR="00D225B3" w:rsidRPr="00D225B3" w:rsidRDefault="00D225B3" w:rsidP="00D225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>Grylewo</w:t>
      </w:r>
    </w:p>
    <w:p w14:paraId="586FF4DF" w14:textId="77777777" w:rsidR="00E770B8" w:rsidRDefault="00D225B3" w:rsidP="00D225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ziałka ewid. nr: 101 </w:t>
      </w:r>
    </w:p>
    <w:p w14:paraId="4B283CAA" w14:textId="7A48BE36" w:rsidR="00D225B3" w:rsidRPr="00E770B8" w:rsidRDefault="00E770B8" w:rsidP="00E770B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225B3" w:rsidRPr="00D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bręb geodezyjny Grylewo </w:t>
      </w:r>
    </w:p>
    <w:p w14:paraId="7AF4F890" w14:textId="7B7824C9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77777777" w:rsidR="00124146" w:rsidRPr="006D180F" w:rsidRDefault="00D25973" w:rsidP="00BF4A0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3DE83349" w14:textId="20F6AA6E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 xml:space="preserve">Przedmiotem </w:t>
      </w:r>
      <w:r>
        <w:rPr>
          <w:bCs/>
        </w:rPr>
        <w:t>zamówienia</w:t>
      </w:r>
      <w:r w:rsidRPr="00E770B8">
        <w:rPr>
          <w:bCs/>
        </w:rPr>
        <w:t xml:space="preserve"> jest wykonanie przebudowy drogi na odcinku o długości 1,</w:t>
      </w:r>
      <w:r w:rsidR="004866EE">
        <w:rPr>
          <w:bCs/>
        </w:rPr>
        <w:t>302</w:t>
      </w:r>
      <w:r w:rsidRPr="00E770B8">
        <w:rPr>
          <w:bCs/>
        </w:rPr>
        <w:t xml:space="preserve"> km, szerokości jezdni o pełnej konstrukcji 4,5 m wraz z obustronnym poboczem o szerokości 0,75 m oraz zjazdami do posesji. </w:t>
      </w:r>
    </w:p>
    <w:p w14:paraId="10044E11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 xml:space="preserve">Zakres robót obejmuje w szczególności: </w:t>
      </w:r>
    </w:p>
    <w:p w14:paraId="10338DCA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roboty przygotowawcze i ziemne,</w:t>
      </w:r>
    </w:p>
    <w:p w14:paraId="24D326EC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 xml:space="preserve">roboty rozbiórkowe, </w:t>
      </w:r>
    </w:p>
    <w:p w14:paraId="5388E979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wykonanie podbudowy z kruszywa łamanego,</w:t>
      </w:r>
    </w:p>
    <w:p w14:paraId="4671BA92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ułożenie warstwy wiążącej i ścieralnej z betonu asfaltowego,</w:t>
      </w:r>
    </w:p>
    <w:p w14:paraId="140F574C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wykonanie zjazdów,</w:t>
      </w:r>
    </w:p>
    <w:p w14:paraId="2B94B36F" w14:textId="77777777" w:rsidR="00E770B8" w:rsidRPr="00E770B8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roboty wykończeniowe,</w:t>
      </w:r>
    </w:p>
    <w:p w14:paraId="3D28D60D" w14:textId="02B48557" w:rsidR="00572000" w:rsidRDefault="00E770B8" w:rsidP="00E770B8">
      <w:pPr>
        <w:pStyle w:val="Tekstpodstawowy"/>
        <w:ind w:left="720"/>
        <w:rPr>
          <w:bCs/>
        </w:rPr>
      </w:pPr>
      <w:r w:rsidRPr="00E770B8">
        <w:rPr>
          <w:bCs/>
        </w:rPr>
        <w:t>-</w:t>
      </w:r>
      <w:r w:rsidRPr="00E770B8">
        <w:rPr>
          <w:bCs/>
        </w:rPr>
        <w:tab/>
        <w:t>oznakowanie.</w:t>
      </w:r>
    </w:p>
    <w:p w14:paraId="32BFEBFE" w14:textId="77777777" w:rsidR="00E770B8" w:rsidRDefault="00E770B8" w:rsidP="00A00EE6">
      <w:pPr>
        <w:pStyle w:val="Tekstpodstawowy"/>
        <w:spacing w:line="276" w:lineRule="auto"/>
        <w:ind w:left="720"/>
        <w:rPr>
          <w:b/>
        </w:rPr>
      </w:pPr>
    </w:p>
    <w:p w14:paraId="6A2167B4" w14:textId="77777777" w:rsidR="00E770B8" w:rsidRDefault="00E770B8" w:rsidP="00A00EE6">
      <w:pPr>
        <w:pStyle w:val="Tekstpodstawowy"/>
        <w:spacing w:line="276" w:lineRule="auto"/>
        <w:ind w:left="720"/>
        <w:rPr>
          <w:b/>
        </w:rPr>
      </w:pPr>
    </w:p>
    <w:p w14:paraId="7A75DBB5" w14:textId="065AA3D7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4F0999">
        <w:rPr>
          <w:b/>
        </w:rPr>
        <w:t>Szczegółowy zakres prac, które należy wykonać określa dokumentacja projektowa</w:t>
      </w:r>
      <w:r w:rsidR="002B29B5">
        <w:rPr>
          <w:b/>
        </w:rPr>
        <w:t xml:space="preserve"> z tabelą równoważności,</w:t>
      </w:r>
      <w:r w:rsidR="00597E8D">
        <w:rPr>
          <w:b/>
        </w:rPr>
        <w:t xml:space="preserve"> </w:t>
      </w:r>
      <w:r w:rsidR="00A00EE6" w:rsidRPr="004F0999">
        <w:rPr>
          <w:b/>
        </w:rPr>
        <w:t xml:space="preserve">specyfikacje techniczne wykonania </w:t>
      </w:r>
      <w:r w:rsidR="00597E8D">
        <w:rPr>
          <w:b/>
        </w:rPr>
        <w:t xml:space="preserve">                    </w:t>
      </w:r>
      <w:r w:rsidR="00A00EE6" w:rsidRPr="004F0999">
        <w:rPr>
          <w:b/>
        </w:rPr>
        <w:t>i odbioru robót</w:t>
      </w:r>
      <w:r w:rsidR="002B29B5">
        <w:rPr>
          <w:b/>
        </w:rPr>
        <w:t xml:space="preserve"> oraz pomocniczo przedmiary robót, </w:t>
      </w:r>
      <w:r w:rsidR="00A00EE6" w:rsidRPr="004F0999">
        <w:rPr>
          <w:b/>
        </w:rPr>
        <w:t xml:space="preserve">które są załącznikami do niniejszej SWZ (Załączniki nr </w:t>
      </w:r>
      <w:r w:rsidR="003C4C6D">
        <w:rPr>
          <w:b/>
        </w:rPr>
        <w:t>10</w:t>
      </w:r>
      <w:r w:rsidR="00A00EE6" w:rsidRPr="004F0999">
        <w:rPr>
          <w:b/>
        </w:rPr>
        <w:t>, 1</w:t>
      </w:r>
      <w:r w:rsidR="003C4C6D">
        <w:rPr>
          <w:b/>
        </w:rPr>
        <w:t>1</w:t>
      </w:r>
      <w:r w:rsidR="00A00EE6" w:rsidRPr="004F0999">
        <w:rPr>
          <w:b/>
        </w:rPr>
        <w:t>, 1</w:t>
      </w:r>
      <w:r w:rsidR="003C4C6D">
        <w:rPr>
          <w:b/>
        </w:rPr>
        <w:t>2</w:t>
      </w:r>
      <w:r w:rsidR="000A068C">
        <w:rPr>
          <w:b/>
        </w:rPr>
        <w:t>, 13</w:t>
      </w:r>
      <w:r w:rsidR="00A00EE6" w:rsidRPr="004F0999">
        <w:rPr>
          <w:b/>
        </w:rPr>
        <w:t xml:space="preserve">).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lastRenderedPageBreak/>
        <w:t>Przepisy prawne regulujące wykonanie zamówienia</w:t>
      </w:r>
      <w:r w:rsidR="00F4433D" w:rsidRPr="007C63C8">
        <w:rPr>
          <w:b/>
        </w:rPr>
        <w:t>:</w:t>
      </w:r>
    </w:p>
    <w:p w14:paraId="61E1AD6B" w14:textId="07A79689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 xml:space="preserve">) 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017D6C07" w:rsidR="00572000" w:rsidRPr="008D7C4C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63BE487A" w14:textId="09DFBC1A" w:rsidR="00893E7B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7 lipca 1994 r. Prawo budowlane (Dz. U. z 202</w:t>
      </w:r>
      <w:r w:rsidR="006176BF">
        <w:t>1</w:t>
      </w:r>
      <w:r w:rsidR="00F4433D" w:rsidRPr="008D7C4C">
        <w:t xml:space="preserve"> r. poz. </w:t>
      </w:r>
      <w:r w:rsidR="006176BF">
        <w:t>2351</w:t>
      </w:r>
      <w:r w:rsidR="00F4433D" w:rsidRPr="008D7C4C">
        <w:t xml:space="preserve"> j. t. ze zm.</w:t>
      </w:r>
      <w:r w:rsidR="00893E7B" w:rsidRPr="008D7C4C">
        <w:t xml:space="preserve">);  </w:t>
      </w:r>
    </w:p>
    <w:p w14:paraId="15EF5819" w14:textId="77777777" w:rsidR="00771EA7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>stawa z dnia 16 kwietnia 2004 r. o wyrobach budowlanych (Dz. U. z 202</w:t>
      </w:r>
      <w:r w:rsidR="002873D6" w:rsidRPr="008D7C4C">
        <w:t xml:space="preserve">1 </w:t>
      </w:r>
      <w:r w:rsidR="00F4433D" w:rsidRPr="008D7C4C">
        <w:t xml:space="preserve">r. poz. </w:t>
      </w:r>
      <w:r w:rsidR="002873D6" w:rsidRPr="008D7C4C">
        <w:t>1213</w:t>
      </w:r>
      <w:r w:rsidR="00F4433D" w:rsidRPr="008D7C4C">
        <w:t xml:space="preserve"> j. t</w:t>
      </w:r>
      <w:r w:rsidR="002873D6" w:rsidRPr="008D7C4C">
        <w:t>.</w:t>
      </w:r>
      <w:r w:rsidR="00F4433D" w:rsidRPr="008D7C4C">
        <w:t>);</w:t>
      </w:r>
    </w:p>
    <w:p w14:paraId="1A138084" w14:textId="77777777" w:rsidR="008A2350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6 lutego 2003 r. w sprawie bezpieczeństwa i higieny pracy podczas wykonywania robót budowlanych                       (Dz. U. Nr 47, poz. 401);</w:t>
      </w:r>
      <w:r w:rsidRPr="008D7C4C">
        <w:t xml:space="preserve"> </w:t>
      </w:r>
    </w:p>
    <w:p w14:paraId="7935FBBA" w14:textId="6979439B" w:rsidR="00631CE2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R</w:t>
      </w:r>
      <w:r w:rsidR="00F4433D" w:rsidRPr="008D7C4C">
        <w:t>ozporządzenie Ministra Infrastruktury z dnia 23 czerwca 2003 r. w sprawie informacji dotyczącej bezpieczeństwa i ochrony zdrowia oraz planu bezpieczeństwa i ochrony zdrowia ( Dz. U. Nr 120, poz. 1126);</w:t>
      </w:r>
    </w:p>
    <w:p w14:paraId="6C236DD8" w14:textId="7C307CD0" w:rsidR="00FC3F42" w:rsidRDefault="00FC3F42" w:rsidP="002C2621">
      <w:pPr>
        <w:pStyle w:val="Akapitzlist"/>
        <w:numPr>
          <w:ilvl w:val="1"/>
          <w:numId w:val="7"/>
        </w:numPr>
        <w:tabs>
          <w:tab w:val="left" w:pos="993"/>
        </w:tabs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eastAsia="Times New Roman" w:hAnsi="Times New Roman" w:cs="Times New Roman"/>
          <w:sz w:val="24"/>
          <w:szCs w:val="24"/>
        </w:rPr>
        <w:t>Ustawa z dnia 19 lipca 2019 r. o zapewnieniu dostępności osobom ze szczególnymi potrzebami (Dz. U. z 2020 poz. 1062 t. j. ze zm.);</w:t>
      </w:r>
    </w:p>
    <w:p w14:paraId="367BB7B9" w14:textId="3A8957E7" w:rsidR="002B29B5" w:rsidRPr="002C2621" w:rsidRDefault="002B29B5" w:rsidP="002C2621">
      <w:pPr>
        <w:pStyle w:val="Akapitzlist"/>
        <w:numPr>
          <w:ilvl w:val="1"/>
          <w:numId w:val="7"/>
        </w:numPr>
        <w:tabs>
          <w:tab w:val="left" w:pos="1134"/>
        </w:tabs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2C2621">
        <w:rPr>
          <w:rFonts w:ascii="Times New Roman" w:hAnsi="Times New Roman" w:cs="Times New Roman"/>
          <w:sz w:val="24"/>
          <w:szCs w:val="24"/>
        </w:rPr>
        <w:t xml:space="preserve">Ustawa o drogach publicznych z dnia 21 marca 1985 r. </w:t>
      </w:r>
      <w:r w:rsidRPr="002C2621">
        <w:rPr>
          <w:rFonts w:ascii="Times New Roman" w:hAnsi="Times New Roman" w:cs="Times New Roman"/>
          <w:sz w:val="24"/>
          <w:szCs w:val="24"/>
          <w:lang w:eastAsia="pl-PL"/>
        </w:rPr>
        <w:t>(Dz. U. 2021 poz. 450 t. j. ze zm.),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396006C3" w14:textId="50E4978E" w:rsidR="00AC16FC" w:rsidRPr="007C63C8" w:rsidRDefault="00FF3E8A" w:rsidP="00BF4A00">
      <w:pPr>
        <w:pStyle w:val="Tekstpodstawowy"/>
        <w:numPr>
          <w:ilvl w:val="0"/>
          <w:numId w:val="43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6176BF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140FAC04" w:rsidR="00AC16FC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>należy wykonać zgodnie z: załączoną dokumentacją projektową, przez którą w niniejszym postępowaniu należy rozumieć projekt budowlany</w:t>
      </w:r>
      <w:r w:rsidR="002B29B5">
        <w:t xml:space="preserve"> z tabelą równoważności</w:t>
      </w:r>
      <w:r w:rsidRPr="007C63C8">
        <w:t xml:space="preserve">, </w:t>
      </w:r>
      <w:r w:rsidRPr="000341BC">
        <w:t>informacje dotyczące BIOZ</w:t>
      </w:r>
      <w:r w:rsidR="002B29B5">
        <w:t xml:space="preserve">, </w:t>
      </w:r>
      <w:r w:rsidRPr="007C63C8">
        <w:t xml:space="preserve">specyfikacje techniczne </w:t>
      </w:r>
      <w:r w:rsidR="002B29B5">
        <w:t>pomocniczo – przedmiary robót oraz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3C1F069B" w:rsidR="0050064A" w:rsidRDefault="00AC16FC" w:rsidP="00BF4A00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</w:t>
      </w:r>
      <w:r w:rsidR="002B29B5">
        <w:t xml:space="preserve"> oraz dokumentację geodezyjną powykonawczą,</w:t>
      </w:r>
    </w:p>
    <w:p w14:paraId="5320F265" w14:textId="2A1E83CA" w:rsidR="002B29B5" w:rsidRDefault="002B29B5" w:rsidP="00FC53F6">
      <w:pPr>
        <w:pStyle w:val="Akapitzlist"/>
        <w:numPr>
          <w:ilvl w:val="0"/>
          <w:numId w:val="53"/>
        </w:numPr>
        <w:tabs>
          <w:tab w:val="left" w:pos="993"/>
        </w:tabs>
        <w:ind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B5">
        <w:rPr>
          <w:rFonts w:ascii="Times New Roman" w:eastAsia="Times New Roman" w:hAnsi="Times New Roman" w:cs="Times New Roman"/>
          <w:sz w:val="24"/>
          <w:szCs w:val="24"/>
        </w:rPr>
        <w:t xml:space="preserve">przedmiot zamówienia opisano za pomocą dokumentacji projektowej, specyfikacji technicznych wykonania i odbioru robót oraz przedmiarów robót, poprzez wskazanie </w:t>
      </w:r>
      <w:r w:rsidRPr="002B29B5">
        <w:rPr>
          <w:rFonts w:ascii="Times New Roman" w:eastAsia="Times New Roman" w:hAnsi="Times New Roman" w:cs="Times New Roman"/>
          <w:sz w:val="24"/>
          <w:szCs w:val="24"/>
        </w:rPr>
        <w:lastRenderedPageBreak/>
        <w:t>wymaganych cech technicznych wyrobów i urządzeń - wydajności i funkcjonalności, a także poprzez odniesienie do norm, europejskich ocen technicznych, specyfikacji technicznych i systemów referencji technicznych.</w:t>
      </w:r>
      <w:r w:rsidR="00FC5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9B5">
        <w:rPr>
          <w:rFonts w:ascii="Times New Roman" w:eastAsia="Times New Roman" w:hAnsi="Times New Roman" w:cs="Times New Roman"/>
          <w:sz w:val="24"/>
          <w:szCs w:val="24"/>
        </w:rPr>
        <w:t>W związku z powyższym Zamawiający dopuszcza rozwiązania równoważne zgodnie z załączo</w:t>
      </w:r>
      <w:r w:rsidR="00FC53F6">
        <w:rPr>
          <w:rFonts w:ascii="Times New Roman" w:eastAsia="Times New Roman" w:hAnsi="Times New Roman" w:cs="Times New Roman"/>
          <w:sz w:val="24"/>
          <w:szCs w:val="24"/>
        </w:rPr>
        <w:t>ną</w:t>
      </w:r>
      <w:r w:rsidRPr="002B29B5">
        <w:rPr>
          <w:rFonts w:ascii="Times New Roman" w:eastAsia="Times New Roman" w:hAnsi="Times New Roman" w:cs="Times New Roman"/>
          <w:sz w:val="24"/>
          <w:szCs w:val="24"/>
        </w:rPr>
        <w:t xml:space="preserve"> tabel</w:t>
      </w:r>
      <w:r w:rsidR="00FC53F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B29B5">
        <w:rPr>
          <w:rFonts w:ascii="Times New Roman" w:eastAsia="Times New Roman" w:hAnsi="Times New Roman" w:cs="Times New Roman"/>
          <w:sz w:val="24"/>
          <w:szCs w:val="24"/>
        </w:rPr>
        <w:t xml:space="preserve"> równoważności – Załącznik Nr 1</w:t>
      </w:r>
      <w:r w:rsidR="000A06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9B5">
        <w:rPr>
          <w:rFonts w:ascii="Times New Roman" w:eastAsia="Times New Roman" w:hAnsi="Times New Roman" w:cs="Times New Roman"/>
          <w:sz w:val="24"/>
          <w:szCs w:val="24"/>
        </w:rPr>
        <w:t xml:space="preserve"> do SWZ.</w:t>
      </w:r>
    </w:p>
    <w:p w14:paraId="47FDCC1B" w14:textId="69C0582D" w:rsidR="004E13F4" w:rsidRPr="00FC53F6" w:rsidRDefault="00AC16FC" w:rsidP="00FC53F6">
      <w:pPr>
        <w:pStyle w:val="Akapitzlist"/>
        <w:numPr>
          <w:ilvl w:val="0"/>
          <w:numId w:val="53"/>
        </w:numPr>
        <w:tabs>
          <w:tab w:val="left" w:pos="993"/>
        </w:tabs>
        <w:ind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F6">
        <w:rPr>
          <w:rFonts w:ascii="Times New Roman" w:hAnsi="Times New Roman" w:cs="Times New Roman"/>
          <w:sz w:val="24"/>
          <w:szCs w:val="24"/>
        </w:rPr>
        <w:t xml:space="preserve">do wykonania zamówienia </w:t>
      </w:r>
      <w:r w:rsidR="0050064A" w:rsidRPr="00FC53F6">
        <w:rPr>
          <w:rFonts w:ascii="Times New Roman" w:hAnsi="Times New Roman" w:cs="Times New Roman"/>
          <w:sz w:val="24"/>
          <w:szCs w:val="24"/>
        </w:rPr>
        <w:t>W</w:t>
      </w:r>
      <w:r w:rsidRPr="00FC53F6">
        <w:rPr>
          <w:rFonts w:ascii="Times New Roman" w:hAnsi="Times New Roman" w:cs="Times New Roman"/>
          <w:sz w:val="24"/>
          <w:szCs w:val="24"/>
        </w:rPr>
        <w:t>ykonawca zobowiązany jest użyć materiałów gwarantujących odpowiednią jako</w:t>
      </w:r>
      <w:r w:rsidR="004A257F" w:rsidRPr="00FC53F6">
        <w:rPr>
          <w:rFonts w:ascii="Times New Roman" w:hAnsi="Times New Roman" w:cs="Times New Roman"/>
          <w:sz w:val="24"/>
          <w:szCs w:val="24"/>
        </w:rPr>
        <w:t>ść, o parametrach technicznych</w:t>
      </w:r>
      <w:r w:rsidRPr="00FC53F6">
        <w:rPr>
          <w:rFonts w:ascii="Times New Roman" w:hAnsi="Times New Roman" w:cs="Times New Roman"/>
          <w:sz w:val="24"/>
          <w:szCs w:val="24"/>
        </w:rPr>
        <w:t xml:space="preserve"> jakościowych odpowiadających właściwościom mate</w:t>
      </w:r>
      <w:r w:rsidR="005057B1" w:rsidRPr="00FC53F6">
        <w:rPr>
          <w:rFonts w:ascii="Times New Roman" w:hAnsi="Times New Roman" w:cs="Times New Roman"/>
          <w:sz w:val="24"/>
          <w:szCs w:val="24"/>
        </w:rPr>
        <w:t>riałów przyjętych i określonych w </w:t>
      </w:r>
      <w:r w:rsidRPr="00FC53F6">
        <w:rPr>
          <w:rFonts w:ascii="Times New Roman" w:hAnsi="Times New Roman" w:cs="Times New Roman"/>
          <w:sz w:val="24"/>
          <w:szCs w:val="24"/>
        </w:rPr>
        <w:t>dokumentacji projektowej,</w:t>
      </w:r>
      <w:r w:rsidR="007A7A37" w:rsidRPr="00FC5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F522" w14:textId="41846D93" w:rsidR="006F0282" w:rsidRPr="00F2433A" w:rsidRDefault="006F0282" w:rsidP="00FC53F6">
      <w:pPr>
        <w:pStyle w:val="Akapitzlist"/>
        <w:numPr>
          <w:ilvl w:val="0"/>
          <w:numId w:val="53"/>
        </w:numPr>
        <w:tabs>
          <w:tab w:val="left" w:pos="993"/>
        </w:tabs>
        <w:ind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3A">
        <w:rPr>
          <w:rFonts w:ascii="Times New Roman" w:hAnsi="Times New Roman" w:cs="Times New Roman"/>
          <w:sz w:val="24"/>
          <w:szCs w:val="24"/>
        </w:rPr>
        <w:t>Wykonawca ma obowiązek posiadać w stosunku do użytych materiałów i urządzeń dokumenty potwierdzające pozwolenie na ich zastosowanie</w:t>
      </w:r>
      <w:r w:rsidR="005057B1" w:rsidRPr="00F2433A">
        <w:rPr>
          <w:rFonts w:ascii="Times New Roman" w:hAnsi="Times New Roman" w:cs="Times New Roman"/>
          <w:sz w:val="24"/>
          <w:szCs w:val="24"/>
        </w:rPr>
        <w:t xml:space="preserve"> </w:t>
      </w:r>
      <w:r w:rsidRPr="00F2433A">
        <w:rPr>
          <w:rFonts w:ascii="Times New Roman" w:hAnsi="Times New Roman" w:cs="Times New Roman"/>
          <w:sz w:val="24"/>
          <w:szCs w:val="24"/>
        </w:rPr>
        <w:t>/ wbudowanie (w</w:t>
      </w:r>
      <w:r w:rsidR="005057B1" w:rsidRPr="00F2433A">
        <w:rPr>
          <w:rFonts w:ascii="Times New Roman" w:hAnsi="Times New Roman" w:cs="Times New Roman"/>
          <w:sz w:val="24"/>
          <w:szCs w:val="24"/>
        </w:rPr>
        <w:t> </w:t>
      </w:r>
      <w:r w:rsidRPr="00F2433A">
        <w:rPr>
          <w:rFonts w:ascii="Times New Roman" w:hAnsi="Times New Roman" w:cs="Times New Roman"/>
          <w:sz w:val="24"/>
          <w:szCs w:val="24"/>
        </w:rPr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 w:rsidRPr="00F2433A">
        <w:rPr>
          <w:rFonts w:ascii="Times New Roman" w:hAnsi="Times New Roman" w:cs="Times New Roman"/>
          <w:sz w:val="24"/>
          <w:szCs w:val="24"/>
        </w:rPr>
        <w:t>,</w:t>
      </w:r>
      <w:r w:rsidRPr="00F2433A">
        <w:rPr>
          <w:rFonts w:ascii="Times New Roman" w:hAnsi="Times New Roman" w:cs="Times New Roman"/>
          <w:sz w:val="24"/>
          <w:szCs w:val="24"/>
        </w:rPr>
        <w:t xml:space="preserve"> o ile wyroby</w:t>
      </w:r>
      <w:r w:rsidR="00034489" w:rsidRPr="00F2433A">
        <w:rPr>
          <w:rFonts w:ascii="Times New Roman" w:hAnsi="Times New Roman" w:cs="Times New Roman"/>
          <w:sz w:val="24"/>
          <w:szCs w:val="24"/>
        </w:rPr>
        <w:t xml:space="preserve"> te lub produkty s</w:t>
      </w:r>
      <w:r w:rsidRPr="00F2433A">
        <w:rPr>
          <w:rFonts w:ascii="Times New Roman" w:hAnsi="Times New Roman" w:cs="Times New Roman"/>
          <w:sz w:val="24"/>
          <w:szCs w:val="24"/>
        </w:rPr>
        <w:t xml:space="preserve">pełniają wymagania będące </w:t>
      </w:r>
      <w:r w:rsidR="00C47B60" w:rsidRPr="00F2433A">
        <w:rPr>
          <w:rFonts w:ascii="Times New Roman" w:hAnsi="Times New Roman" w:cs="Times New Roman"/>
          <w:sz w:val="24"/>
          <w:szCs w:val="24"/>
        </w:rPr>
        <w:t xml:space="preserve">przedmiotem oceny tej zgodności </w:t>
      </w:r>
      <w:r w:rsidR="001607F5" w:rsidRPr="00F2433A">
        <w:rPr>
          <w:rFonts w:ascii="Times New Roman" w:hAnsi="Times New Roman" w:cs="Times New Roman"/>
          <w:sz w:val="24"/>
          <w:szCs w:val="24"/>
        </w:rPr>
        <w:t xml:space="preserve">a </w:t>
      </w:r>
      <w:r w:rsidRPr="00F2433A">
        <w:rPr>
          <w:rFonts w:ascii="Times New Roman" w:hAnsi="Times New Roman" w:cs="Times New Roman"/>
          <w:sz w:val="24"/>
          <w:szCs w:val="24"/>
        </w:rPr>
        <w:t>Wykonawca za pomocą innych dowodów może wykazać, że oferowany</w:t>
      </w:r>
      <w:r w:rsidR="00034489" w:rsidRPr="00F2433A">
        <w:rPr>
          <w:rFonts w:ascii="Times New Roman" w:hAnsi="Times New Roman" w:cs="Times New Roman"/>
          <w:sz w:val="24"/>
          <w:szCs w:val="24"/>
        </w:rPr>
        <w:t xml:space="preserve"> wyrób lub produkt </w:t>
      </w:r>
      <w:r w:rsidRPr="00F2433A">
        <w:rPr>
          <w:rFonts w:ascii="Times New Roman" w:hAnsi="Times New Roman" w:cs="Times New Roman"/>
          <w:sz w:val="24"/>
          <w:szCs w:val="24"/>
        </w:rPr>
        <w:t>jest zgodny z postawionymi wymogami.</w:t>
      </w:r>
    </w:p>
    <w:p w14:paraId="0A480494" w14:textId="77777777" w:rsidR="00B414AD" w:rsidRPr="00F2433A" w:rsidRDefault="00AC16FC" w:rsidP="00F2433A">
      <w:pPr>
        <w:pStyle w:val="Akapitzlist"/>
        <w:numPr>
          <w:ilvl w:val="0"/>
          <w:numId w:val="53"/>
        </w:numPr>
        <w:tabs>
          <w:tab w:val="left" w:pos="993"/>
        </w:tabs>
        <w:ind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3A">
        <w:rPr>
          <w:rFonts w:ascii="Times New Roman" w:hAnsi="Times New Roman" w:cs="Times New Roman"/>
          <w:sz w:val="24"/>
          <w:szCs w:val="24"/>
        </w:rPr>
        <w:t>Wykonawca wykona i przygotuje oraz złoży dokumenty na wykonany przedmiot zamówienia, a zwłaszcza:</w:t>
      </w:r>
    </w:p>
    <w:p w14:paraId="07E4528C" w14:textId="77777777" w:rsidR="00B414AD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68655C7D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82B8F09" w14:textId="77777777" w:rsidR="00B414AD" w:rsidRPr="00DB6272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F4A00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30D894F3" w:rsidR="00B414AD" w:rsidRDefault="00BC0609" w:rsidP="00BF4A00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</w:t>
      </w:r>
      <w:r w:rsidR="00F2433A">
        <w:t xml:space="preserve"> oraz dokumentację geodezyjną powykonawczą (zgłoszoną do zasobu Powiatowego Ośrodka Dokumentacji Geodezyjnej i Kartograficznej) – 3 egz. dla Zamawiającego,</w:t>
      </w:r>
    </w:p>
    <w:p w14:paraId="3E6EF5BE" w14:textId="01DA5AC3" w:rsidR="00E83350" w:rsidRDefault="00F2433A" w:rsidP="00BF4A00">
      <w:pPr>
        <w:pStyle w:val="Tekstpodstawowy"/>
        <w:numPr>
          <w:ilvl w:val="0"/>
          <w:numId w:val="9"/>
        </w:numPr>
        <w:spacing w:line="276" w:lineRule="auto"/>
      </w:pPr>
      <w:r>
        <w:t>jeżeli zajdzie konieczność Wykonawca przygotuje dokumenty niezbędne Zamawiającemu do rozliczenia zamówienia w związku z dofinansowaniem ze środków zewnętrznych.</w:t>
      </w:r>
    </w:p>
    <w:p w14:paraId="440E5FB2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5F16CEB2" w:rsidR="005D1A8D" w:rsidRDefault="00AC16FC" w:rsidP="00BF4A00">
      <w:pPr>
        <w:pStyle w:val="Tekstpodstawowy"/>
        <w:numPr>
          <w:ilvl w:val="0"/>
          <w:numId w:val="8"/>
        </w:numPr>
        <w:spacing w:line="276" w:lineRule="auto"/>
      </w:pPr>
      <w:r w:rsidRPr="007C63C8">
        <w:t>w trakcie realizacji prac Wykonawca jest zobowiązany do</w:t>
      </w:r>
      <w:r w:rsidR="00445B0A">
        <w:t xml:space="preserve"> </w:t>
      </w:r>
      <w:r w:rsidRPr="007C63C8">
        <w:t>zachowania szczególnej ostrożności i wymagań w związanych z trwaniem pandemii COVID-19</w:t>
      </w:r>
      <w:r w:rsidR="00F2433A">
        <w:t>,</w:t>
      </w:r>
    </w:p>
    <w:p w14:paraId="09047B3A" w14:textId="51A3BC64" w:rsidR="00F2433A" w:rsidRDefault="00F2433A" w:rsidP="00BF4A00">
      <w:pPr>
        <w:pStyle w:val="Tekstpodstawowy"/>
        <w:numPr>
          <w:ilvl w:val="0"/>
          <w:numId w:val="8"/>
        </w:numPr>
        <w:spacing w:line="276" w:lineRule="auto"/>
      </w:pPr>
      <w:r>
        <w:lastRenderedPageBreak/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11ABC354" w14:textId="11D36026" w:rsidR="00341240" w:rsidRDefault="005D1A8D" w:rsidP="00BF4A00">
      <w:pPr>
        <w:pStyle w:val="Tekstpodstawowy"/>
        <w:numPr>
          <w:ilvl w:val="0"/>
          <w:numId w:val="42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art.95 ustawy Pzp</w:t>
            </w:r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78D340" w14:textId="44B11058" w:rsidR="00BF7505" w:rsidRPr="0044466C" w:rsidRDefault="0052790A" w:rsidP="0044466C">
      <w:pPr>
        <w:pStyle w:val="Akapitzlist"/>
        <w:numPr>
          <w:ilvl w:val="2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5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04640" w:rsidRPr="00BF7505">
        <w:rPr>
          <w:rFonts w:ascii="Times New Roman" w:hAnsi="Times New Roman" w:cs="Times New Roman"/>
          <w:b/>
          <w:bCs/>
          <w:sz w:val="24"/>
          <w:szCs w:val="24"/>
        </w:rPr>
        <w:t>a podstawie art. 95 ustaw</w:t>
      </w:r>
      <w:r w:rsidR="00FB2D9F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y Pzp </w:t>
      </w:r>
      <w:r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FB2D9F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wymaga zatrudnienia przez </w:t>
      </w:r>
      <w:r w:rsidR="00A04640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Wykonawcę lub </w:t>
      </w:r>
      <w:r w:rsidR="00331EB6" w:rsidRPr="00BF75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04640" w:rsidRPr="00BF7505">
        <w:rPr>
          <w:rFonts w:ascii="Times New Roman" w:hAnsi="Times New Roman" w:cs="Times New Roman"/>
          <w:b/>
          <w:bCs/>
          <w:sz w:val="24"/>
          <w:szCs w:val="24"/>
        </w:rPr>
        <w:t>odwykonawcę, na podstawie stosunku pracy osób wykonujących czynności w zakresie realizacji zamówienia</w:t>
      </w:r>
      <w:r w:rsidR="000433D1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 t.</w:t>
      </w:r>
      <w:r w:rsidR="00BF7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3D1" w:rsidRPr="00BF7505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="00D32F34" w:rsidRPr="00BF75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4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66C">
        <w:rPr>
          <w:rFonts w:ascii="Times New Roman" w:hAnsi="Times New Roman" w:cs="Times New Roman"/>
          <w:sz w:val="24"/>
          <w:szCs w:val="24"/>
        </w:rPr>
        <w:t>wykonanie robót budowlanych polegających na wykonaniu robót drogowych, w tym prac przygotowawczych, ziemnych, robót w zakresie podbudowy, nawierzchni, robót wykończeniowych,</w:t>
      </w:r>
    </w:p>
    <w:p w14:paraId="6699162E" w14:textId="268173A4" w:rsidR="0065599B" w:rsidRDefault="00E27754" w:rsidP="00BF7505">
      <w:pPr>
        <w:pStyle w:val="Tekstpodstawowy"/>
        <w:spacing w:line="276" w:lineRule="auto"/>
        <w:ind w:left="709" w:hanging="284"/>
      </w:pPr>
      <w:r>
        <w:t>- z wyłączeniem kadry kierowniczej, inżynierów oraz pracowników administracji.</w:t>
      </w:r>
    </w:p>
    <w:p w14:paraId="3BDBB448" w14:textId="76CA8CF2" w:rsidR="00A73019" w:rsidRPr="00BF7505" w:rsidRDefault="008139AD" w:rsidP="00BF7505">
      <w:pPr>
        <w:pStyle w:val="Tekstpodstawowy"/>
        <w:numPr>
          <w:ilvl w:val="2"/>
          <w:numId w:val="8"/>
        </w:numPr>
        <w:spacing w:line="276" w:lineRule="auto"/>
        <w:ind w:left="709" w:hanging="283"/>
        <w:rPr>
          <w:b/>
          <w:bCs/>
        </w:rPr>
      </w:pPr>
      <w:r w:rsidRPr="00BF7505">
        <w:rPr>
          <w:b/>
          <w:bCs/>
        </w:rPr>
        <w:t>S</w:t>
      </w:r>
      <w:r w:rsidR="005779AA" w:rsidRPr="00BF7505">
        <w:rPr>
          <w:b/>
          <w:bCs/>
        </w:rPr>
        <w:t>posób weryf</w:t>
      </w:r>
      <w:r w:rsidR="00491EE7" w:rsidRPr="00BF7505">
        <w:rPr>
          <w:b/>
          <w:bCs/>
        </w:rPr>
        <w:t>ikacji zatrudnienia tych osób:</w:t>
      </w:r>
    </w:p>
    <w:p w14:paraId="769FFAE1" w14:textId="77777777" w:rsidR="00A73019" w:rsidRDefault="009854FA" w:rsidP="00BF7505">
      <w:pPr>
        <w:pStyle w:val="Akapitzlist"/>
        <w:numPr>
          <w:ilvl w:val="1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BF750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anonimizacji.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575F9DB2" w14:textId="44FE6D0F" w:rsidR="00F740DB" w:rsidRPr="00BF7505" w:rsidRDefault="00A73019" w:rsidP="00BF7505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>Imię i nazwisko pracownika nie podlega anonimizacji.</w:t>
      </w:r>
    </w:p>
    <w:p w14:paraId="0A318C6F" w14:textId="719D52BE" w:rsidR="00926D7E" w:rsidRPr="00BF7505" w:rsidRDefault="00A73019" w:rsidP="00BF7505">
      <w:pPr>
        <w:pStyle w:val="Akapitzlist"/>
        <w:numPr>
          <w:ilvl w:val="0"/>
          <w:numId w:val="5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505">
        <w:rPr>
          <w:rFonts w:ascii="Times New Roman" w:hAnsi="Times New Roman" w:cs="Times New Roman"/>
          <w:b/>
          <w:bCs/>
          <w:sz w:val="24"/>
          <w:szCs w:val="24"/>
        </w:rPr>
        <w:t>Uprawnienia Z</w:t>
      </w:r>
      <w:r w:rsidR="008A17CF" w:rsidRPr="00BF7505">
        <w:rPr>
          <w:rFonts w:ascii="Times New Roman" w:hAnsi="Times New Roman" w:cs="Times New Roman"/>
          <w:b/>
          <w:bCs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BF7505">
        <w:rPr>
          <w:rFonts w:ascii="Times New Roman" w:hAnsi="Times New Roman" w:cs="Times New Roman"/>
          <w:b/>
          <w:bCs/>
          <w:sz w:val="24"/>
          <w:szCs w:val="24"/>
        </w:rPr>
        <w:t>ułu nie spełnienia tych wymagań:</w:t>
      </w:r>
      <w:r w:rsidR="008245D5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E53ED7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BF4A00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ykonawcę kluczowych zadań, jeżeli zamawiający dokonuje takiego zastrzeżenia zgodnie z art.60 i art.121 ustawy Pzp</w:t>
            </w:r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77777777" w:rsidR="007F6F5A" w:rsidRPr="007C63C8" w:rsidRDefault="007F6F5A" w:rsidP="00BF4A00">
      <w:pPr>
        <w:pStyle w:val="Tekstpodstawowy"/>
        <w:numPr>
          <w:ilvl w:val="0"/>
          <w:numId w:val="13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7777777" w:rsidR="004C2075" w:rsidRPr="007C63C8" w:rsidRDefault="004C2075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lastRenderedPageBreak/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BF4A00">
      <w:pPr>
        <w:pStyle w:val="Tekstpodstawowy"/>
        <w:numPr>
          <w:ilvl w:val="0"/>
          <w:numId w:val="13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4DA53D79" w:rsidR="00DB53F1" w:rsidRPr="0081058F" w:rsidRDefault="00644D39" w:rsidP="00BF4A00">
      <w:pPr>
        <w:pStyle w:val="Tekstpodstawowy"/>
        <w:numPr>
          <w:ilvl w:val="0"/>
          <w:numId w:val="13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Pzp.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BF4A0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0217626D" w:rsidR="003A0F5F" w:rsidRPr="002879E7" w:rsidRDefault="003A0F5F" w:rsidP="002879E7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 w:rsidRPr="002879E7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 w:rsidRPr="002879E7">
        <w:rPr>
          <w:rFonts w:ascii="Times New Roman" w:hAnsi="Times New Roman" w:cs="Times New Roman"/>
          <w:sz w:val="24"/>
          <w:szCs w:val="24"/>
        </w:rPr>
        <w:t>.</w:t>
      </w:r>
    </w:p>
    <w:p w14:paraId="562799DB" w14:textId="0D5942A3" w:rsidR="00A1530E" w:rsidRPr="002879E7" w:rsidRDefault="00A1530E" w:rsidP="002879E7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Powody niedokonania podziału zamówienia na części (art. 91 ust. 2 ustawy Pzp):</w:t>
      </w:r>
      <w:r w:rsidRPr="002879E7">
        <w:rPr>
          <w:rFonts w:ascii="Times New Roman" w:hAnsi="Times New Roman" w:cs="Times New Roman"/>
          <w:sz w:val="24"/>
          <w:szCs w:val="24"/>
        </w:rPr>
        <w:br/>
        <w:t>- zamówienie nie ogranicza udziału w nim małych i średnich przedsiębiorstw,</w:t>
      </w:r>
    </w:p>
    <w:p w14:paraId="345E2781" w14:textId="319FC118" w:rsidR="00A1530E" w:rsidRPr="002879E7" w:rsidRDefault="00A1530E" w:rsidP="002879E7">
      <w:pPr>
        <w:pStyle w:val="Akapitzlist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- potrzeba skoordynowania działań różnych Wykonawców realizujących poszczególne części zamówienia mogłaby poważnie zagrozić właściwemu wykonaniu zamówienia,</w:t>
      </w:r>
    </w:p>
    <w:p w14:paraId="58BF8464" w14:textId="365E965F" w:rsidR="00A1530E" w:rsidRPr="002879E7" w:rsidRDefault="00A1530E" w:rsidP="002879E7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75">
        <w:rPr>
          <w:rFonts w:ascii="Times New Roman" w:hAnsi="Times New Roman" w:cs="Times New Roman"/>
          <w:sz w:val="24"/>
          <w:szCs w:val="24"/>
        </w:rPr>
        <w:t>- podział zamówienia na części wiązałby się z problemami technicznymi, organizacyjnymi, prawnymi oraz finansowymi.</w:t>
      </w:r>
      <w:r w:rsidR="002879E7" w:rsidRPr="00C71675">
        <w:rPr>
          <w:rFonts w:ascii="Arial" w:eastAsia="Times New Roman" w:hAnsi="Arial" w:cs="Arial"/>
          <w:sz w:val="16"/>
          <w:szCs w:val="16"/>
        </w:rPr>
        <w:t xml:space="preserve"> </w:t>
      </w:r>
      <w:r w:rsidR="002879E7" w:rsidRPr="00C71675">
        <w:rPr>
          <w:rFonts w:ascii="Times New Roman" w:eastAsia="Times New Roman" w:hAnsi="Times New Roman" w:cs="Times New Roman"/>
          <w:sz w:val="24"/>
          <w:szCs w:val="24"/>
        </w:rPr>
        <w:t xml:space="preserve">Zamówienie pn.: </w:t>
      </w:r>
      <w:r w:rsidR="00EE3976" w:rsidRPr="00C71675">
        <w:rPr>
          <w:rFonts w:ascii="Times New Roman" w:eastAsia="Times New Roman" w:hAnsi="Times New Roman" w:cs="Times New Roman"/>
          <w:sz w:val="24"/>
          <w:szCs w:val="24"/>
        </w:rPr>
        <w:t>,,Przebudowa drogi dojazdowej do gruntów rolnych w Grylewie”</w:t>
      </w:r>
      <w:r w:rsidR="002879E7" w:rsidRPr="00C71675">
        <w:rPr>
          <w:rFonts w:ascii="Times New Roman" w:eastAsia="Times New Roman" w:hAnsi="Times New Roman" w:cs="Times New Roman"/>
          <w:sz w:val="24"/>
          <w:szCs w:val="24"/>
        </w:rPr>
        <w:t xml:space="preserve"> dotyczy robót budowlanych </w:t>
      </w:r>
      <w:r w:rsidR="00EE3976" w:rsidRPr="00C71675">
        <w:rPr>
          <w:rFonts w:ascii="Times New Roman" w:eastAsia="Times New Roman" w:hAnsi="Times New Roman" w:cs="Times New Roman"/>
          <w:sz w:val="24"/>
          <w:szCs w:val="24"/>
        </w:rPr>
        <w:t xml:space="preserve">jednego odcinka drogi. </w:t>
      </w:r>
      <w:r w:rsidR="002879E7" w:rsidRPr="00C71675">
        <w:rPr>
          <w:rFonts w:ascii="Times New Roman" w:eastAsia="Times New Roman" w:hAnsi="Times New Roman" w:cs="Times New Roman"/>
          <w:sz w:val="24"/>
          <w:szCs w:val="24"/>
        </w:rPr>
        <w:t xml:space="preserve">W związku z tym podział na części groziłby nadmiernymi trudnościami technicznymi, a także potrzebą skoordynowania działań różnych </w:t>
      </w:r>
      <w:r w:rsidR="006138AD">
        <w:rPr>
          <w:rFonts w:ascii="Times New Roman" w:eastAsia="Times New Roman" w:hAnsi="Times New Roman" w:cs="Times New Roman"/>
          <w:sz w:val="24"/>
          <w:szCs w:val="24"/>
        </w:rPr>
        <w:t>W</w:t>
      </w:r>
      <w:r w:rsidR="002879E7" w:rsidRPr="00C71675">
        <w:rPr>
          <w:rFonts w:ascii="Times New Roman" w:eastAsia="Times New Roman" w:hAnsi="Times New Roman" w:cs="Times New Roman"/>
          <w:sz w:val="24"/>
          <w:szCs w:val="24"/>
        </w:rPr>
        <w:t xml:space="preserve">ykonawców </w:t>
      </w:r>
      <w:r w:rsidR="002879E7" w:rsidRPr="00C71675">
        <w:rPr>
          <w:rFonts w:ascii="Times New Roman" w:eastAsia="Times New Roman" w:hAnsi="Times New Roman" w:cs="Times New Roman"/>
          <w:sz w:val="24"/>
          <w:szCs w:val="24"/>
        </w:rPr>
        <w:lastRenderedPageBreak/>
        <w:t>realizujących poszczególne części zamówienia w konsekwencji mogłoby to poważnie zagrozić właściwemu wykonaniu zamówienia. Ewentualne wprowadzanie dwóch 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2879E7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2879E7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art.96 ust.2 pkt 2 ustawy Pzp</w:t>
      </w:r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AB8CAE0" w14:textId="77777777" w:rsidR="00DB53F1" w:rsidRPr="007C63C8" w:rsidRDefault="00DB53F1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BF4A0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BF7505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BF4A00">
      <w:pPr>
        <w:pStyle w:val="Akapitzlist"/>
        <w:numPr>
          <w:ilvl w:val="0"/>
          <w:numId w:val="14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01434D8E" w:rsidR="002615F1" w:rsidRPr="00FC3F42" w:rsidRDefault="00B870ED" w:rsidP="00EC419A">
      <w:pPr>
        <w:numPr>
          <w:ilvl w:val="1"/>
          <w:numId w:val="46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4446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599B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licząc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32796490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3C4C6D">
        <w:rPr>
          <w:rFonts w:ascii="Times New Roman" w:hAnsi="Times New Roman" w:cs="Times New Roman"/>
          <w:b/>
          <w:sz w:val="24"/>
          <w:szCs w:val="24"/>
        </w:rPr>
        <w:t>9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539B4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dokumentów zamówienia, potwierdzenia zainteresowania, ofert, a ich treść będzie udokumentowana. </w:t>
      </w:r>
    </w:p>
    <w:p w14:paraId="3588F509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Pzp,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>wydanych na podstawie art.18 ustawy z dnia 17 lutego 2005r. o informatyzacji działalności podmiotów realizujących zadania publiczne z zastrzeżeniem formatów, o których mowa w art. 66 ust.1 ustawy Pzp,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Informacje, oświadczenia lub dokumenty inne niż określone w punkcie 4), przekazywane w postępowaniu sporządza się w postaci elektronicznej w formatach j.w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Pzp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 xml:space="preserve">) dokumenty zostały wystawione przez „upoważnione podmioty” jako dokument w postaci papierowej, przekazuje się cyfrowe odwzorowanie tego dokumentu opatrzone kwalifikowanym podpisem </w:t>
      </w:r>
      <w:r w:rsidRPr="008A6D2E">
        <w:rPr>
          <w:rFonts w:ascii="Times New Roman" w:hAnsi="Times New Roman" w:cs="Times New Roman"/>
          <w:sz w:val="24"/>
          <w:szCs w:val="24"/>
        </w:rPr>
        <w:lastRenderedPageBreak/>
        <w:t>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BF4A00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Opatrzenie pliku zawierającego skompresowane dokumenty kwalifikowanym podpisem elektronicznym, podpisem zaufanym lub podpisem osobistym jest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Nexus Sp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277C14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Nexus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>Ogólne warunki, zasady oraz sposób świadczenia przez Open Nexus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BF4A00">
      <w:pPr>
        <w:pStyle w:val="Akapitzlist"/>
        <w:numPr>
          <w:ilvl w:val="0"/>
          <w:numId w:val="17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08EAA5B7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166E0BDB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Szyfrowanie na platformazakupowa.pl odbywa się za pomocą protokołu TLS 1.3.</w:t>
      </w:r>
    </w:p>
    <w:p w14:paraId="16C97D25" w14:textId="77777777" w:rsidR="005972CA" w:rsidRPr="007C63C8" w:rsidRDefault="005972CA" w:rsidP="00BF4A00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AD2AAD7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BF4A00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BF4A00">
      <w:pPr>
        <w:numPr>
          <w:ilvl w:val="0"/>
          <w:numId w:val="18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zwraca uwagę na ograniczenia wielkości plików podpisywanych profilem zaufanym, który wynosi max 10MB, oraz na ograniczenie wielkości plików podpisywanych w aplikacji eDoApp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podpisem kwalifikowanym PAdES,</w:t>
      </w:r>
    </w:p>
    <w:p w14:paraId="34551339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XAdES. Wykonawca powinien pamiętać, aby plik z podpisem przekazywać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BF4A00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545A7BF0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merytoryczno - technicznych </w:t>
      </w:r>
      <w:r w:rsidR="0044466C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44466C">
        <w:rPr>
          <w:rFonts w:ascii="Times New Roman" w:hAnsi="Times New Roman" w:cs="Times New Roman"/>
          <w:sz w:val="24"/>
          <w:szCs w:val="24"/>
        </w:rPr>
        <w:t xml:space="preserve">Marzena Brząkowska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</w:t>
      </w:r>
      <w:r w:rsidR="0044466C">
        <w:rPr>
          <w:rFonts w:ascii="Times New Roman" w:hAnsi="Times New Roman" w:cs="Times New Roman"/>
          <w:sz w:val="24"/>
          <w:szCs w:val="24"/>
        </w:rPr>
        <w:t>4</w:t>
      </w:r>
    </w:p>
    <w:p w14:paraId="399F2B3A" w14:textId="44FDD295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58D4C742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>
        <w:rPr>
          <w:rFonts w:ascii="Times New Roman" w:hAnsi="Times New Roman" w:cs="Times New Roman"/>
          <w:sz w:val="24"/>
          <w:szCs w:val="24"/>
        </w:rPr>
        <w:t xml:space="preserve">od </w:t>
      </w:r>
      <w:r w:rsidR="0044466C">
        <w:rPr>
          <w:rFonts w:ascii="Times New Roman" w:hAnsi="Times New Roman" w:cs="Times New Roman"/>
          <w:sz w:val="24"/>
          <w:szCs w:val="24"/>
        </w:rPr>
        <w:t>11.04</w:t>
      </w:r>
      <w:r w:rsidR="0077265E">
        <w:rPr>
          <w:rFonts w:ascii="Times New Roman" w:hAnsi="Times New Roman" w:cs="Times New Roman"/>
          <w:sz w:val="24"/>
          <w:szCs w:val="24"/>
        </w:rPr>
        <w:t>.2022</w:t>
      </w:r>
      <w:r w:rsidR="0065599B">
        <w:rPr>
          <w:rFonts w:ascii="Times New Roman" w:hAnsi="Times New Roman" w:cs="Times New Roman"/>
          <w:sz w:val="24"/>
          <w:szCs w:val="24"/>
        </w:rPr>
        <w:t xml:space="preserve"> r</w:t>
      </w:r>
      <w:r w:rsidR="003B29E9" w:rsidRPr="00B75DD6">
        <w:rPr>
          <w:rFonts w:ascii="Times New Roman" w:hAnsi="Times New Roman" w:cs="Times New Roman"/>
          <w:sz w:val="24"/>
          <w:szCs w:val="24"/>
        </w:rPr>
        <w:t>.</w:t>
      </w:r>
    </w:p>
    <w:p w14:paraId="2284D35B" w14:textId="44DCC28C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032840">
        <w:rPr>
          <w:rFonts w:ascii="Times New Roman" w:hAnsi="Times New Roman" w:cs="Times New Roman"/>
          <w:sz w:val="24"/>
          <w:szCs w:val="24"/>
        </w:rPr>
        <w:t>10.05</w:t>
      </w:r>
      <w:r w:rsidR="0077265E">
        <w:rPr>
          <w:rFonts w:ascii="Times New Roman" w:hAnsi="Times New Roman" w:cs="Times New Roman"/>
          <w:sz w:val="24"/>
          <w:szCs w:val="24"/>
        </w:rPr>
        <w:t>.2022</w:t>
      </w:r>
      <w:r w:rsidR="004D2824"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>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 xml:space="preserve">nicznych oraz środków komunikacji </w:t>
      </w:r>
      <w:r w:rsidR="00BB3912" w:rsidRPr="00C860A8">
        <w:rPr>
          <w:color w:val="000000"/>
        </w:rPr>
        <w:lastRenderedPageBreak/>
        <w:t>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>ormatu podpisu XAdES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XAdES.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Pzp,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r w:rsidR="00A426DA">
        <w:rPr>
          <w:color w:val="000000"/>
        </w:rPr>
        <w:t>mikroprzedsiębiorcą</w:t>
      </w:r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11207E">
        <w:rPr>
          <w:b/>
          <w:color w:val="000000"/>
        </w:rPr>
        <w:t>mikroprzedsiębiorca</w:t>
      </w:r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lastRenderedPageBreak/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2B977841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03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11.04.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BF4A00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6C194B47" w:rsidR="003806C1" w:rsidRPr="007C63C8" w:rsidRDefault="00CA42EB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03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11.04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BF4A00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BF4A00">
      <w:pPr>
        <w:numPr>
          <w:ilvl w:val="1"/>
          <w:numId w:val="20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BF4A00">
      <w:pPr>
        <w:pStyle w:val="Akapitzlist"/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0A101A58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art.108 ust.1 ustawy Pzp</w:t>
            </w:r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58724D" w14:textId="62302F92" w:rsidR="001C2659" w:rsidRPr="001C2659" w:rsidRDefault="001C2659" w:rsidP="001C2659">
      <w:pPr>
        <w:numPr>
          <w:ilvl w:val="0"/>
          <w:numId w:val="21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6A25D30E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481EAD2E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5BE6A988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3B02AEDB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54 ust. 1-4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0FAE956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64D68A04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1579AC5F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77D68815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7C2F8A15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D13C98" w14:textId="77777777" w:rsidR="001C2659" w:rsidRPr="001C2659" w:rsidRDefault="001C2659" w:rsidP="001C2659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640E5B86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15DA0863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</w:t>
      </w: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880763C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2344C573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2057849A" w14:textId="77777777" w:rsidR="001C2659" w:rsidRPr="001C2659" w:rsidRDefault="001C2659" w:rsidP="001C2659">
      <w:pPr>
        <w:numPr>
          <w:ilvl w:val="1"/>
          <w:numId w:val="21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 przypadkach, o których mowa w art.85 ust.1 ustawy Pzp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5886C7C8" w14:textId="77777777" w:rsidR="001C2659" w:rsidRPr="001C2659" w:rsidRDefault="001C2659" w:rsidP="001C265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45AB3A91" w14:textId="77777777" w:rsidR="001C2659" w:rsidRPr="001C2659" w:rsidRDefault="001C2659" w:rsidP="001C265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4F2B0A1" w14:textId="77777777" w:rsidR="001C2659" w:rsidRPr="001C2659" w:rsidRDefault="001C2659" w:rsidP="001C2659">
      <w:pPr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7D6EF62A" w14:textId="77777777" w:rsidR="001C2659" w:rsidRPr="001C2659" w:rsidRDefault="001C2659" w:rsidP="001C2659">
      <w:pPr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4E695C2" w14:textId="77777777" w:rsidR="001C2659" w:rsidRPr="001C2659" w:rsidRDefault="001C2659" w:rsidP="001C2659">
      <w:pPr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D0BE78D" w14:textId="77777777" w:rsidR="001C2659" w:rsidRPr="001C2659" w:rsidRDefault="001C2659" w:rsidP="001C2659">
      <w:pPr>
        <w:numPr>
          <w:ilvl w:val="0"/>
          <w:numId w:val="23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0CBEEF48" w14:textId="77777777" w:rsidR="001C2659" w:rsidRPr="001C2659" w:rsidRDefault="001C2659" w:rsidP="001C2659">
      <w:pPr>
        <w:numPr>
          <w:ilvl w:val="0"/>
          <w:numId w:val="23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13EE5595" w14:textId="77777777" w:rsidR="001C2659" w:rsidRPr="001C2659" w:rsidRDefault="001C2659" w:rsidP="001C2659">
      <w:pPr>
        <w:numPr>
          <w:ilvl w:val="0"/>
          <w:numId w:val="23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3955DFFD" w14:textId="77777777" w:rsidR="001C2659" w:rsidRPr="001C2659" w:rsidRDefault="001C2659" w:rsidP="001C2659">
      <w:pPr>
        <w:numPr>
          <w:ilvl w:val="0"/>
          <w:numId w:val="23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2E7EC2DB" w14:textId="77777777" w:rsidR="001C2659" w:rsidRPr="001C2659" w:rsidRDefault="001C2659" w:rsidP="001C2659">
      <w:pPr>
        <w:numPr>
          <w:ilvl w:val="0"/>
          <w:numId w:val="23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50060C25" w14:textId="77777777" w:rsidR="001C2659" w:rsidRPr="001C2659" w:rsidRDefault="001C2659" w:rsidP="001C2659">
      <w:pPr>
        <w:numPr>
          <w:ilvl w:val="0"/>
          <w:numId w:val="21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BADDD" w14:textId="77777777" w:rsidR="001C2659" w:rsidRPr="001C2659" w:rsidRDefault="001C2659" w:rsidP="001C2659">
      <w:pPr>
        <w:numPr>
          <w:ilvl w:val="0"/>
          <w:numId w:val="40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udzielenie 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zamówienie mogą ubiegać się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ykonawcy,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którzy 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spełniają warunki udziału w postępowaniu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określone przez Zamawiającego, a dotyczące: </w:t>
      </w:r>
    </w:p>
    <w:p w14:paraId="63F9D3AB" w14:textId="77777777" w:rsidR="001C2659" w:rsidRPr="001C2659" w:rsidRDefault="001C2659" w:rsidP="001C2659">
      <w:pPr>
        <w:numPr>
          <w:ilvl w:val="0"/>
          <w:numId w:val="2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sytuacji</w:t>
      </w:r>
      <w:r w:rsidRPr="001C26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ekonomicznej i finansowej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</w:t>
      </w:r>
    </w:p>
    <w:p w14:paraId="10986F49" w14:textId="71386BE7" w:rsidR="001C2659" w:rsidRPr="001C2659" w:rsidRDefault="001C2659" w:rsidP="001C2659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posiadają środki finansowe lub zdolność kredytową w wysokości nie mniejszej niż: </w:t>
      </w:r>
      <w:r w:rsidR="000328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F41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00 000,00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14:paraId="0B5D23F9" w14:textId="77777777" w:rsidR="001C2659" w:rsidRDefault="001C2659" w:rsidP="001C265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5F4F60F" w14:textId="07BD7C7B" w:rsidR="001C2659" w:rsidRPr="001C2659" w:rsidRDefault="001C2659" w:rsidP="001C265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Uwaga:</w:t>
      </w:r>
    </w:p>
    <w:p w14:paraId="41905AAA" w14:textId="77777777" w:rsidR="001C2659" w:rsidRPr="001C2659" w:rsidRDefault="001C2659" w:rsidP="001C2659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9F314F5" w14:textId="77777777" w:rsidR="001C2659" w:rsidRPr="001C2659" w:rsidRDefault="001C2659" w:rsidP="001C2659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D77D5BE" w14:textId="77777777" w:rsidR="001C2659" w:rsidRPr="001C2659" w:rsidRDefault="001C2659" w:rsidP="001C2659">
      <w:pPr>
        <w:numPr>
          <w:ilvl w:val="0"/>
          <w:numId w:val="25"/>
        </w:numPr>
        <w:tabs>
          <w:tab w:val="num" w:pos="1134"/>
        </w:tabs>
        <w:spacing w:after="0" w:line="240" w:lineRule="auto"/>
        <w:ind w:firstLine="6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zdolności technicznej lub zawodowej tj.: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94FB296" w14:textId="039CF3EB" w:rsidR="001C2659" w:rsidRPr="00EB4AD9" w:rsidRDefault="008C100E" w:rsidP="00EB4AD9">
      <w:pPr>
        <w:pStyle w:val="Akapitzlist"/>
        <w:numPr>
          <w:ilvl w:val="1"/>
          <w:numId w:val="25"/>
        </w:numPr>
        <w:tabs>
          <w:tab w:val="left" w:pos="1843"/>
        </w:tabs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1C2659" w:rsidRPr="00EB4A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Wykonawcy </w:t>
      </w:r>
    </w:p>
    <w:p w14:paraId="7D68E640" w14:textId="77777777" w:rsidR="001C2659" w:rsidRPr="001C2659" w:rsidRDefault="001C2659" w:rsidP="001C2659">
      <w:pPr>
        <w:spacing w:after="0"/>
        <w:ind w:left="141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Wykonawcy muszą wykazać, że nie wcześniej niż w okresie ostatnich pięciu lat przed upływem terminu składania ofert, a jeżeli okres prowadzenia działalności jest krótszy – w tym okresie, </w:t>
      </w:r>
      <w:r w:rsidRPr="001C26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wykonali należycie:</w:t>
      </w:r>
    </w:p>
    <w:p w14:paraId="3C561378" w14:textId="203DBF64" w:rsidR="001C2659" w:rsidRPr="001C2659" w:rsidRDefault="001C2659" w:rsidP="001C2659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co najmniej </w:t>
      </w:r>
      <w:r w:rsidRPr="001C26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1 robotę budowlaną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 ramach której wykonano roboty polegające na budowie </w:t>
      </w:r>
      <w:r w:rsidR="000328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i/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lub przebudowie </w:t>
      </w:r>
      <w:r w:rsidR="000328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drogi o nawierzchni asfaltowej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 wartości tych prac nie mniejszej niż </w:t>
      </w:r>
      <w:r w:rsidR="000328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450 000,00</w:t>
      </w:r>
      <w:r w:rsidR="00EB4A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zł netto.</w:t>
      </w:r>
    </w:p>
    <w:p w14:paraId="7675D017" w14:textId="77777777" w:rsidR="001C2659" w:rsidRPr="001C2659" w:rsidRDefault="001C2659" w:rsidP="001C265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20BCF60C" w14:textId="2293BA4F" w:rsidR="001C2659" w:rsidRPr="001C2659" w:rsidRDefault="001C2659" w:rsidP="001C2659">
      <w:pPr>
        <w:spacing w:after="0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 uwzględni tylko zadani</w:t>
      </w:r>
      <w:r w:rsidR="00EB4A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(roboty) zakończone. </w:t>
      </w:r>
    </w:p>
    <w:p w14:paraId="2204633D" w14:textId="77777777" w:rsidR="001C2659" w:rsidRPr="001C2659" w:rsidRDefault="001C2659" w:rsidP="000F41B4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D5FEE42" w14:textId="77777777" w:rsidR="001C2659" w:rsidRPr="001C2659" w:rsidRDefault="001C2659" w:rsidP="001C2659">
      <w:pPr>
        <w:spacing w:after="0"/>
        <w:ind w:left="141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Uwaga:</w:t>
      </w:r>
    </w:p>
    <w:p w14:paraId="444BAFB7" w14:textId="6D713204" w:rsidR="001C2659" w:rsidRDefault="001C2659" w:rsidP="00EB4AD9">
      <w:pPr>
        <w:numPr>
          <w:ilvl w:val="2"/>
          <w:numId w:val="21"/>
        </w:numPr>
        <w:tabs>
          <w:tab w:val="clear" w:pos="2160"/>
          <w:tab w:val="num" w:pos="1418"/>
          <w:tab w:val="num" w:pos="1701"/>
        </w:tabs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2" w:name="_Hlk488401943"/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99C0F52" w14:textId="74D30236" w:rsidR="001C2659" w:rsidRPr="001C2659" w:rsidRDefault="001C2659" w:rsidP="00EB4AD9">
      <w:pPr>
        <w:numPr>
          <w:ilvl w:val="2"/>
          <w:numId w:val="21"/>
        </w:numPr>
        <w:tabs>
          <w:tab w:val="clear" w:pos="2160"/>
          <w:tab w:val="num" w:pos="1418"/>
          <w:tab w:val="num" w:pos="1701"/>
        </w:tabs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gdy Wykonawca powołuje się na doświadczenie w realizacji robót budowlanych wykonywanych wspólnie z innymi Wykonawcami, wykonawca może wykazać się tylko tymi robotami (zakresem prac), w których wykonaniu Wykonawca ten bezpośrednio uczestniczył.  </w:t>
      </w:r>
    </w:p>
    <w:p w14:paraId="05384BF4" w14:textId="77777777" w:rsidR="001C2659" w:rsidRPr="001C2659" w:rsidRDefault="001C2659" w:rsidP="000F4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C67FAB" w14:textId="1CEA2CE0" w:rsidR="001C2659" w:rsidRPr="001C2659" w:rsidRDefault="008C100E" w:rsidP="001C2659">
      <w:pPr>
        <w:numPr>
          <w:ilvl w:val="0"/>
          <w:numId w:val="6"/>
        </w:numPr>
        <w:tabs>
          <w:tab w:val="clear" w:pos="1065"/>
          <w:tab w:val="num" w:pos="1778"/>
        </w:tabs>
        <w:spacing w:after="0" w:line="240" w:lineRule="auto"/>
        <w:ind w:left="1778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1C2659" w:rsidRPr="001C26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otencjał osobowy Wykonawcy</w:t>
      </w:r>
    </w:p>
    <w:p w14:paraId="0C399E76" w14:textId="123B447D" w:rsidR="001C2659" w:rsidRPr="001C2659" w:rsidRDefault="001C2659" w:rsidP="000F41B4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980D1DD" w14:textId="77777777" w:rsidR="001C2659" w:rsidRPr="001C2659" w:rsidRDefault="001C2659" w:rsidP="001C2659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7DFFB936" w14:textId="39C5DD0B" w:rsidR="001C2659" w:rsidRPr="001C2659" w:rsidRDefault="001C2659" w:rsidP="001C265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Kierownik budowy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minimum jedna (1) osoba posiadającą uprawnienia do pełnienia samodzielnych funkcji technicznych w budownictwie tj. do kierowania robotami budowlanymi w </w:t>
      </w:r>
      <w:r w:rsidR="000F4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zakresie </w:t>
      </w:r>
      <w:r w:rsidR="0003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branży drogowej.</w:t>
      </w:r>
    </w:p>
    <w:p w14:paraId="3AE38CCD" w14:textId="77777777" w:rsidR="00032840" w:rsidRDefault="00032840" w:rsidP="001C2659">
      <w:pPr>
        <w:spacing w:after="0" w:line="240" w:lineRule="auto"/>
        <w:ind w:left="1080" w:firstLine="33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F6DCDC" w14:textId="39EC5772" w:rsidR="001C2659" w:rsidRPr="001C2659" w:rsidRDefault="001C2659" w:rsidP="001C2659">
      <w:pPr>
        <w:spacing w:after="0" w:line="240" w:lineRule="auto"/>
        <w:ind w:left="1080" w:firstLine="33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Uwaga: </w:t>
      </w:r>
    </w:p>
    <w:p w14:paraId="4583B78B" w14:textId="77777777" w:rsidR="001C2659" w:rsidRPr="001C2659" w:rsidRDefault="001C2659" w:rsidP="00EB4AD9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Zamawiający dopuszcza pełnienie funkcji z wymienionych powyżej przez tę samą osobę, pod warunkiem posiadania przez nią wymaganych uprawnień.</w:t>
      </w:r>
    </w:p>
    <w:p w14:paraId="69251E3E" w14:textId="77777777" w:rsidR="001C2659" w:rsidRPr="001C2659" w:rsidRDefault="001C2659" w:rsidP="00EB4AD9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2"/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pozwalać będą na pełnienie określonych funkcji w zakresie objętym niniejszym zamówieniem.</w:t>
      </w:r>
    </w:p>
    <w:p w14:paraId="29512DE0" w14:textId="77777777" w:rsidR="001C2659" w:rsidRDefault="001C2659" w:rsidP="00EB4AD9">
      <w:pPr>
        <w:pStyle w:val="Akapitzli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E6E2D" w14:textId="77AFAB72" w:rsidR="00F11BB5" w:rsidRPr="00927428" w:rsidRDefault="00F86695" w:rsidP="00BF4A00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77777777" w:rsidR="00927428" w:rsidRDefault="00831FE4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51A0C20E" w:rsidR="00927428" w:rsidRDefault="00D80BB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podstawy wykluczenia, które zostały przewidziane względem </w:t>
      </w:r>
      <w:r w:rsidR="00D44B53">
        <w:rPr>
          <w:rFonts w:ascii="Times New Roman" w:eastAsia="Calibri" w:hAnsi="Times New Roman" w:cs="Times New Roman"/>
          <w:sz w:val="24"/>
          <w:szCs w:val="24"/>
        </w:rPr>
        <w:t>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2E8354AC" w:rsidR="00927428" w:rsidRDefault="00581797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nie potwierdzą spełnienia przez </w:t>
      </w:r>
      <w:r w:rsidR="00D44B53">
        <w:rPr>
          <w:rFonts w:ascii="Times New Roman" w:eastAsia="Calibri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>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BF4A00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BF4A00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BF4A00">
      <w:pPr>
        <w:pStyle w:val="Akapitzlist"/>
        <w:numPr>
          <w:ilvl w:val="0"/>
          <w:numId w:val="44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325C4D6E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A1344C3" w14:textId="57F9014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</w:p>
    <w:p w14:paraId="7041B179" w14:textId="77777777" w:rsidR="00AE4979" w:rsidRPr="007C63C8" w:rsidRDefault="00AE4979" w:rsidP="00BF4A00">
      <w:pPr>
        <w:pStyle w:val="Akapitzlist"/>
        <w:numPr>
          <w:ilvl w:val="0"/>
          <w:numId w:val="24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2EBE437D" w14:textId="0A784261" w:rsidR="00AE4979" w:rsidRPr="00AE4979" w:rsidRDefault="00AE4979" w:rsidP="00BF4A00">
      <w:pPr>
        <w:pStyle w:val="Akapitzlist"/>
        <w:numPr>
          <w:ilvl w:val="0"/>
          <w:numId w:val="45"/>
        </w:num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79">
        <w:rPr>
          <w:rFonts w:ascii="Times New Roman" w:eastAsia="Calibri" w:hAnsi="Times New Roman" w:cs="Times New Roman"/>
          <w:sz w:val="24"/>
          <w:szCs w:val="24"/>
        </w:rPr>
        <w:t>Zgodnie z art. 117 ust. 3 ustawy Prawo zamówień publicznych, w odniesieniu do warunków dotyczących kwalifikacji zawodowych i doświadczenia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wykonają poszczególni Wykonawcy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A49FC" w:rsidRPr="008A49FC">
        <w:rPr>
          <w:rFonts w:ascii="Times New Roman" w:eastAsia="Calibri" w:hAnsi="Times New Roman" w:cs="Times New Roman"/>
          <w:b/>
          <w:bCs/>
          <w:sz w:val="24"/>
          <w:szCs w:val="24"/>
        </w:rPr>
        <w:t>wg wzoru stanowiącego Załącznik nr 8 do SWZ.</w:t>
      </w:r>
    </w:p>
    <w:p w14:paraId="4478DA2A" w14:textId="17C28BCD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9E853" w14:textId="76BDCD55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B1AA8" w14:textId="0FBA84B6" w:rsidR="00032840" w:rsidRDefault="00032840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20041" w14:textId="77777777" w:rsidR="00032840" w:rsidRDefault="00032840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Pzp.</w:t>
      </w:r>
    </w:p>
    <w:p w14:paraId="57A077D6" w14:textId="7151E404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2C2D15E6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B9693F">
        <w:rPr>
          <w:rFonts w:ascii="Times New Roman" w:eastAsia="Calibri" w:hAnsi="Times New Roman" w:cs="Times New Roman"/>
          <w:sz w:val="24"/>
          <w:szCs w:val="24"/>
        </w:rPr>
        <w:t>podmiot udostępnia swoje zasoby Wykonawcy.</w:t>
      </w:r>
    </w:p>
    <w:p w14:paraId="23522913" w14:textId="77777777" w:rsidR="00C673F4" w:rsidRPr="007C63C8" w:rsidRDefault="00C673F4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BF4A00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77777777" w:rsidR="00EC3F9C" w:rsidRPr="007C63C8" w:rsidRDefault="00EC3F9C" w:rsidP="00BF4A00">
      <w:pPr>
        <w:pStyle w:val="Tekstpodstawowy"/>
        <w:numPr>
          <w:ilvl w:val="0"/>
          <w:numId w:val="26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BF4A00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1542B1E8" w14:textId="589A6F43" w:rsidR="00AE4979" w:rsidRPr="00AE4979" w:rsidRDefault="00AE4979" w:rsidP="00BF4A00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Wykonawców wspólnie ubiegających się o udzielenie zamówienia, w zakresie, o którym mowa w art. 117 ust. 4 ustawy Prawo zamówień publicznych – wg Załącznika Nr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4979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zgodnie z Art.274.1 Pzp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6763149D" w:rsidR="00C673F4" w:rsidRPr="004D13C8" w:rsidRDefault="00DC09F9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>
        <w:rPr>
          <w:rFonts w:ascii="Times New Roman" w:eastAsia="Calibri" w:hAnsi="Times New Roman" w:cs="Times New Roman"/>
          <w:sz w:val="24"/>
          <w:szCs w:val="24"/>
        </w:rPr>
        <w:t xml:space="preserve"> Pzp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BF4A00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27CB3EB4" w14:textId="77777777" w:rsidR="000466E1" w:rsidRPr="00B8250A" w:rsidRDefault="000466E1" w:rsidP="00BF4A0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3B31357D" w14:textId="284FB782" w:rsidR="002B79B1" w:rsidRDefault="00643433" w:rsidP="00643433">
      <w:pPr>
        <w:pStyle w:val="Akapitzlist"/>
        <w:shd w:val="clear" w:color="auto" w:fill="FFFFFF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3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34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żąda od wykonawcy, który polega na zdolnościach technicznych lub zawodowych lub sytuacji finansowej lub ekonomicznej podmiotów udostępniających zasoby na zasadach określonych w art. 118 ustawy Pzp złożenia na wezwanie podmiotowych środków dowodowych, o których mowa w ust. 1) tj. oświadczenia o aktualności informacji zawartych w oświadczeniu, o którym mowa w art.125 ust.1 ustawy, w zakresie podstaw wykluczenia z postępowania w zakresie wskazanym przez Zamawiającego - wg wzoru stanowiącego Załącznik nr  3 do SWZ, dotyczących tych podmiotów, potwierdzających, że nie zachodzą wobec nich podstawy wykluczenia z przedmiotowego postępowania.</w:t>
      </w:r>
    </w:p>
    <w:p w14:paraId="3D6DFD06" w14:textId="77777777" w:rsidR="00AE4979" w:rsidRPr="007C63C8" w:rsidRDefault="00AE4979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B3A7E" w14:textId="1F3EBCCF" w:rsidR="003C253D" w:rsidRDefault="0064343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1345372A" w14:textId="77777777" w:rsidR="0082492E" w:rsidRPr="00991CE4" w:rsidRDefault="0082492E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18DD4D" w14:textId="77777777" w:rsidR="004866EE" w:rsidRPr="004866EE" w:rsidRDefault="004866EE" w:rsidP="004866EE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66EE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33EED5A6" w14:textId="7785CD55" w:rsidR="004866EE" w:rsidRPr="004866EE" w:rsidRDefault="004866EE" w:rsidP="004866EE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EE">
        <w:rPr>
          <w:rFonts w:ascii="Times New Roman" w:hAnsi="Times New Roman" w:cs="Times New Roman"/>
          <w:sz w:val="24"/>
          <w:szCs w:val="24"/>
        </w:rPr>
        <w:t xml:space="preserve">Wynagrodzenie Wykonawcy ustala się jako </w:t>
      </w:r>
      <w:r w:rsidRPr="004866EE">
        <w:rPr>
          <w:rFonts w:ascii="Times New Roman" w:hAnsi="Times New Roman" w:cs="Times New Roman"/>
          <w:b/>
          <w:sz w:val="24"/>
          <w:szCs w:val="24"/>
        </w:rPr>
        <w:t xml:space="preserve">wynagrodzenie ryczałtowe </w:t>
      </w:r>
      <w:r w:rsidRPr="004866EE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6C8712C0" w14:textId="77777777" w:rsidR="004866EE" w:rsidRPr="004866EE" w:rsidRDefault="004866EE" w:rsidP="004866EE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EE">
        <w:rPr>
          <w:rFonts w:ascii="Times New Roman" w:hAnsi="Times New Roman" w:cs="Times New Roman"/>
          <w:b/>
          <w:sz w:val="24"/>
          <w:szCs w:val="24"/>
        </w:rPr>
        <w:t xml:space="preserve">Wynagrodzenie ryczałtowe, </w:t>
      </w:r>
      <w:r w:rsidRPr="004866EE">
        <w:rPr>
          <w:rFonts w:ascii="Times New Roman" w:hAnsi="Times New Roman" w:cs="Times New Roman"/>
          <w:bCs/>
          <w:sz w:val="24"/>
          <w:szCs w:val="24"/>
        </w:rPr>
        <w:t>o którym mowa w pkt. 1 obejmuje wszystkie koszty związane z realizacją robót objętych dokumentacją techniczną, przedmiarami robót, oraz specyfikacjami technicznymi wykonania i odbioru robót,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 oraz koszty badań, prób, składowania materiałów, utrzymania placu budowy, obsługi geodezyjnej i powykonawczej itp.). Niedoszacowanie, pominięcie oraz brak rozpoznania zakresu przedmiotu umowy nie może być podstawą do żądania zmian wynagrodzenia umownego.</w:t>
      </w:r>
    </w:p>
    <w:p w14:paraId="14E73A9A" w14:textId="7745D195" w:rsidR="004866EE" w:rsidRPr="004866EE" w:rsidRDefault="004866EE" w:rsidP="004866E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EE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4866EE">
        <w:rPr>
          <w:rFonts w:ascii="Times New Roman" w:hAnsi="Times New Roman" w:cs="Times New Roman"/>
          <w:b/>
          <w:sz w:val="24"/>
          <w:szCs w:val="24"/>
        </w:rPr>
        <w:t>do wartości robót.</w:t>
      </w:r>
      <w:r w:rsidRPr="004866EE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05BFDA53" w14:textId="77777777" w:rsidR="004866EE" w:rsidRPr="004866EE" w:rsidRDefault="004866EE" w:rsidP="004866E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EE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4866EE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50AC3980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D795263" w14:textId="44DE05B9" w:rsidR="00782921" w:rsidRPr="007C63C8" w:rsidRDefault="00806884" w:rsidP="0064343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warancji– waga kryterium  40%</w:t>
      </w: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57B5A4EC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385CEBA8" w14:textId="6E84E87E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7BD8262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F2F77F4" w14:textId="6509FBD0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0C714C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BF4A00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BF4A00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63150F35" w14:textId="6E6AD126" w:rsidR="001D7EEE" w:rsidRPr="00173BC2" w:rsidRDefault="00394778" w:rsidP="000C714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Pzp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Pzp.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>226 ust. 1 ustawy Pzp.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</w:t>
      </w:r>
      <w:r w:rsidR="000C73BC" w:rsidRPr="005F647E">
        <w:rPr>
          <w:rFonts w:ascii="Times New Roman" w:hAnsi="Times New Roman" w:cs="Times New Roman"/>
          <w:sz w:val="24"/>
          <w:szCs w:val="24"/>
        </w:rPr>
        <w:lastRenderedPageBreak/>
        <w:t xml:space="preserve">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643433">
      <w:pPr>
        <w:pStyle w:val="Akapitzlist"/>
        <w:numPr>
          <w:ilvl w:val="1"/>
          <w:numId w:val="5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643433">
      <w:pPr>
        <w:pStyle w:val="Akapitzlist"/>
        <w:numPr>
          <w:ilvl w:val="1"/>
          <w:numId w:val="5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C75C2C" w:rsidRDefault="00430191" w:rsidP="00C75C2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65F13744" w:rsidR="008D2CFE" w:rsidRPr="007C63C8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4D2824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6C4AFD68" w14:textId="4B4801E4" w:rsidR="008D2CFE" w:rsidRPr="00A278F0" w:rsidRDefault="008D2CFE" w:rsidP="00BF4A0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</w:t>
      </w:r>
      <w:r w:rsidR="00597E8D">
        <w:rPr>
          <w:rFonts w:ascii="Times New Roman" w:hAnsi="Times New Roman" w:cs="Times New Roman"/>
          <w:sz w:val="24"/>
          <w:szCs w:val="24"/>
        </w:rPr>
        <w:t xml:space="preserve"> planowan</w:t>
      </w:r>
      <w:r w:rsidR="00C75C2C">
        <w:rPr>
          <w:rFonts w:ascii="Times New Roman" w:hAnsi="Times New Roman" w:cs="Times New Roman"/>
          <w:sz w:val="24"/>
          <w:szCs w:val="24"/>
        </w:rPr>
        <w:t>ą</w:t>
      </w:r>
      <w:r w:rsidR="00597E8D">
        <w:rPr>
          <w:rFonts w:ascii="Times New Roman" w:hAnsi="Times New Roman" w:cs="Times New Roman"/>
          <w:sz w:val="24"/>
          <w:szCs w:val="24"/>
        </w:rPr>
        <w:t xml:space="preserve"> ilość faktur</w:t>
      </w:r>
      <w:r w:rsidR="00C75C2C">
        <w:rPr>
          <w:rFonts w:ascii="Times New Roman" w:hAnsi="Times New Roman" w:cs="Times New Roman"/>
          <w:sz w:val="24"/>
          <w:szCs w:val="24"/>
        </w:rPr>
        <w:t>.</w:t>
      </w:r>
    </w:p>
    <w:p w14:paraId="0D11D23D" w14:textId="7BF4C184" w:rsidR="00A278F0" w:rsidRPr="00A278F0" w:rsidRDefault="00A278F0" w:rsidP="00A278F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F0">
        <w:rPr>
          <w:rFonts w:ascii="Times New Roman" w:hAnsi="Times New Roman" w:cs="Times New Roman"/>
          <w:sz w:val="24"/>
          <w:szCs w:val="24"/>
        </w:rPr>
        <w:t xml:space="preserve">Wykonawca dostarczy kosztorys ofertowy na kwotę wynikającą ze złożonej oferty. Kosztorys ofertowy - wydruk uproszczony kosztorysu z podaniem cen jednostkowych wykonania robót. Cenę jednostkową należy podać z zaokrągleniem do dwóch miejsc po przecinku. Ponadto podczas sporządzania kosztorysu ofertowego należy sprawdzić czy stosowana formuła : ilość x cena jest równa wartości danej pozycji kosztorysowej. </w:t>
      </w:r>
    </w:p>
    <w:p w14:paraId="7FBB30B1" w14:textId="77777777" w:rsidR="00A278F0" w:rsidRPr="00A278F0" w:rsidRDefault="00A278F0" w:rsidP="00A278F0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F0">
        <w:rPr>
          <w:rFonts w:ascii="Times New Roman" w:hAnsi="Times New Roman" w:cs="Times New Roman"/>
          <w:sz w:val="24"/>
          <w:szCs w:val="24"/>
        </w:rPr>
        <w:t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stwierdzenie o solidarnej odpowiedzialności za całość zobowiązań, czas trwania umożliwiający realizację przedmiotu zamówienia - również obowiązki udzielonej gwarancji, wskazanie partnera/lidera - do wystawiania faktur Zamawiającemu.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BF4A00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BF4A00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>450 ustawy Pzp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BF4A00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Pzp. </w:t>
      </w:r>
    </w:p>
    <w:p w14:paraId="4FB33513" w14:textId="77777777" w:rsidR="006F4E9E" w:rsidRPr="007C63C8" w:rsidRDefault="006F4E9E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5D847" w14:textId="77777777" w:rsidR="00256E09" w:rsidRPr="007C63C8" w:rsidRDefault="00256E09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6CD43C47" w:rsidR="00AB46F4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ofercie. Zabezpieczenie ustala się w pełnych złotych z uwzględnieniem zaokrągleń matematycznych.</w:t>
      </w:r>
    </w:p>
    <w:p w14:paraId="22A0582E" w14:textId="77777777" w:rsidR="00AB46F4" w:rsidRPr="007C63C8" w:rsidRDefault="00AB46F4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5AA52E3C" w:rsidR="00D801DC" w:rsidRDefault="00DB46B5" w:rsidP="00BF4A00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DEB968E" w14:textId="77777777" w:rsidR="00BF7505" w:rsidRPr="007C63C8" w:rsidRDefault="00BF7505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BF4A00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BF4A00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>IX - Środki ochrony prawnej; Rozdział 1 i 2 Art.505 - 590 ustawy Pzp.</w:t>
      </w:r>
    </w:p>
    <w:p w14:paraId="1FE28E7F" w14:textId="21FB8880" w:rsidR="00B143BB" w:rsidRDefault="00B143BB" w:rsidP="00BF4A00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Pzp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401B4B20" w:rsidR="000E581E" w:rsidRPr="000E581E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A278F0">
        <w:rPr>
          <w:rFonts w:ascii="Times New Roman" w:hAnsi="Times New Roman" w:cs="Times New Roman"/>
          <w:b/>
          <w:sz w:val="24"/>
          <w:szCs w:val="24"/>
        </w:rPr>
        <w:t>Przebudowa drogi dojazdowej do gruntów rolnych w Grylewie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>ustawy Pzp,</w:t>
      </w:r>
    </w:p>
    <w:p w14:paraId="4256500D" w14:textId="77777777" w:rsidR="000E581E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BF7505">
      <w:pPr>
        <w:pStyle w:val="Akapitzlist"/>
        <w:numPr>
          <w:ilvl w:val="6"/>
          <w:numId w:val="4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BF7505">
      <w:pPr>
        <w:pStyle w:val="Akapitzlist"/>
        <w:numPr>
          <w:ilvl w:val="6"/>
          <w:numId w:val="41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BF7505">
      <w:pPr>
        <w:pStyle w:val="Akapitzlist"/>
        <w:numPr>
          <w:ilvl w:val="6"/>
          <w:numId w:val="41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>ustawą Pzp</w:t>
      </w:r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BF7505">
      <w:pPr>
        <w:pStyle w:val="Akapitzlist"/>
        <w:numPr>
          <w:ilvl w:val="6"/>
          <w:numId w:val="41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BF7505">
      <w:pPr>
        <w:pStyle w:val="Akapitzlist"/>
        <w:numPr>
          <w:ilvl w:val="6"/>
          <w:numId w:val="41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BF7505">
      <w:pPr>
        <w:pStyle w:val="Akapitzlist"/>
        <w:numPr>
          <w:ilvl w:val="6"/>
          <w:numId w:val="41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BF7505">
      <w:pPr>
        <w:pStyle w:val="Akapitzlist"/>
        <w:numPr>
          <w:ilvl w:val="6"/>
          <w:numId w:val="41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BF7505">
      <w:pPr>
        <w:pStyle w:val="Akapitzlist"/>
        <w:numPr>
          <w:ilvl w:val="6"/>
          <w:numId w:val="41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02C7F1E3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6F00A5A6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846B1C">
        <w:rPr>
          <w:rFonts w:ascii="Times New Roman" w:hAnsi="Times New Roman" w:cs="Times New Roman"/>
          <w:sz w:val="24"/>
          <w:szCs w:val="24"/>
        </w:rPr>
        <w:t>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Pzp.</w:t>
      </w:r>
    </w:p>
    <w:p w14:paraId="3E3A030E" w14:textId="1BC49A0F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0A068C">
        <w:rPr>
          <w:rFonts w:ascii="Times New Roman" w:hAnsi="Times New Roman" w:cs="Times New Roman"/>
          <w:sz w:val="24"/>
          <w:szCs w:val="24"/>
        </w:rPr>
        <w:t>–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>informacji zawartych w oświadczeniu składanym na podstawie art.125.1 ustawy Pzp.</w:t>
      </w:r>
    </w:p>
    <w:p w14:paraId="529401AF" w14:textId="26E4038D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Wzór wykazu wykonanych robót budowlanych.</w:t>
      </w:r>
    </w:p>
    <w:p w14:paraId="13116900" w14:textId="2C48AF25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1DF5D0FC" w14:textId="27458DC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 xml:space="preserve">6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01728C">
        <w:rPr>
          <w:rFonts w:ascii="Times New Roman" w:hAnsi="Times New Roman" w:cs="Times New Roman"/>
          <w:sz w:val="24"/>
          <w:szCs w:val="24"/>
        </w:rPr>
        <w:t xml:space="preserve"> Wzór oświadczenia o podwykonawcach.</w:t>
      </w:r>
    </w:p>
    <w:p w14:paraId="7A5F1EEC" w14:textId="334356A4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Wzór zobowiązania innego podmiotu do oddania Wykonawcy do dyspozycji niezbędnych zasobów.</w:t>
      </w:r>
    </w:p>
    <w:p w14:paraId="604EAFB5" w14:textId="71C60C52" w:rsidR="007F179C" w:rsidRPr="007F179C" w:rsidRDefault="007F179C" w:rsidP="007F179C">
      <w:pPr>
        <w:spacing w:after="0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Pr="007F179C">
        <w:rPr>
          <w:rFonts w:ascii="Times New Roman" w:hAnsi="Times New Roman" w:cs="Times New Roman"/>
          <w:sz w:val="24"/>
          <w:szCs w:val="24"/>
        </w:rPr>
        <w:t xml:space="preserve"> </w:t>
      </w:r>
      <w:r w:rsidRPr="007F179C">
        <w:rPr>
          <w:rFonts w:ascii="Times New Roman" w:eastAsia="Calibri" w:hAnsi="Times New Roman" w:cs="Times New Roman"/>
          <w:bCs/>
          <w:sz w:val="24"/>
          <w:szCs w:val="24"/>
        </w:rPr>
        <w:t>Oświadczenie Wykonawców wspólnie ubiegających się o udzielenie zamówienia, w zakresie, o którym mowa w art. 117 ust. 4 ustawy Prawo zamówień publicznych.</w:t>
      </w:r>
    </w:p>
    <w:p w14:paraId="2E323999" w14:textId="688AD458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4EDC2E51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Dokumentacja projektowa.</w:t>
      </w:r>
    </w:p>
    <w:p w14:paraId="2591DF46" w14:textId="753153A0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Specyfikacje techniczne wykonania i odbioru robót.</w:t>
      </w:r>
    </w:p>
    <w:p w14:paraId="774B8CEA" w14:textId="29BBD57B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F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Przedmiary robót.</w:t>
      </w:r>
    </w:p>
    <w:p w14:paraId="7E908962" w14:textId="69A37C59" w:rsidR="00A278F0" w:rsidRPr="00FB4A19" w:rsidRDefault="00A278F0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13 – Tabela równoważności</w:t>
      </w: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B580" w14:textId="77777777" w:rsidR="00277C14" w:rsidRDefault="00277C14" w:rsidP="002F7E9B">
      <w:pPr>
        <w:spacing w:after="0" w:line="240" w:lineRule="auto"/>
      </w:pPr>
      <w:r>
        <w:separator/>
      </w:r>
    </w:p>
  </w:endnote>
  <w:endnote w:type="continuationSeparator" w:id="0">
    <w:p w14:paraId="55075A79" w14:textId="77777777" w:rsidR="00277C14" w:rsidRDefault="00277C14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37CA" w14:textId="77777777" w:rsidR="00277C14" w:rsidRDefault="00277C14" w:rsidP="002F7E9B">
      <w:pPr>
        <w:spacing w:after="0" w:line="240" w:lineRule="auto"/>
      </w:pPr>
      <w:r>
        <w:separator/>
      </w:r>
    </w:p>
  </w:footnote>
  <w:footnote w:type="continuationSeparator" w:id="0">
    <w:p w14:paraId="4383B060" w14:textId="77777777" w:rsidR="00277C14" w:rsidRDefault="00277C14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77777777" w:rsidR="00EA70F9" w:rsidRPr="004B6BC2" w:rsidRDefault="00EA70F9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5CB460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695B21"/>
    <w:multiLevelType w:val="hybridMultilevel"/>
    <w:tmpl w:val="9CC47BD4"/>
    <w:lvl w:ilvl="0" w:tplc="6A244CF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BF6B75"/>
    <w:multiLevelType w:val="hybridMultilevel"/>
    <w:tmpl w:val="E990D2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8993525"/>
    <w:multiLevelType w:val="hybridMultilevel"/>
    <w:tmpl w:val="B972DE02"/>
    <w:lvl w:ilvl="0" w:tplc="0442B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732AE"/>
    <w:multiLevelType w:val="hybridMultilevel"/>
    <w:tmpl w:val="1F22C1C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E0457E5"/>
    <w:multiLevelType w:val="hybridMultilevel"/>
    <w:tmpl w:val="4E7409C0"/>
    <w:lvl w:ilvl="0" w:tplc="494C3B5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1"/>
  </w:num>
  <w:num w:numId="3">
    <w:abstractNumId w:val="9"/>
  </w:num>
  <w:num w:numId="4">
    <w:abstractNumId w:val="5"/>
  </w:num>
  <w:num w:numId="5">
    <w:abstractNumId w:val="7"/>
  </w:num>
  <w:num w:numId="6">
    <w:abstractNumId w:val="32"/>
  </w:num>
  <w:num w:numId="7">
    <w:abstractNumId w:val="36"/>
  </w:num>
  <w:num w:numId="8">
    <w:abstractNumId w:val="35"/>
  </w:num>
  <w:num w:numId="9">
    <w:abstractNumId w:val="46"/>
  </w:num>
  <w:num w:numId="10">
    <w:abstractNumId w:val="12"/>
  </w:num>
  <w:num w:numId="11">
    <w:abstractNumId w:val="52"/>
  </w:num>
  <w:num w:numId="12">
    <w:abstractNumId w:val="11"/>
  </w:num>
  <w:num w:numId="13">
    <w:abstractNumId w:val="38"/>
  </w:num>
  <w:num w:numId="14">
    <w:abstractNumId w:val="47"/>
  </w:num>
  <w:num w:numId="15">
    <w:abstractNumId w:val="28"/>
  </w:num>
  <w:num w:numId="16">
    <w:abstractNumId w:val="3"/>
  </w:num>
  <w:num w:numId="17">
    <w:abstractNumId w:val="30"/>
  </w:num>
  <w:num w:numId="18">
    <w:abstractNumId w:val="44"/>
  </w:num>
  <w:num w:numId="19">
    <w:abstractNumId w:val="37"/>
  </w:num>
  <w:num w:numId="20">
    <w:abstractNumId w:val="17"/>
  </w:num>
  <w:num w:numId="21">
    <w:abstractNumId w:val="24"/>
  </w:num>
  <w:num w:numId="22">
    <w:abstractNumId w:val="42"/>
  </w:num>
  <w:num w:numId="23">
    <w:abstractNumId w:val="40"/>
  </w:num>
  <w:num w:numId="24">
    <w:abstractNumId w:val="34"/>
  </w:num>
  <w:num w:numId="25">
    <w:abstractNumId w:val="27"/>
  </w:num>
  <w:num w:numId="26">
    <w:abstractNumId w:val="16"/>
  </w:num>
  <w:num w:numId="27">
    <w:abstractNumId w:val="22"/>
  </w:num>
  <w:num w:numId="28">
    <w:abstractNumId w:val="48"/>
  </w:num>
  <w:num w:numId="29">
    <w:abstractNumId w:val="4"/>
  </w:num>
  <w:num w:numId="30">
    <w:abstractNumId w:val="39"/>
  </w:num>
  <w:num w:numId="31">
    <w:abstractNumId w:val="21"/>
  </w:num>
  <w:num w:numId="32">
    <w:abstractNumId w:val="13"/>
  </w:num>
  <w:num w:numId="33">
    <w:abstractNumId w:val="10"/>
  </w:num>
  <w:num w:numId="34">
    <w:abstractNumId w:val="8"/>
  </w:num>
  <w:num w:numId="35">
    <w:abstractNumId w:val="25"/>
  </w:num>
  <w:num w:numId="36">
    <w:abstractNumId w:val="1"/>
  </w:num>
  <w:num w:numId="37">
    <w:abstractNumId w:val="15"/>
  </w:num>
  <w:num w:numId="38">
    <w:abstractNumId w:val="29"/>
  </w:num>
  <w:num w:numId="39">
    <w:abstractNumId w:val="18"/>
  </w:num>
  <w:num w:numId="40">
    <w:abstractNumId w:val="31"/>
  </w:num>
  <w:num w:numId="41">
    <w:abstractNumId w:val="43"/>
  </w:num>
  <w:num w:numId="42">
    <w:abstractNumId w:val="26"/>
  </w:num>
  <w:num w:numId="43">
    <w:abstractNumId w:val="23"/>
  </w:num>
  <w:num w:numId="44">
    <w:abstractNumId w:val="45"/>
  </w:num>
  <w:num w:numId="45">
    <w:abstractNumId w:val="50"/>
  </w:num>
  <w:num w:numId="46">
    <w:abstractNumId w:val="14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alibri" w:hAnsi="Calibri" w:cs="Calibri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cs="Calibri" w:hint="default"/>
        </w:rPr>
      </w:lvl>
    </w:lvlOverride>
  </w:num>
  <w:num w:numId="49">
    <w:abstractNumId w:val="33"/>
  </w:num>
  <w:num w:numId="50">
    <w:abstractNumId w:val="51"/>
  </w:num>
  <w:num w:numId="51">
    <w:abstractNumId w:val="19"/>
  </w:num>
  <w:num w:numId="52">
    <w:abstractNumId w:val="6"/>
  </w:num>
  <w:num w:numId="53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40"/>
    <w:rsid w:val="000328F3"/>
    <w:rsid w:val="000341BC"/>
    <w:rsid w:val="00034489"/>
    <w:rsid w:val="000376C9"/>
    <w:rsid w:val="00037F2E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068C"/>
    <w:rsid w:val="000A15E1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270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6E05"/>
    <w:rsid w:val="00197151"/>
    <w:rsid w:val="0019717C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7EEE"/>
    <w:rsid w:val="001E0CDA"/>
    <w:rsid w:val="001E1DEC"/>
    <w:rsid w:val="001E6386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186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C14"/>
    <w:rsid w:val="00277FA1"/>
    <w:rsid w:val="002808B6"/>
    <w:rsid w:val="00280950"/>
    <w:rsid w:val="00281CB8"/>
    <w:rsid w:val="00282417"/>
    <w:rsid w:val="002842B7"/>
    <w:rsid w:val="0028575E"/>
    <w:rsid w:val="002873D6"/>
    <w:rsid w:val="002879E7"/>
    <w:rsid w:val="002914DF"/>
    <w:rsid w:val="00291533"/>
    <w:rsid w:val="0029237E"/>
    <w:rsid w:val="002A20C4"/>
    <w:rsid w:val="002A2A79"/>
    <w:rsid w:val="002A3A0B"/>
    <w:rsid w:val="002A4FC2"/>
    <w:rsid w:val="002A776C"/>
    <w:rsid w:val="002B29B5"/>
    <w:rsid w:val="002B4A3D"/>
    <w:rsid w:val="002B769C"/>
    <w:rsid w:val="002B79B1"/>
    <w:rsid w:val="002C071F"/>
    <w:rsid w:val="002C1CAC"/>
    <w:rsid w:val="002C2621"/>
    <w:rsid w:val="002C6A0F"/>
    <w:rsid w:val="002D33AB"/>
    <w:rsid w:val="002D6ACA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2EB6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466C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866EE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38AD"/>
    <w:rsid w:val="006165FB"/>
    <w:rsid w:val="00616F7C"/>
    <w:rsid w:val="006176BF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424B"/>
    <w:rsid w:val="006543F7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71EA7"/>
    <w:rsid w:val="00772225"/>
    <w:rsid w:val="007724FA"/>
    <w:rsid w:val="0077265E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D7C4C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2EFE"/>
    <w:rsid w:val="0092500C"/>
    <w:rsid w:val="009262B6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278F0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7DC8"/>
    <w:rsid w:val="00B220C9"/>
    <w:rsid w:val="00B2665C"/>
    <w:rsid w:val="00B27FD8"/>
    <w:rsid w:val="00B3132E"/>
    <w:rsid w:val="00B40920"/>
    <w:rsid w:val="00B40ED4"/>
    <w:rsid w:val="00B414AD"/>
    <w:rsid w:val="00B51E6A"/>
    <w:rsid w:val="00B55940"/>
    <w:rsid w:val="00B56210"/>
    <w:rsid w:val="00B56F53"/>
    <w:rsid w:val="00B60301"/>
    <w:rsid w:val="00B62D5B"/>
    <w:rsid w:val="00B660C2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A0754"/>
    <w:rsid w:val="00BA0BA6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03EB"/>
    <w:rsid w:val="00BE2238"/>
    <w:rsid w:val="00BE3BAA"/>
    <w:rsid w:val="00BE5E50"/>
    <w:rsid w:val="00BF17FE"/>
    <w:rsid w:val="00BF2CE7"/>
    <w:rsid w:val="00BF44D5"/>
    <w:rsid w:val="00BF4A00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675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23AC"/>
    <w:rsid w:val="00CD5150"/>
    <w:rsid w:val="00CD6779"/>
    <w:rsid w:val="00CD7137"/>
    <w:rsid w:val="00CE5EAE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25B3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4B53"/>
    <w:rsid w:val="00D471D7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754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770B8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3976"/>
    <w:rsid w:val="00EE4298"/>
    <w:rsid w:val="00EF0563"/>
    <w:rsid w:val="00EF0C28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12F"/>
    <w:rsid w:val="00F2152F"/>
    <w:rsid w:val="00F23F40"/>
    <w:rsid w:val="00F2433A"/>
    <w:rsid w:val="00F246A1"/>
    <w:rsid w:val="00F247D7"/>
    <w:rsid w:val="00F24863"/>
    <w:rsid w:val="00F24B56"/>
    <w:rsid w:val="00F25A51"/>
    <w:rsid w:val="00F30BB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B02"/>
    <w:rsid w:val="00FA5CEF"/>
    <w:rsid w:val="00FA6953"/>
    <w:rsid w:val="00FA79AC"/>
    <w:rsid w:val="00FB2D9F"/>
    <w:rsid w:val="00FB4A19"/>
    <w:rsid w:val="00FC0919"/>
    <w:rsid w:val="00FC3F42"/>
    <w:rsid w:val="00FC4135"/>
    <w:rsid w:val="00FC53F6"/>
    <w:rsid w:val="00FD0627"/>
    <w:rsid w:val="00FD2F75"/>
    <w:rsid w:val="00FD372E"/>
    <w:rsid w:val="00FD3DD5"/>
    <w:rsid w:val="00FD4546"/>
    <w:rsid w:val="00FE1F2B"/>
    <w:rsid w:val="00FE61D6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13052</Words>
  <Characters>78315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60</cp:revision>
  <cp:lastPrinted>2021-09-16T08:06:00Z</cp:lastPrinted>
  <dcterms:created xsi:type="dcterms:W3CDTF">2021-07-25T19:49:00Z</dcterms:created>
  <dcterms:modified xsi:type="dcterms:W3CDTF">2022-03-24T12:39:00Z</dcterms:modified>
</cp:coreProperties>
</file>