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C3A21" w:rsidRPr="00D2353C" w:rsidRDefault="00AC3A21" w:rsidP="00AC3A21">
      <w:pPr>
        <w:ind w:left="360"/>
        <w:contextualSpacing/>
        <w:jc w:val="right"/>
        <w:rPr>
          <w:b/>
        </w:rPr>
      </w:pPr>
      <w:r w:rsidRPr="00D2353C">
        <w:rPr>
          <w:b/>
        </w:rPr>
        <w:t>Załącznik nr 2</w:t>
      </w:r>
      <w:r>
        <w:rPr>
          <w:b/>
        </w:rPr>
        <w:t>a</w:t>
      </w:r>
    </w:p>
    <w:p w:rsidR="001D6D05" w:rsidRDefault="001D6D05" w:rsidP="00AC3A21">
      <w:pPr>
        <w:ind w:left="360"/>
        <w:contextualSpacing/>
        <w:jc w:val="center"/>
        <w:rPr>
          <w:rFonts w:eastAsia="Calibri"/>
          <w:b/>
          <w:u w:val="single"/>
        </w:rPr>
      </w:pPr>
    </w:p>
    <w:p w:rsidR="001D6D05" w:rsidRDefault="001D6D05" w:rsidP="00AC3A21">
      <w:pPr>
        <w:ind w:left="360"/>
        <w:contextualSpacing/>
        <w:jc w:val="center"/>
        <w:rPr>
          <w:rFonts w:eastAsia="Calibri"/>
          <w:b/>
          <w:u w:val="single"/>
        </w:rPr>
      </w:pPr>
    </w:p>
    <w:tbl>
      <w:tblPr>
        <w:tblStyle w:val="Tabela-Siatka2"/>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004"/>
      </w:tblGrid>
      <w:tr w:rsidR="001D6D05" w:rsidRPr="001218BB" w:rsidTr="001D6D05">
        <w:tc>
          <w:tcPr>
            <w:tcW w:w="5000" w:type="pct"/>
            <w:shd w:val="clear" w:color="auto" w:fill="BFBFBF" w:themeFill="background1" w:themeFillShade="BF"/>
          </w:tcPr>
          <w:p w:rsidR="001D6D05" w:rsidRPr="001218BB" w:rsidRDefault="001D6D05" w:rsidP="004453C8">
            <w:pPr>
              <w:spacing w:line="276" w:lineRule="auto"/>
              <w:jc w:val="both"/>
              <w:rPr>
                <w:sz w:val="20"/>
                <w:szCs w:val="20"/>
              </w:rPr>
            </w:pPr>
            <w:r w:rsidRPr="001218BB">
              <w:rPr>
                <w:sz w:val="20"/>
                <w:szCs w:val="20"/>
              </w:rPr>
              <w:t xml:space="preserve">Dotyczy postępowania: </w:t>
            </w:r>
            <w:r w:rsidRPr="005B425F">
              <w:rPr>
                <w:b/>
                <w:i/>
                <w:sz w:val="20"/>
                <w:szCs w:val="20"/>
              </w:rPr>
              <w:t xml:space="preserve">„Wdrożenie Systemu </w:t>
            </w:r>
            <w:proofErr w:type="spellStart"/>
            <w:r w:rsidRPr="005B425F">
              <w:rPr>
                <w:b/>
                <w:i/>
                <w:sz w:val="20"/>
                <w:szCs w:val="20"/>
              </w:rPr>
              <w:t>Teleradiologicznego</w:t>
            </w:r>
            <w:proofErr w:type="spellEnd"/>
            <w:r w:rsidRPr="005B425F">
              <w:rPr>
                <w:b/>
                <w:i/>
                <w:sz w:val="20"/>
                <w:szCs w:val="20"/>
              </w:rPr>
              <w:t xml:space="preserve"> wraz z dzierżawą licencji w okresie 12 miesięcy</w:t>
            </w:r>
            <w:r w:rsidRPr="001218BB">
              <w:rPr>
                <w:b/>
                <w:i/>
                <w:sz w:val="20"/>
                <w:szCs w:val="20"/>
              </w:rPr>
              <w:t>.</w:t>
            </w:r>
            <w:r w:rsidRPr="001218BB">
              <w:rPr>
                <w:sz w:val="20"/>
                <w:szCs w:val="20"/>
              </w:rPr>
              <w:t xml:space="preserve"> znak sprawy: 4 WSzKzP.SZP.2612.</w:t>
            </w:r>
            <w:r>
              <w:rPr>
                <w:sz w:val="20"/>
                <w:szCs w:val="20"/>
              </w:rPr>
              <w:t>4</w:t>
            </w:r>
            <w:r w:rsidRPr="001218BB">
              <w:rPr>
                <w:sz w:val="20"/>
                <w:szCs w:val="20"/>
              </w:rPr>
              <w:t>.202</w:t>
            </w:r>
            <w:r>
              <w:rPr>
                <w:sz w:val="20"/>
                <w:szCs w:val="20"/>
              </w:rPr>
              <w:t>5</w:t>
            </w:r>
            <w:r w:rsidRPr="001218BB">
              <w:rPr>
                <w:sz w:val="20"/>
                <w:szCs w:val="20"/>
              </w:rPr>
              <w:t xml:space="preserve"> </w:t>
            </w:r>
          </w:p>
        </w:tc>
      </w:tr>
    </w:tbl>
    <w:p w:rsidR="001D6D05" w:rsidRDefault="001D6D05" w:rsidP="00AC3A21">
      <w:pPr>
        <w:ind w:left="360"/>
        <w:contextualSpacing/>
        <w:jc w:val="center"/>
        <w:rPr>
          <w:rFonts w:eastAsia="Calibri"/>
          <w:b/>
          <w:u w:val="single"/>
        </w:rPr>
      </w:pPr>
    </w:p>
    <w:p w:rsidR="001D6D05" w:rsidRDefault="001D6D05" w:rsidP="00AC3A21">
      <w:pPr>
        <w:ind w:left="360"/>
        <w:contextualSpacing/>
        <w:jc w:val="center"/>
        <w:rPr>
          <w:rFonts w:eastAsia="Calibri"/>
          <w:b/>
          <w:u w:val="single"/>
        </w:rPr>
      </w:pPr>
    </w:p>
    <w:p w:rsidR="001D6D05" w:rsidRDefault="001D6D05" w:rsidP="00AC3A21">
      <w:pPr>
        <w:ind w:left="360"/>
        <w:contextualSpacing/>
        <w:jc w:val="center"/>
        <w:rPr>
          <w:rFonts w:eastAsia="Calibri"/>
          <w:b/>
          <w:u w:val="single"/>
        </w:rPr>
      </w:pPr>
    </w:p>
    <w:p w:rsidR="00AC3A21" w:rsidRPr="00D2353C" w:rsidRDefault="00AC3A21" w:rsidP="00AC3A21">
      <w:pPr>
        <w:ind w:left="360"/>
        <w:contextualSpacing/>
        <w:jc w:val="center"/>
        <w:rPr>
          <w:rFonts w:eastAsia="Calibri"/>
          <w:b/>
          <w:u w:val="single"/>
        </w:rPr>
      </w:pPr>
      <w:r w:rsidRPr="00D2353C">
        <w:rPr>
          <w:rFonts w:eastAsia="Calibri"/>
          <w:b/>
          <w:u w:val="single"/>
        </w:rPr>
        <w:t>PARAMETRY TECHNICZNE</w:t>
      </w:r>
    </w:p>
    <w:p w:rsidR="00AC3A21" w:rsidRDefault="00AC3A21" w:rsidP="00AC3A21">
      <w:pPr>
        <w:spacing w:after="200" w:line="276" w:lineRule="auto"/>
        <w:jc w:val="center"/>
        <w:rPr>
          <w:b/>
          <w:bCs/>
          <w:sz w:val="22"/>
          <w:szCs w:val="22"/>
          <w:u w:val="single"/>
          <w:lang w:eastAsia="zh-CN"/>
        </w:rPr>
      </w:pPr>
    </w:p>
    <w:p w:rsidR="00AC3A21" w:rsidRDefault="00AC3A21" w:rsidP="00AC3A21">
      <w:pPr>
        <w:tabs>
          <w:tab w:val="left" w:pos="5812"/>
          <w:tab w:val="left" w:pos="9781"/>
        </w:tabs>
        <w:suppressAutoHyphens/>
        <w:ind w:left="2410" w:hanging="2410"/>
        <w:jc w:val="center"/>
        <w:rPr>
          <w:b/>
          <w:u w:val="single"/>
        </w:rPr>
      </w:pPr>
      <w:r w:rsidRPr="00D65624">
        <w:rPr>
          <w:b/>
          <w:u w:val="single"/>
        </w:rPr>
        <w:t>Wdrożenie systemu, integracja HL7 z posiadanym w szpitalu systemem + EDM</w:t>
      </w:r>
    </w:p>
    <w:p w:rsidR="00AC3A21" w:rsidRDefault="00AC3A21" w:rsidP="00AC3A21">
      <w:pPr>
        <w:tabs>
          <w:tab w:val="left" w:pos="5812"/>
          <w:tab w:val="left" w:pos="9781"/>
        </w:tabs>
        <w:suppressAutoHyphens/>
        <w:ind w:left="2410" w:hanging="2410"/>
        <w:jc w:val="both"/>
        <w:rPr>
          <w:b/>
          <w:bCs/>
          <w:sz w:val="22"/>
          <w:szCs w:val="22"/>
          <w:lang w:eastAsia="zh-CN"/>
        </w:rPr>
      </w:pPr>
    </w:p>
    <w:p w:rsidR="00AC3A21" w:rsidRPr="00ED05BB" w:rsidRDefault="00AC3A21" w:rsidP="00AC3A21">
      <w:pPr>
        <w:tabs>
          <w:tab w:val="left" w:pos="5812"/>
          <w:tab w:val="left" w:pos="9781"/>
        </w:tabs>
        <w:suppressAutoHyphens/>
        <w:ind w:left="2410" w:hanging="2410"/>
        <w:jc w:val="both"/>
        <w:rPr>
          <w:b/>
          <w:bCs/>
          <w:sz w:val="22"/>
          <w:szCs w:val="22"/>
          <w:lang w:eastAsia="zh-CN"/>
        </w:rPr>
      </w:pPr>
      <w:r w:rsidRPr="00ED05BB">
        <w:rPr>
          <w:b/>
          <w:bCs/>
          <w:sz w:val="22"/>
          <w:szCs w:val="22"/>
          <w:lang w:eastAsia="zh-CN"/>
        </w:rPr>
        <w:t>Wykonawca:</w:t>
      </w:r>
      <w:r w:rsidRPr="00ED05BB">
        <w:rPr>
          <w:b/>
          <w:bCs/>
          <w:sz w:val="22"/>
          <w:szCs w:val="22"/>
          <w:lang w:eastAsia="zh-CN"/>
        </w:rPr>
        <w:tab/>
        <w:t>……………………………………………</w:t>
      </w:r>
    </w:p>
    <w:p w:rsidR="00AC3A21" w:rsidRPr="00ED05BB" w:rsidRDefault="00AC3A21" w:rsidP="00AC3A21">
      <w:pPr>
        <w:tabs>
          <w:tab w:val="left" w:pos="5812"/>
          <w:tab w:val="left" w:pos="9781"/>
        </w:tabs>
        <w:suppressAutoHyphens/>
        <w:ind w:left="2410" w:hanging="2410"/>
        <w:jc w:val="both"/>
        <w:rPr>
          <w:b/>
          <w:bCs/>
          <w:sz w:val="22"/>
          <w:szCs w:val="22"/>
          <w:lang w:eastAsia="zh-CN"/>
        </w:rPr>
      </w:pPr>
    </w:p>
    <w:p w:rsidR="00AC3A21" w:rsidRPr="00ED05BB" w:rsidRDefault="00AC3A21" w:rsidP="00AC3A21">
      <w:pPr>
        <w:tabs>
          <w:tab w:val="left" w:pos="5812"/>
          <w:tab w:val="left" w:pos="9781"/>
        </w:tabs>
        <w:suppressAutoHyphens/>
        <w:ind w:left="2410" w:hanging="2410"/>
        <w:jc w:val="both"/>
        <w:rPr>
          <w:b/>
          <w:bCs/>
          <w:sz w:val="22"/>
          <w:szCs w:val="22"/>
          <w:lang w:eastAsia="zh-CN"/>
        </w:rPr>
      </w:pPr>
      <w:r w:rsidRPr="00ED05BB">
        <w:rPr>
          <w:b/>
          <w:bCs/>
          <w:sz w:val="22"/>
          <w:szCs w:val="22"/>
          <w:lang w:eastAsia="zh-CN"/>
        </w:rPr>
        <w:t>Nazwa i typ:</w:t>
      </w:r>
      <w:r w:rsidRPr="00ED05BB">
        <w:rPr>
          <w:b/>
          <w:bCs/>
          <w:sz w:val="22"/>
          <w:szCs w:val="22"/>
          <w:lang w:eastAsia="zh-CN"/>
        </w:rPr>
        <w:tab/>
        <w:t>……………………………………………</w:t>
      </w:r>
    </w:p>
    <w:p w:rsidR="00AC3A21" w:rsidRPr="00ED05BB" w:rsidRDefault="00AC3A21" w:rsidP="00AC3A21">
      <w:pPr>
        <w:tabs>
          <w:tab w:val="left" w:pos="5812"/>
          <w:tab w:val="left" w:pos="9781"/>
        </w:tabs>
        <w:suppressAutoHyphens/>
        <w:ind w:left="2410" w:hanging="2410"/>
        <w:jc w:val="both"/>
        <w:rPr>
          <w:b/>
          <w:bCs/>
          <w:sz w:val="22"/>
          <w:szCs w:val="22"/>
          <w:lang w:eastAsia="zh-CN"/>
        </w:rPr>
      </w:pPr>
    </w:p>
    <w:p w:rsidR="00AC3A21" w:rsidRPr="00ED05BB" w:rsidRDefault="00AC3A21" w:rsidP="00AC3A21">
      <w:pPr>
        <w:tabs>
          <w:tab w:val="left" w:pos="5812"/>
          <w:tab w:val="left" w:pos="9781"/>
        </w:tabs>
        <w:suppressAutoHyphens/>
        <w:ind w:left="2410" w:hanging="2410"/>
        <w:jc w:val="both"/>
        <w:rPr>
          <w:b/>
          <w:bCs/>
          <w:sz w:val="22"/>
          <w:szCs w:val="22"/>
          <w:lang w:eastAsia="zh-CN"/>
        </w:rPr>
      </w:pPr>
      <w:r w:rsidRPr="00ED05BB">
        <w:rPr>
          <w:b/>
          <w:bCs/>
          <w:sz w:val="22"/>
          <w:szCs w:val="22"/>
          <w:lang w:eastAsia="zh-CN"/>
        </w:rPr>
        <w:t>Producent/ Kraj :</w:t>
      </w:r>
      <w:r w:rsidRPr="00ED05BB">
        <w:rPr>
          <w:b/>
          <w:bCs/>
          <w:sz w:val="22"/>
          <w:szCs w:val="22"/>
          <w:lang w:eastAsia="zh-CN"/>
        </w:rPr>
        <w:tab/>
        <w:t>……………………………………………</w:t>
      </w:r>
    </w:p>
    <w:p w:rsidR="00AC3A21" w:rsidRPr="00ED05BB" w:rsidRDefault="00AC3A21" w:rsidP="00AC3A21">
      <w:pPr>
        <w:tabs>
          <w:tab w:val="left" w:pos="5812"/>
          <w:tab w:val="left" w:pos="9781"/>
        </w:tabs>
        <w:suppressAutoHyphens/>
        <w:ind w:left="2410" w:hanging="2410"/>
        <w:jc w:val="both"/>
        <w:rPr>
          <w:b/>
          <w:bCs/>
          <w:sz w:val="22"/>
          <w:szCs w:val="22"/>
          <w:lang w:eastAsia="zh-CN"/>
        </w:rPr>
      </w:pPr>
    </w:p>
    <w:p w:rsidR="00AC3A21" w:rsidRPr="00ED05BB" w:rsidRDefault="00AC3A21" w:rsidP="00AC3A21">
      <w:pPr>
        <w:tabs>
          <w:tab w:val="left" w:pos="5812"/>
          <w:tab w:val="left" w:pos="9781"/>
        </w:tabs>
        <w:suppressAutoHyphens/>
        <w:ind w:left="2410" w:hanging="2410"/>
        <w:jc w:val="both"/>
        <w:rPr>
          <w:b/>
          <w:bCs/>
          <w:sz w:val="22"/>
          <w:szCs w:val="22"/>
          <w:lang w:eastAsia="zh-CN"/>
        </w:rPr>
      </w:pPr>
    </w:p>
    <w:p w:rsidR="00AC3A21" w:rsidRDefault="00AC3A21" w:rsidP="00AC3A21">
      <w:pPr>
        <w:rPr>
          <w:rFonts w:eastAsiaTheme="minorHAnsi"/>
          <w:sz w:val="20"/>
          <w:szCs w:val="20"/>
          <w:lang w:eastAsia="en-US" w:bidi="en-US"/>
        </w:rPr>
      </w:pPr>
      <w:r w:rsidRPr="00ED05BB">
        <w:rPr>
          <w:rFonts w:eastAsiaTheme="minorHAnsi"/>
          <w:sz w:val="20"/>
          <w:szCs w:val="20"/>
          <w:lang w:eastAsia="en-US" w:bidi="en-US"/>
        </w:rPr>
        <w:t>*Odpowiedź NIE w przypadku parametrów wymaganych  powoduje odrzucenie oferty</w:t>
      </w:r>
    </w:p>
    <w:p w:rsidR="00AC3A21" w:rsidRDefault="00AC3A21" w:rsidP="00AC3A21">
      <w:pPr>
        <w:rPr>
          <w:rFonts w:eastAsiaTheme="minorHAnsi"/>
          <w:sz w:val="20"/>
          <w:szCs w:val="20"/>
          <w:lang w:eastAsia="en-US" w:bidi="en-US"/>
        </w:rPr>
      </w:pPr>
    </w:p>
    <w:p w:rsidR="00AC3A21" w:rsidRDefault="00AC3A21" w:rsidP="00AC3A21">
      <w:pPr>
        <w:rPr>
          <w:rFonts w:eastAsiaTheme="minorHAnsi"/>
          <w:sz w:val="20"/>
          <w:szCs w:val="20"/>
          <w:lang w:eastAsia="en-US" w:bidi="en-US"/>
        </w:rPr>
      </w:pPr>
    </w:p>
    <w:p w:rsidR="00AC3A21" w:rsidRDefault="00AC3A21" w:rsidP="00AC3A21">
      <w:pPr>
        <w:rPr>
          <w:rFonts w:eastAsiaTheme="minorHAnsi"/>
          <w:sz w:val="20"/>
          <w:szCs w:val="20"/>
          <w:lang w:eastAsia="en-US" w:bidi="en-US"/>
        </w:rPr>
      </w:pPr>
    </w:p>
    <w:tbl>
      <w:tblPr>
        <w:tblW w:w="15026" w:type="dxa"/>
        <w:tblInd w:w="-147" w:type="dxa"/>
        <w:tblLayout w:type="fixed"/>
        <w:tblCellMar>
          <w:top w:w="55" w:type="dxa"/>
          <w:left w:w="55" w:type="dxa"/>
          <w:bottom w:w="55" w:type="dxa"/>
          <w:right w:w="55" w:type="dxa"/>
        </w:tblCellMar>
        <w:tblLook w:val="0000" w:firstRow="0" w:lastRow="0" w:firstColumn="0" w:lastColumn="0" w:noHBand="0" w:noVBand="0"/>
      </w:tblPr>
      <w:tblGrid>
        <w:gridCol w:w="567"/>
        <w:gridCol w:w="9356"/>
        <w:gridCol w:w="1276"/>
        <w:gridCol w:w="1134"/>
        <w:gridCol w:w="2693"/>
      </w:tblGrid>
      <w:tr w:rsidR="00AC3A21" w:rsidRPr="00AE433D" w:rsidTr="004453C8">
        <w:trPr>
          <w:cantSplit/>
          <w:tblHeader/>
        </w:trPr>
        <w:tc>
          <w:tcPr>
            <w:tcW w:w="567" w:type="dxa"/>
            <w:tcBorders>
              <w:top w:val="single" w:sz="4" w:space="0" w:color="000000"/>
              <w:left w:val="single" w:sz="4" w:space="0" w:color="000000"/>
              <w:bottom w:val="single" w:sz="4" w:space="0" w:color="000000"/>
            </w:tcBorders>
            <w:shd w:val="clear" w:color="auto" w:fill="D9D9D9"/>
          </w:tcPr>
          <w:p w:rsidR="00AC3A21" w:rsidRPr="00AE433D" w:rsidRDefault="00AC3A21" w:rsidP="004453C8">
            <w:pPr>
              <w:pStyle w:val="Zawartotabeli"/>
              <w:spacing w:line="240" w:lineRule="auto"/>
              <w:ind w:right="-226"/>
              <w:rPr>
                <w:rFonts w:cs="Times New Roman"/>
                <w:b/>
                <w:sz w:val="20"/>
                <w:szCs w:val="20"/>
              </w:rPr>
            </w:pPr>
            <w:r w:rsidRPr="00AE433D">
              <w:rPr>
                <w:rFonts w:cs="Times New Roman"/>
                <w:b/>
                <w:sz w:val="20"/>
                <w:szCs w:val="20"/>
              </w:rPr>
              <w:t>Lp.</w:t>
            </w:r>
          </w:p>
        </w:tc>
        <w:tc>
          <w:tcPr>
            <w:tcW w:w="9356" w:type="dxa"/>
            <w:tcBorders>
              <w:top w:val="single" w:sz="4" w:space="0" w:color="000000"/>
              <w:left w:val="single" w:sz="4" w:space="0" w:color="000000"/>
              <w:bottom w:val="single" w:sz="4" w:space="0" w:color="000000"/>
            </w:tcBorders>
            <w:shd w:val="clear" w:color="auto" w:fill="D9D9D9"/>
          </w:tcPr>
          <w:p w:rsidR="00AC3A21" w:rsidRPr="00AE433D" w:rsidRDefault="00AC3A21" w:rsidP="004453C8">
            <w:pPr>
              <w:pStyle w:val="Zawartotabeli"/>
              <w:spacing w:line="240" w:lineRule="auto"/>
              <w:rPr>
                <w:rFonts w:cs="Times New Roman"/>
                <w:b/>
                <w:sz w:val="20"/>
                <w:szCs w:val="20"/>
              </w:rPr>
            </w:pPr>
            <w:r w:rsidRPr="00AE433D">
              <w:rPr>
                <w:rFonts w:cs="Times New Roman"/>
                <w:b/>
                <w:sz w:val="20"/>
                <w:szCs w:val="20"/>
              </w:rPr>
              <w:t>Opis parametru – wymagania funkcjonalne</w:t>
            </w:r>
          </w:p>
          <w:p w:rsidR="00AC3A21" w:rsidRPr="00AE433D" w:rsidRDefault="00AC3A21" w:rsidP="004453C8">
            <w:pPr>
              <w:pStyle w:val="Zawartotabeli"/>
              <w:spacing w:line="240" w:lineRule="auto"/>
              <w:rPr>
                <w:rFonts w:cs="Times New Roman"/>
                <w:b/>
                <w:sz w:val="20"/>
                <w:szCs w:val="20"/>
              </w:rPr>
            </w:pPr>
          </w:p>
        </w:tc>
        <w:tc>
          <w:tcPr>
            <w:tcW w:w="1276" w:type="dxa"/>
            <w:tcBorders>
              <w:top w:val="single" w:sz="4" w:space="0" w:color="000000"/>
              <w:left w:val="single" w:sz="4" w:space="0" w:color="000000"/>
              <w:bottom w:val="single" w:sz="4" w:space="0" w:color="000000"/>
              <w:right w:val="single" w:sz="4" w:space="0" w:color="auto"/>
            </w:tcBorders>
            <w:shd w:val="clear" w:color="auto" w:fill="D9D9D9"/>
          </w:tcPr>
          <w:p w:rsidR="00AC3A21" w:rsidRPr="00AE433D" w:rsidRDefault="00AC3A21" w:rsidP="004453C8">
            <w:pPr>
              <w:pStyle w:val="Zawartotabeli"/>
              <w:spacing w:line="240" w:lineRule="auto"/>
              <w:jc w:val="center"/>
              <w:rPr>
                <w:rFonts w:cs="Times New Roman"/>
                <w:b/>
                <w:sz w:val="20"/>
                <w:szCs w:val="20"/>
              </w:rPr>
            </w:pPr>
            <w:r w:rsidRPr="00AE433D">
              <w:rPr>
                <w:rFonts w:cs="Times New Roman"/>
                <w:b/>
                <w:sz w:val="20"/>
                <w:szCs w:val="20"/>
              </w:rPr>
              <w:t>Parametr wymagany</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cPr>
          <w:p w:rsidR="00AC3A21" w:rsidRPr="00AE433D" w:rsidRDefault="00AC3A21" w:rsidP="004453C8">
            <w:pPr>
              <w:pStyle w:val="Zawartotabeli"/>
              <w:spacing w:line="240" w:lineRule="auto"/>
              <w:jc w:val="center"/>
              <w:rPr>
                <w:rFonts w:cs="Times New Roman"/>
                <w:b/>
                <w:sz w:val="20"/>
                <w:szCs w:val="20"/>
              </w:rPr>
            </w:pPr>
            <w:r w:rsidRPr="00AE433D">
              <w:rPr>
                <w:rFonts w:cs="Times New Roman"/>
                <w:b/>
                <w:sz w:val="20"/>
                <w:szCs w:val="20"/>
              </w:rPr>
              <w:t>Parametr oceniany</w:t>
            </w:r>
          </w:p>
        </w:tc>
        <w:tc>
          <w:tcPr>
            <w:tcW w:w="2693" w:type="dxa"/>
            <w:tcBorders>
              <w:top w:val="single" w:sz="4" w:space="0" w:color="000000"/>
              <w:left w:val="single" w:sz="4" w:space="0" w:color="000000"/>
              <w:bottom w:val="single" w:sz="4" w:space="0" w:color="000000"/>
              <w:right w:val="single" w:sz="4" w:space="0" w:color="auto"/>
            </w:tcBorders>
            <w:shd w:val="clear" w:color="auto" w:fill="D9D9D9"/>
          </w:tcPr>
          <w:p w:rsidR="00AC3A21" w:rsidRPr="00AE433D" w:rsidRDefault="00AC3A21" w:rsidP="004453C8">
            <w:pPr>
              <w:pStyle w:val="Zawartotabeli"/>
              <w:spacing w:line="240" w:lineRule="auto"/>
              <w:jc w:val="center"/>
              <w:rPr>
                <w:rFonts w:cs="Times New Roman"/>
                <w:b/>
                <w:sz w:val="20"/>
                <w:szCs w:val="20"/>
              </w:rPr>
            </w:pPr>
            <w:r w:rsidRPr="00AE433D">
              <w:rPr>
                <w:rFonts w:cs="Times New Roman"/>
                <w:b/>
                <w:sz w:val="20"/>
                <w:szCs w:val="20"/>
              </w:rPr>
              <w:t>Potwierdzenie spełnienia parametru wymaganego / opis oferowanego rozwiązania</w:t>
            </w: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rPr>
                <w:sz w:val="20"/>
                <w:szCs w:val="20"/>
              </w:rPr>
            </w:pPr>
            <w:r w:rsidRPr="00AE433D">
              <w:rPr>
                <w:b/>
                <w:sz w:val="20"/>
                <w:szCs w:val="20"/>
              </w:rPr>
              <w:t>PARAMETRY I WYMAGANIA OGÓLNE</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sz w:val="20"/>
                <w:szCs w:val="20"/>
              </w:rPr>
            </w:pPr>
            <w:r w:rsidRPr="00AE433D">
              <w:rPr>
                <w:iCs/>
                <w:sz w:val="20"/>
                <w:szCs w:val="20"/>
              </w:rPr>
              <w:t>Licencja umożliwiająca użytkownie systemu chmurowego w pięciu pracowniach diagnostycznych w okresie minimum 12 miesięcy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W ramach i w czasie obowiązywania udzielonej licencji, Wykonawca zapewni niezbędną do działania systemu infrastrukturę chmurową i moc obliczeniową w zewnętrznym centrum danych z gwarancją stabilności ciągłości działania (model chmurowy SaaS)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Zapewnienie odtwarzania awaryjnego systemu (</w:t>
            </w:r>
            <w:proofErr w:type="spellStart"/>
            <w:r w:rsidRPr="00AE433D">
              <w:rPr>
                <w:iCs/>
                <w:sz w:val="20"/>
                <w:szCs w:val="20"/>
              </w:rPr>
              <w:t>Diasaster</w:t>
            </w:r>
            <w:proofErr w:type="spellEnd"/>
            <w:r w:rsidRPr="00AE433D">
              <w:rPr>
                <w:iCs/>
                <w:sz w:val="20"/>
                <w:szCs w:val="20"/>
              </w:rPr>
              <w:t xml:space="preserve"> </w:t>
            </w:r>
            <w:proofErr w:type="spellStart"/>
            <w:r w:rsidRPr="00AE433D">
              <w:rPr>
                <w:iCs/>
                <w:sz w:val="20"/>
                <w:szCs w:val="20"/>
              </w:rPr>
              <w:t>Recovery</w:t>
            </w:r>
            <w:proofErr w:type="spellEnd"/>
            <w:r w:rsidRPr="00AE433D">
              <w:rPr>
                <w:iCs/>
                <w:sz w:val="20"/>
                <w:szCs w:val="20"/>
              </w:rPr>
              <w: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Aktualizacje systemu przeprowadzane przez producenta nie powodujące przerw w trakcie pracy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highlight w:val="yellow"/>
              </w:rPr>
            </w:pPr>
            <w:r w:rsidRPr="00AE433D">
              <w:rPr>
                <w:iCs/>
                <w:sz w:val="20"/>
                <w:szCs w:val="20"/>
              </w:rPr>
              <w:t>W okresie gwarancyjnym, a następnie wsparcia serwisowego Wykonawca zapewni lokalną przestrzeń dyskową zapewniającą przechowywanie min. ostatnich 2 lat badań obrazowych (co według szacunków Zamawiającego wynosi obecnie 50 TB) oraz centralnego</w:t>
            </w:r>
            <w:r w:rsidRPr="00AE433D">
              <w:rPr>
                <w:iCs/>
                <w:sz w:val="20"/>
                <w:szCs w:val="20"/>
              </w:rPr>
              <w:br/>
              <w:t xml:space="preserve"> archiwum chmurowego znajdującego się w zewnętrznym Data Center w minimum dwóch oddzielnych fizycznych lokalizacjach. </w:t>
            </w:r>
            <w:r w:rsidRPr="00AE433D">
              <w:rPr>
                <w:sz w:val="20"/>
                <w:szCs w:val="20"/>
              </w:rPr>
              <w:t xml:space="preserve">Data Center w których przechowywane są dane muszą posiadać min. certyfikat zgodności z normą </w:t>
            </w:r>
            <w:r w:rsidRPr="00AE433D">
              <w:rPr>
                <w:color w:val="000000" w:themeColor="text1"/>
                <w:sz w:val="20"/>
                <w:szCs w:val="20"/>
              </w:rPr>
              <w:t xml:space="preserve">ISO 27001, ISO 27017, ISO 27018, ISO 27701, ISO 22301, ISO 9001 </w:t>
            </w:r>
            <w:r w:rsidRPr="00AE433D">
              <w:rPr>
                <w:sz w:val="20"/>
                <w:szCs w:val="20"/>
              </w:rPr>
              <w:t>oraz certyfikat bezpieczeństwa informacji CSA STAR CCM v4</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 xml:space="preserve">System zarejestrowany jako wyrób medyczny i posiadający oznakowanie znakiem CE lub równoważne oraz deklaracje producenta w zakresie zgodności z wymaganiami dyrektywy MDD 93/42/EWG lub równoważne dla wyrobu medycznego co najmniej klasy I oraz został zgłoszony do Urzędu Rejestracji Produktów Leczniczych, Wyrobów Medycznych i Produktów Biobójczych jako wyrób medyczny </w:t>
            </w:r>
            <w:r w:rsidRPr="00AE433D">
              <w:rPr>
                <w:iCs/>
                <w:sz w:val="20"/>
                <w:szCs w:val="20"/>
              </w:rPr>
              <w:br/>
              <w:t>co najmniej klasy I– dokument potwierdzający powyższe należy dołączyć do oferty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r w:rsidRPr="00AE433D">
              <w:rPr>
                <w:rFonts w:cs="Times New Roman"/>
              </w:rPr>
              <w:br w:type="page"/>
            </w: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 xml:space="preserve">Wykonawca zapewni konfigurację lokalnego serwera jako archiwum dla Zakładu Diagnostyki Obrazowej, Kliniki Kardiologii i Zakładu Medycyny Nuklearnej oraz zapewni wymianę danych z urządzeniami diagnostycznymi w Zakładzie Diagnostyki Obrazowej, Klinice Kardiologii oraz Zakładzie Medycyny Nuklearnej za pośrednictwem protokołów HL7 i DICOM.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color w:val="000000" w:themeColor="text1"/>
                <w:sz w:val="20"/>
                <w:szCs w:val="20"/>
              </w:rPr>
            </w:pPr>
            <w:r w:rsidRPr="00AE433D">
              <w:rPr>
                <w:color w:val="000000" w:themeColor="text1"/>
                <w:sz w:val="20"/>
                <w:szCs w:val="20"/>
              </w:rPr>
              <w:t xml:space="preserve">Zamawiający wymaga od podmiotu realizującego serwis lub producenta sprzętu dołączenia do oferty, oświadczenia, że w przypadku wystąpienia awarii dysku twardego w lokalnym serwerze objętym aktywnym wparciem technicznym, uszkodzony dysk twardy pozostaje u Zamawiającego.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 xml:space="preserve">Wykonawca zapewni konfiguracje i podłączenie lokalnego serwera z urządzeniami diagnostycznymi do systemu chmurowego z obsługą DICOM oraz DICOM </w:t>
            </w:r>
            <w:proofErr w:type="spellStart"/>
            <w:r w:rsidRPr="00AE433D">
              <w:rPr>
                <w:iCs/>
                <w:sz w:val="20"/>
                <w:szCs w:val="20"/>
              </w:rPr>
              <w:t>Worklist</w:t>
            </w:r>
            <w:proofErr w:type="spellEnd"/>
            <w:r w:rsidRPr="00AE433D">
              <w:rPr>
                <w:iCs/>
                <w:sz w:val="20"/>
                <w:szCs w:val="20"/>
              </w:rPr>
              <w:t xml:space="preserve"> przy asyście serwisanta producenta danego urządzenia diagnostycznego – tomograf komputerowy – 3 </w:t>
            </w:r>
            <w:proofErr w:type="spellStart"/>
            <w:r w:rsidRPr="00AE433D">
              <w:rPr>
                <w:iCs/>
                <w:sz w:val="20"/>
                <w:szCs w:val="20"/>
              </w:rPr>
              <w:t>szt</w:t>
            </w:r>
            <w:proofErr w:type="spellEnd"/>
            <w:r w:rsidRPr="00AE433D">
              <w:rPr>
                <w:iCs/>
                <w:sz w:val="20"/>
                <w:szCs w:val="20"/>
              </w:rPr>
              <w:t xml:space="preserve">, rezonans magnetyczny 2 szt., aparaty RTG – 6 szt., </w:t>
            </w:r>
            <w:proofErr w:type="spellStart"/>
            <w:r w:rsidRPr="00AE433D">
              <w:rPr>
                <w:iCs/>
                <w:sz w:val="20"/>
                <w:szCs w:val="20"/>
              </w:rPr>
              <w:t>angiografy</w:t>
            </w:r>
            <w:proofErr w:type="spellEnd"/>
            <w:r w:rsidRPr="00AE433D">
              <w:rPr>
                <w:iCs/>
                <w:sz w:val="20"/>
                <w:szCs w:val="20"/>
              </w:rPr>
              <w:t xml:space="preserve"> – 5 szt., mammograf – 1szt., aparaty USG – 2 </w:t>
            </w:r>
            <w:proofErr w:type="spellStart"/>
            <w:r w:rsidRPr="00AE433D">
              <w:rPr>
                <w:iCs/>
                <w:sz w:val="20"/>
                <w:szCs w:val="20"/>
              </w:rPr>
              <w:t>szt</w:t>
            </w:r>
            <w:proofErr w:type="spellEnd"/>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sz w:val="20"/>
                <w:szCs w:val="20"/>
              </w:rPr>
              <w:t xml:space="preserve">Funkcjonalność generowania DICOM </w:t>
            </w:r>
            <w:proofErr w:type="spellStart"/>
            <w:r w:rsidRPr="00AE433D">
              <w:rPr>
                <w:sz w:val="20"/>
                <w:szCs w:val="20"/>
              </w:rPr>
              <w:t>Modality</w:t>
            </w:r>
            <w:proofErr w:type="spellEnd"/>
            <w:r w:rsidRPr="00AE433D">
              <w:rPr>
                <w:sz w:val="20"/>
                <w:szCs w:val="20"/>
              </w:rPr>
              <w:t xml:space="preserve"> </w:t>
            </w:r>
            <w:proofErr w:type="spellStart"/>
            <w:r w:rsidRPr="00AE433D">
              <w:rPr>
                <w:sz w:val="20"/>
                <w:szCs w:val="20"/>
              </w:rPr>
              <w:t>Worklist</w:t>
            </w:r>
            <w:proofErr w:type="spellEnd"/>
            <w:r w:rsidRPr="00AE433D">
              <w:rPr>
                <w:sz w:val="20"/>
                <w:szCs w:val="20"/>
              </w:rPr>
              <w:t xml:space="preserve"> na podstawie zlecenia badania odebranego z posiadanego przez Zamawiającego systemu HIS (AMMS firmy ASSECO) oraz na podstawie wprowadzonych danych w module zarządzania badaniami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 xml:space="preserve">Brak limitu liczby użytkowników systemu w pracowni radiologii i diagnostyki obrazowej (m.in. technik </w:t>
            </w:r>
            <w:proofErr w:type="spellStart"/>
            <w:r w:rsidRPr="00AE433D">
              <w:rPr>
                <w:iCs/>
                <w:sz w:val="20"/>
                <w:szCs w:val="20"/>
              </w:rPr>
              <w:t>elektroradiologii</w:t>
            </w:r>
            <w:proofErr w:type="spellEnd"/>
            <w:r w:rsidRPr="00AE433D">
              <w:rPr>
                <w:iCs/>
                <w:sz w:val="20"/>
                <w:szCs w:val="20"/>
              </w:rPr>
              <w:t>, lekarz radiolog, rezydent radiologii, rejestratorka)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Możliwość równoczasowej obsługi minimum 50 użytkowników systemu spoza pracowni radiologii i diagnostyki obrazowej z dostępem zdalnym do wyników - tylko do odczytu (np. lekarz kierujący w obrębie podmiotu oraz podmiotów leczniczych)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Dane przechowywane w zewnętrznym centrum danych na terenie Europejskiego Obszaru Gospodarczego, zgodnie z wymaganiami RODO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 xml:space="preserve">Wykonawca po wygaśnięciu licencji zapewni dostęp do wszystkich danych medycznych historycznych w formacie umożliwiającym migrację danych do systemu RIS/PACS </w:t>
            </w:r>
            <w:r w:rsidRPr="00AE433D">
              <w:rPr>
                <w:sz w:val="20"/>
                <w:szCs w:val="20"/>
              </w:rPr>
              <w:t>na infrastrukturę Zamawiającego do 6 miesięcy od wygaśnięcia gwarancji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Możliwość elastycznego zwiększania pojemności centralnego archiwum danych obrazowych w zewnętrznym centrum danych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Zapewniona możliwość dostępu do danych obrazowych on-line oraz rejestracji i opisu badań nawet w przypadku awarii lokalnego</w:t>
            </w:r>
            <w:r w:rsidRPr="00AE433D">
              <w:rPr>
                <w:iCs/>
                <w:sz w:val="20"/>
                <w:szCs w:val="20"/>
              </w:rPr>
              <w:br/>
              <w:t xml:space="preserve"> serwera archiwizującego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Brak limitu węzłów DICOM z dostępem do danych obrazowych z możliwością podłączenia stacji diagnostycznych do archiwum</w:t>
            </w:r>
            <w:r w:rsidRPr="00AE433D">
              <w:rPr>
                <w:iCs/>
                <w:sz w:val="20"/>
                <w:szCs w:val="20"/>
              </w:rPr>
              <w:br/>
              <w:t>centralnego jak i lokalnego (dotyczy stacji przeglądowych i diagnostycznych)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Wszystkie oferowane elementy systemu informatycznego RIS/PACS tego samego producenta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Interfejs użytkownika w języku polskim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System obsługiwany w całości przez przeglądarkę internetową bez konieczności instalowania dodatków do przeglądarek</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 xml:space="preserve">Oprogramowanie kompatybilne z najnowszą wersją przeglądarek min. Chrome, </w:t>
            </w:r>
            <w:proofErr w:type="spellStart"/>
            <w:r w:rsidRPr="00AE433D">
              <w:rPr>
                <w:iCs/>
                <w:sz w:val="20"/>
                <w:szCs w:val="20"/>
              </w:rPr>
              <w:t>Firefox</w:t>
            </w:r>
            <w:proofErr w:type="spellEnd"/>
            <w:r w:rsidRPr="00AE433D">
              <w:rPr>
                <w:iCs/>
                <w:sz w:val="20"/>
                <w:szCs w:val="20"/>
              </w:rPr>
              <w:t xml:space="preserve"> na komputerach z aktualnym systemem </w:t>
            </w:r>
            <w:proofErr w:type="spellStart"/>
            <w:r w:rsidRPr="00AE433D">
              <w:rPr>
                <w:iCs/>
                <w:sz w:val="20"/>
                <w:szCs w:val="20"/>
              </w:rPr>
              <w:t>MacOS</w:t>
            </w:r>
            <w:proofErr w:type="spellEnd"/>
            <w:r w:rsidRPr="00AE433D">
              <w:rPr>
                <w:iCs/>
                <w:sz w:val="20"/>
                <w:szCs w:val="20"/>
              </w:rPr>
              <w:t xml:space="preserve"> i Windows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Rejestracja pacjenta na dowolnym komputerze z dostępem do Internetu z zapewnieniem szyfrowania HTTPS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Czytelny interfejs, który można dostosować do różnych potrzeb (intuicyjność, postrzegalność)</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rPr>
                <w:iCs/>
                <w:sz w:val="20"/>
                <w:szCs w:val="20"/>
              </w:rPr>
            </w:pPr>
            <w:r w:rsidRPr="00AE433D">
              <w:rPr>
                <w:iCs/>
                <w:sz w:val="20"/>
                <w:szCs w:val="20"/>
              </w:rPr>
              <w:t xml:space="preserve">Możliwość integracji z produktami i usługami opartymi o algorytmy sztucznej inteligencji (AI)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ADMINISTRACJA SYSTEMEM</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zdefiniowania struktury organizacyjnej podmiotu leczniczego w systemie z wyszczególnieniem komórek organizacyjnych i ich kodów resortowych zgodnie z wpisem w księdze rejestrowej</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użytkownikami i przypisywanie ról</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widocznością badań (grupy widoczności)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regułami walidacji danych w zleceniu w zależności od zdefiniowanego płatnika, pracowni wykonujących jak i statusu zlecenia z możliwością wymuszenia na użytkowniku wyboru co najmniej:</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funkcji personelu biorącego udział w procedurze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danych dotyczących płatnika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rozpoznania na skierowaniu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lekarza kierującego na badanie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jednostki kierującej na badanie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daty skierowania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dokumentów stanowiących załącznik do zlecenia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Automatyzacja obiegów pracy (</w:t>
            </w:r>
            <w:proofErr w:type="spellStart"/>
            <w:r w:rsidRPr="00AE433D">
              <w:rPr>
                <w:rFonts w:cs="Times New Roman"/>
                <w:sz w:val="20"/>
                <w:szCs w:val="20"/>
              </w:rPr>
              <w:t>workflow</w:t>
            </w:r>
            <w:proofErr w:type="spellEnd"/>
            <w:r w:rsidRPr="00AE433D">
              <w:rPr>
                <w:rFonts w:cs="Times New Roman"/>
                <w:sz w:val="20"/>
                <w:szCs w:val="20"/>
              </w:rPr>
              <w:t xml:space="preserve">) minimum z możliwością zaplanowania automatycznej zmiany statusu zlecenia w zależności od: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nazwy procedury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priorytetu procedury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modalności procedury (np.. TK,MR,USG)</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pracowni wykonującej badanie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słownikami w systemie min.:</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-procedury medyczne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-cenniki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słowniki procedur</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słowniki płatników</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umów o świadczenie usług</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personelu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funkcji personelu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specjalizacji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trybu rejestracji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kanałów rejestracji (Call </w:t>
            </w:r>
            <w:proofErr w:type="spellStart"/>
            <w:r w:rsidRPr="00AE433D">
              <w:rPr>
                <w:rFonts w:cs="Times New Roman"/>
                <w:sz w:val="20"/>
                <w:szCs w:val="20"/>
              </w:rPr>
              <w:t>center</w:t>
            </w:r>
            <w:proofErr w:type="spellEnd"/>
            <w:r w:rsidRPr="00AE433D">
              <w:rPr>
                <w:rFonts w:cs="Times New Roman"/>
                <w:sz w:val="20"/>
                <w:szCs w:val="20"/>
              </w:rPr>
              <w:t>, e-rejestracja, osobiście)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materiałów</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rodzajów załączników i dokumentów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kontrastów i leków</w:t>
            </w:r>
            <w:r w:rsidRPr="00AE433D">
              <w:rPr>
                <w:rFonts w:cs="Times New Roman"/>
                <w:sz w:val="20"/>
                <w:szCs w:val="20"/>
              </w:rPr>
              <w:tab/>
            </w:r>
          </w:p>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 priorytetów wykonania zleceń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Integracja ze słownikiem RPWDL (P2) oraz ICD10</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Zapisywanie logów wykonanych operacji przez użytkownika systemu (dostęp do takich danych dla wybranych stanowisk - uprawnień)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Podgląd w czasie rzeczywistym na wszystkie sesje użytkowników zalogowanych w systemie z możliwością przerwania sesji dla wybranego użytkownika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wymiany danych z systemem P1 oraz bieżąca aktualizacja w zakresie dostosowania wymagań przez NFZ</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Przesyłanie danych za pomocą bezpiecznego protokołu HTTPS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Zgodny z wymogami w zakresie przetwarzania danych wrażliwych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BEZPIECZEŃSTWO I ZARZĄDZANIE DOSTĘPEM</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Mechanizmy kontroli dostępu oparte o role użytkownika - Role-</w:t>
            </w:r>
            <w:proofErr w:type="spellStart"/>
            <w:r w:rsidRPr="00AE433D">
              <w:rPr>
                <w:rFonts w:cs="Times New Roman"/>
                <w:sz w:val="20"/>
                <w:szCs w:val="20"/>
              </w:rPr>
              <w:t>Based</w:t>
            </w:r>
            <w:proofErr w:type="spellEnd"/>
            <w:r w:rsidRPr="00AE433D">
              <w:rPr>
                <w:rFonts w:cs="Times New Roman"/>
                <w:sz w:val="20"/>
                <w:szCs w:val="20"/>
              </w:rPr>
              <w:t xml:space="preserve"> </w:t>
            </w:r>
            <w:proofErr w:type="spellStart"/>
            <w:r w:rsidRPr="00AE433D">
              <w:rPr>
                <w:rFonts w:cs="Times New Roman"/>
                <w:sz w:val="20"/>
                <w:szCs w:val="20"/>
              </w:rPr>
              <w:t>Authorization</w:t>
            </w:r>
            <w:proofErr w:type="spellEnd"/>
            <w:r w:rsidRPr="00AE433D">
              <w:rPr>
                <w:rFonts w:cs="Times New Roman"/>
                <w:sz w:val="20"/>
                <w:szCs w:val="20"/>
              </w:rPr>
              <w:t xml:space="preserve"> Control (RBAC)</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Funkcjonalności wspólnego logowania (Single </w:t>
            </w:r>
            <w:proofErr w:type="spellStart"/>
            <w:r w:rsidRPr="00AE433D">
              <w:rPr>
                <w:rFonts w:cs="Times New Roman"/>
                <w:sz w:val="20"/>
                <w:szCs w:val="20"/>
              </w:rPr>
              <w:t>Sign</w:t>
            </w:r>
            <w:proofErr w:type="spellEnd"/>
            <w:r w:rsidRPr="00AE433D">
              <w:rPr>
                <w:rFonts w:cs="Times New Roman"/>
                <w:sz w:val="20"/>
                <w:szCs w:val="20"/>
              </w:rPr>
              <w:t>-On, SSO) do Systemu RIS/PACS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Integracji z LDAP / </w:t>
            </w:r>
            <w:proofErr w:type="spellStart"/>
            <w:r w:rsidRPr="00AE433D">
              <w:rPr>
                <w:rFonts w:cs="Times New Roman"/>
                <w:sz w:val="20"/>
                <w:szCs w:val="20"/>
              </w:rPr>
              <w:t>ActiveDirectory</w:t>
            </w:r>
            <w:proofErr w:type="spellEnd"/>
            <w:r w:rsidRPr="00AE433D">
              <w:rPr>
                <w:rFonts w:cs="Times New Roman"/>
                <w:sz w:val="20"/>
                <w:szCs w:val="20"/>
              </w:rPr>
              <w:t xml:space="preserve"> na poziomie mechanizmu SSO w co najmniej jednym z wybranych mechanizmów: SAML, </w:t>
            </w:r>
            <w:proofErr w:type="spellStart"/>
            <w:r w:rsidRPr="00AE433D">
              <w:rPr>
                <w:rFonts w:cs="Times New Roman"/>
                <w:sz w:val="20"/>
                <w:szCs w:val="20"/>
              </w:rPr>
              <w:t>OAuth</w:t>
            </w:r>
            <w:proofErr w:type="spellEnd"/>
            <w:r w:rsidRPr="00AE433D">
              <w:rPr>
                <w:rFonts w:cs="Times New Roman"/>
                <w:sz w:val="20"/>
                <w:szCs w:val="20"/>
              </w:rPr>
              <w:t xml:space="preserve">, </w:t>
            </w:r>
            <w:proofErr w:type="spellStart"/>
            <w:r w:rsidRPr="00AE433D">
              <w:rPr>
                <w:rFonts w:cs="Times New Roman"/>
                <w:sz w:val="20"/>
                <w:szCs w:val="20"/>
              </w:rPr>
              <w:t>OpenID</w:t>
            </w:r>
            <w:proofErr w:type="spellEnd"/>
            <w:r w:rsidRPr="00AE433D">
              <w:rPr>
                <w:rFonts w:cs="Times New Roman"/>
                <w:sz w:val="20"/>
                <w:szCs w:val="20"/>
              </w:rPr>
              <w: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Obsługa uwierzytelniania dwuskładnikowego (2-Factor </w:t>
            </w:r>
            <w:proofErr w:type="spellStart"/>
            <w:r w:rsidRPr="00AE433D">
              <w:rPr>
                <w:rFonts w:cs="Times New Roman"/>
                <w:sz w:val="20"/>
                <w:szCs w:val="20"/>
              </w:rPr>
              <w:t>Authentication</w:t>
            </w:r>
            <w:proofErr w:type="spellEnd"/>
            <w:r w:rsidRPr="00AE433D">
              <w:rPr>
                <w:rFonts w:cs="Times New Roman"/>
                <w:sz w:val="20"/>
                <w:szCs w:val="20"/>
              </w:rPr>
              <w:t>, 2FA)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Zarządzanie przez użytkowników własnym profilem z możliwością minimum zmiany hasła i włączenia logowania dwuskładnikowego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Wykonawca zapewni: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ochronę przed złośliwym oprogramowaniem</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ochronę przed atakami </w:t>
            </w:r>
            <w:proofErr w:type="spellStart"/>
            <w:r w:rsidRPr="00AE433D">
              <w:rPr>
                <w:rFonts w:cs="Times New Roman"/>
                <w:sz w:val="20"/>
                <w:szCs w:val="20"/>
              </w:rPr>
              <w:t>DDoS</w:t>
            </w:r>
            <w:proofErr w:type="spellEnd"/>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ochronę IDS IPS</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silne szyfrowanie danych na każdym etapie działania systemów modelu end-to-end </w:t>
            </w:r>
            <w:proofErr w:type="spellStart"/>
            <w:r w:rsidRPr="00AE433D">
              <w:rPr>
                <w:rFonts w:cs="Times New Roman"/>
                <w:sz w:val="20"/>
                <w:szCs w:val="20"/>
              </w:rPr>
              <w:t>encryption</w:t>
            </w:r>
            <w:proofErr w:type="spellEnd"/>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określania polityk złożoności i czasu obowiązywania haseł, funkcjonalność wymuszania zmiany hasła co określony interwał czasu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Zastosowanie silnego szyfrowania danych medycznych znajdujących się na serwerze lokalnym uniemożliwiające wgląd do danych osobom trzecim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Wbudowany mechanizm wymuszenia weryfikacji podanego przez użytkownika adresu e-mail pozwalający na sprawdzenie istnienia konta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e-mail przez wysłanie wiadomości e-mail na podany adres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zresetowania hasła przez użytkownika z użyciem zweryfikowanego adresu email oraz możliwość zmiany hasła przez</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Użytkownika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konfiguracji automatycznego zablokowania konta po określonej ilości nieudanych prób zalogowania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określenia czasu rozpoczęcia i zakończenia aktywności konta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Możliwość przypisania uprawnień i ról użytkownikom w zakresie dostępu do akcji </w:t>
            </w:r>
            <w:proofErr w:type="spellStart"/>
            <w:r w:rsidRPr="00AE433D">
              <w:rPr>
                <w:rFonts w:cs="Times New Roman"/>
                <w:sz w:val="20"/>
                <w:szCs w:val="20"/>
              </w:rPr>
              <w:t>workflow</w:t>
            </w:r>
            <w:proofErr w:type="spellEnd"/>
            <w:r w:rsidRPr="00AE433D">
              <w:rPr>
                <w:rFonts w:cs="Times New Roman"/>
                <w:sz w:val="20"/>
                <w:szCs w:val="20"/>
              </w:rPr>
              <w:t xml:space="preserve"> oraz poszczególnych części systemu w tym min. rejestracja, opisu, terminarza, PACS, raportów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Zintegrowany z systemem serwer VPN umożliwiający wygenerowanie każdemu z użytkowników indywidualnego kanału VPN celem bezpiecznego dostępu do obrazów poprzez DICOM C-MOVE, C-GET, WADO </w:t>
            </w:r>
            <w:proofErr w:type="spellStart"/>
            <w:r w:rsidRPr="00AE433D">
              <w:rPr>
                <w:rFonts w:cs="Times New Roman"/>
                <w:sz w:val="20"/>
                <w:szCs w:val="20"/>
              </w:rPr>
              <w:t>url</w:t>
            </w:r>
            <w:proofErr w:type="spellEnd"/>
            <w:r w:rsidRPr="00AE433D">
              <w:rPr>
                <w:rFonts w:cs="Times New Roman"/>
                <w:sz w:val="20"/>
                <w:szCs w:val="20"/>
              </w:rPr>
              <w:t xml:space="preserve"> z możliwością pobierania danych DICOM wprost z centrum danych na stanowiskach opisowych użytkowników końcowych z systemami </w:t>
            </w:r>
            <w:proofErr w:type="spellStart"/>
            <w:r w:rsidRPr="00AE433D">
              <w:rPr>
                <w:rFonts w:cs="Times New Roman"/>
                <w:sz w:val="20"/>
                <w:szCs w:val="20"/>
              </w:rPr>
              <w:t>MacOS</w:t>
            </w:r>
            <w:proofErr w:type="spellEnd"/>
            <w:r w:rsidRPr="00AE433D">
              <w:rPr>
                <w:rFonts w:cs="Times New Roman"/>
                <w:sz w:val="20"/>
                <w:szCs w:val="20"/>
              </w:rPr>
              <w:t xml:space="preserve"> i/lub Windows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zadeklarowania maksymalnego czasu trwania sesji użytkownika w przypadku jego bezczynności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OBSŁUGA REJESTRACJI</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Rejestracja pacjentów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Rejestracja pacjenta z dwoma lub więcej procedurami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Skanowanie dokumentów bezpośrednio z systemu z możliwością podglądu pliku przed dodaniem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Rejestracja pacjentów na podstawie zleceń HL7 oraz możliwość tworzenia rekordów pacjentów w oparciu o otrzymane pliki DICOM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Rejestracja pacjentów na podstawie e-skierowań z systemu P1 z wysłaniem informacji do systemu P1 o zmianie statusu e-skierowania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b/>
                <w:bCs/>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Obsługa standardu HL7 CDA PIK z możliwością podglądu załączonej do zlecenia HL7 elektronicznej dokumentacji medycznej (EDM) w zakresie opublikowanych przez CSIOZ szablonów dokumentów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wczytywania plików HL7 CDA PIK bezpośrednio do systemu i ich wizualizacji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widocznością jednostek (pracowni) podmiotu dla użytkowników (możliwość ograniczenia dostępu użytkownikom</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tylko do zleceń z wybranych pracowni)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rodzajami płatników (ubezpieczenie publiczne, umowy komercyjne, pacjent)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procedurami radiologicznymi i rozliczeniowymi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Wprowadzanie informacji o podanych lekach i środkach kontrastujących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Wprowadzanie informacji o wadze i wzroście pacjenta wraz z automatycznym wyliczeniem BMI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Wprowadzanie informacji o poziomie kreatyniny, glukozy, TSH z możliwością automatycznego wyliczenia GFR i prezentacji informacji o wydolności nerek (dla badań kontrastowych)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wprowadzania informacji o zużytych materiałach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Wprowadzanie i podgląd na stany kontrastów oraz leków w każdej pracowni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Zarządzanie słownikiem materiałów, leków i środków kontrastujących z możliwością grupowania poszczególnych preparatów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oraz ograniczeniem ich dostępności do poszczególnych pracowni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Nagrywanie badań na nośniki CD/DVD:</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 możliwość zdalnego zlecania nagrań CD/DVD na duplikatorach</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b) nagrywanie płyt CD/DVD na duplikatorach</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c) nagrywanie płyt CD/DVD na lokalnym komputerze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Obsługa produktów rozliczeniowych umów z możliwością definiowania cen dla poszczególnych płatników i procedur</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udzielania rabatów kwotowych lub procentowych od zdefiniowanych cen domyślnych dla produktów rozliczeniowych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Obsługa urządzeń peryferyjnych (skaner, drukarka, czytnik kart) w systemach </w:t>
            </w:r>
            <w:proofErr w:type="spellStart"/>
            <w:r w:rsidRPr="00AE433D">
              <w:rPr>
                <w:rFonts w:cs="Times New Roman"/>
                <w:sz w:val="20"/>
                <w:szCs w:val="20"/>
              </w:rPr>
              <w:t>MacOS</w:t>
            </w:r>
            <w:proofErr w:type="spellEnd"/>
            <w:r w:rsidRPr="00AE433D">
              <w:rPr>
                <w:rFonts w:cs="Times New Roman"/>
                <w:sz w:val="20"/>
                <w:szCs w:val="20"/>
              </w:rPr>
              <w:t xml:space="preserve"> i Windows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Obsługa co najmniej 10 pracowni w jednym systemie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zarządzania użytkownikami i ich uprawnieniami przez lokalnych managerów pracowni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zarządzania ustawieniami rejestracji (regułami walidacji, danymi pracowni, grupami widoczności) przez lokalnych managerów pracowni w zakresie dotyczącym wydzielonych pracowni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dostosowywania wyglądu i złożoności formularza rejestracji w zależności od pracowni wykonującej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automatycznymi regułami obiegu informacji (</w:t>
            </w:r>
            <w:proofErr w:type="spellStart"/>
            <w:r w:rsidRPr="00AE433D">
              <w:rPr>
                <w:rFonts w:cs="Times New Roman"/>
                <w:sz w:val="20"/>
                <w:szCs w:val="20"/>
              </w:rPr>
              <w:t>workflow</w:t>
            </w:r>
            <w:proofErr w:type="spellEnd"/>
            <w:r w:rsidRPr="00AE433D">
              <w:rPr>
                <w:rFonts w:cs="Times New Roman"/>
                <w:sz w:val="20"/>
                <w:szCs w:val="20"/>
              </w:rPr>
              <w:t>) w rejestracji (np. opisane badania MR oznacza jako wydane).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określenia priorytetu opisu niezależnie od priorytetu wykonania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tworzenia zleceń w oparciu o:</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dane pochodzące z systemu HIS</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dane pochodzące z API integracyjnego HL7</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dane pochodzące z API integracyjnego JSON</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dane z nagłówków DICOM pochodzące z badań przesłanych do systemu PACS</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dane z e-skierowania uzyskane z systemu P1</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dane ręcznie wprowadzone przez użytkownika końcowego</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rezerwacje dokonane przez e-rejestrację</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tworzenia zleceń zgodnie z wymogami obowiązujących przepisów dotyczących m.in. dokumentacji medycznej oraz w zakresie umożliwiającym rozliczenie zlecenia: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  oznaczenie podmiotu kierującego</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b)  oznaczenie pacjenta;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c)  oznaczenie podmiotu i rodzaju przedsiębiorstwa, w którym wykonywane jest badanie;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  rozpoznanie ICD10;</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e)  rodzaj i zakres anatomiczny procedury badania;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f)   powiązane informacje oraz dane dodatkowe niezbędne do przeprowadzenia badania, w tym minimum: dokumentację medyczną, skany dokumentacji, wyniki badań dodatkowych, medyczne dane obrazowe DICOM, inna dokumentacja obrazowa, pliki multimedialne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g)  datę wystawienia zlecenia;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h)  oznaczenie priorytetu wykonania zlecenia;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i)   oznaczenie płatnika (niezależnie od oznaczenia podmiotu kierującego na badanie);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j)   oznaczenie jednej lub więcej umownych procedur rozliczeniowych związanych z procedurą badania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k)  oznaczenie osoby zlecającej badanie;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wprowadzenia oznaczenia podmiotu zlecającego badanie (wystawiającego zlecenie / skierowanie):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  nazwę podmiotu,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b)  kody podmiotu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c)   nazwę przedsiębiorstwa podmiotu leczniczego,</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  nazwę jednostki organizacyjnej</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e)  nazwę komórki organizacyjnej podmiotu, która zleca konsultację</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f)   adres miejsca udzielania świadczeń zdrowotnych</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g)  adres korespondencyjny komórki organizacyjnej podmiotu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h)  dane kontaktowe podmiotu, w tym min. numer telefonu, e-mail</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wprowadzenia oznaczenia pacjenta, którego dotyczy zlecenie: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  nazwisko i imię</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b)  datę urodzenia,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c)  oznaczenie płci,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  adres miejsca zamieszkania, w tym min. ulicę i dom, kod pocztowy, miasto, kraj</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e)  obywatelstwo</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f)  numer identyfikacyjny pacjenta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g) w przypadku noworodka - numer identyfikacyjny matki,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h) w przypadku osób, które nie mają nadanego państwowego numeru identyfikacyjnego, inny, unikalny systemowo numer identyfikacyjny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i)  rodzaj i numer dokumentu potwierdzającego tożsamość, w tym minimum możliwość wyboru spośród: dowód osobisty, paszport</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j) możliwość dodawania, usuwania i edycji jednego lub więcej powiązanych osób, w tym przedstawicieli ustawowych z uwzględnieniem minimum: imienia,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nazwiska, numeru identyfikacyjnego oraz adresu zamieszkania każdej z osób powiązanych</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k) dane kontaktowe, w tym min.: telefon, adres e-mail</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l)  możliwość zdefiniowania innego niż kontaktowy numeru telefonu do powiadomień SMS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określenia dokumentów uprawniających do świadczeń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oznaczenia osoby kierującej na badanie diagnostyczne w zakresie: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 nazwisko i imię,</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b) tytuł zawodowy,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c) uzyskane specjalizacje,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 numer prawa wykonywania zawodu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Wyszukiwarka systemowa umożliwiająca w jednym polu wyszukiwanie kontekstowe z uwzględnieniem różnych wag i istotności poszczególnych danych zleceń konsultacji, w tym minimum: państwowego numeru identyfikacyjnego, nazwiska i imienia pacjenta,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innego numeru identyfikacyjnego pacjenta, imienia i nazwiska lekarza opisującego, numeru zlecenia, modalności, procedury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 oparciu o wbudowane narzędzie możliwość samodzielnego definiowania słowników:</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słowników procedur</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słowników płatników</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umów o świadczenie usług</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personelu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funkcji personelu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specjalizacji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trybu rejestracji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kanałów rejestracji (Call </w:t>
            </w:r>
            <w:proofErr w:type="spellStart"/>
            <w:r w:rsidRPr="00AE433D">
              <w:rPr>
                <w:rFonts w:cs="Times New Roman"/>
                <w:sz w:val="20"/>
                <w:szCs w:val="20"/>
              </w:rPr>
              <w:t>center</w:t>
            </w:r>
            <w:proofErr w:type="spellEnd"/>
            <w:r w:rsidRPr="00AE433D">
              <w:rPr>
                <w:rFonts w:cs="Times New Roman"/>
                <w:sz w:val="20"/>
                <w:szCs w:val="20"/>
              </w:rPr>
              <w:t>, e-rejestracja, osobiście)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materiałów</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rodzajów załączników i dokumentów </w:t>
            </w:r>
          </w:p>
          <w:p w:rsidR="00AC3A21" w:rsidRPr="00AE433D" w:rsidRDefault="00AC3A21" w:rsidP="004453C8">
            <w:pPr>
              <w:pStyle w:val="Zawartotabeli"/>
              <w:tabs>
                <w:tab w:val="left" w:pos="2211"/>
              </w:tabs>
              <w:spacing w:line="240" w:lineRule="auto"/>
              <w:rPr>
                <w:rFonts w:cs="Times New Roman"/>
                <w:sz w:val="20"/>
                <w:szCs w:val="20"/>
              </w:rPr>
            </w:pPr>
            <w:r w:rsidRPr="00AE433D">
              <w:rPr>
                <w:rFonts w:cs="Times New Roman"/>
                <w:sz w:val="20"/>
                <w:szCs w:val="20"/>
              </w:rPr>
              <w:t>- kontrastów i leków</w:t>
            </w:r>
            <w:r w:rsidRPr="00AE433D">
              <w:rPr>
                <w:rFonts w:cs="Times New Roman"/>
                <w:sz w:val="20"/>
                <w:szCs w:val="20"/>
              </w:rPr>
              <w:tab/>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priorytetów wykonania zleceń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zdefiniowania własnych słowników procedur radiologicznych, grupowania i filtrowania procedur (jeden lub więcej) i regionów anatomicznych (jeden lub więcej)</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Anatomiczny komponent wyboru procedur radiologicznych (z graficznym odwzorowaniem i filtrowaniem okolic anatomicznych)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samodzielnego utworzenia relacji i ograniczania wyświetlania procedur radiologicznych w trakcie rejestracji do przypisanych komórek organizacyjnych i płatników (umów) (relacja płatnik - procedura i/lub rodzaj płatnika - procedura)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Podstawowy komponent wyboru procedury radiologicznej z możliwością wyszukiwania procedur w oparciu o słowa kluczowe, modalność, fragment nazwy procedury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W systemie </w:t>
            </w:r>
            <w:proofErr w:type="spellStart"/>
            <w:r w:rsidRPr="00AE433D">
              <w:rPr>
                <w:rFonts w:cs="Times New Roman"/>
                <w:sz w:val="20"/>
                <w:szCs w:val="20"/>
              </w:rPr>
              <w:t>MacOS</w:t>
            </w:r>
            <w:proofErr w:type="spellEnd"/>
            <w:r w:rsidRPr="00AE433D">
              <w:rPr>
                <w:rFonts w:cs="Times New Roman"/>
                <w:sz w:val="20"/>
                <w:szCs w:val="20"/>
              </w:rPr>
              <w:t xml:space="preserve"> (11.0 lub wyższy) i Windows 10 lub wyżej zapewniona możliwość skanowania i dołączania plików: skierowań, dokumentacji papierowej oraz plików multimedialnych i zapisywanie ich w powiazaniu ze zleceniem konsultacji z zapewnieniem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możliwości ich podglądu oraz przesyłania do lekarzy opisujących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Podgląd zeskanowanych bądź dołączonych dokumentów min. JPG, PNG, TIFF, PDF, wielostronicowy PDF z możliwością ich obracania, przerzucania w pionie i/lub poziomie, powiększania, przesuwania i przewijania w przypadku wielostronicowych dokumentów oraz dodania informacji o rodzaju dokumentu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 </w:t>
            </w: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załączania do badań filmów w formatach MP4, MOV, MPEG</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Możliwość wgrywania danych obrazowych z nośników CD/DVD do systemu z użyciem przeglądarki internetowej z możliwością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powiązania ich z badaniem i pacjentem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 trakcie rejestracji walidacja poprawności numeru identyfikacyjnego pacjenta oraz zabezpieczenie przed ponownym wprowadzeniem pacjenta z już istniejącym w systemie numerem identyfikacyjnym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Automatycznie uzupełnianie: płci i daty urodzenia pacjenta na podstawie numeru identyfikacyjnego, jeśli taka informacja jest w nim zawarta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oznaczenia płatnika konsultacji i konfiguracji listy umów podwykonawstwa z oznaczeniem minimum: numeru umowy, identyfikatora przedsiębiorstwa, NIP płatnika i nazwy płatnika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Identyfikacja i weryfikacja lekarzy zlecających na podstawie prawa wykonywania zawodu z wykorzystaniem wbudowanego słownika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lekarzy zlecających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Możliwość dodawania i edycji słownika lekarzy zlecających, wyszukiwania lekarzy zlecających podczas wprowadzania wg. fragmentu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nazwy, fragmentu numeru PWZ</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Wbudowany pełny słownik jednostek zlecających (podmiotów leczniczych) na podstawie aktualnej wersji RPWDL z możliwością edycji i dodawania nowych podmiotów i komórek organizacyjnych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Wbudowany pełny słownik praktyk lekarskich na podstawie aktualnej wersji RPWDL z możliwością edycji i dodawania nowych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Pojedyncze pole wyszukiwania kontekstowego jednostki zlecającej w formularzu rejestracji zleceń, w oparciu o wbudowany słownik z możliwością dodania nowych komórek i jednostek na podstawie rejestru RPWDL. Wyszukiwanie kontekstowe w słowniku jednostek i RPWDL w oparciu min o: REGON, fragment nazwy podmiotu leczniczego lub praktyki lekarskiej, NIP, adres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Kontrola wprowadzania danych uniemożliwiająca dwukrotne wprowadzenie do systemu lekarzy zlecających z tym samym numerem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prawa wykonywania zawodu.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wprowadzania informacji o personelu uczestniczącym w procedurze badania np.: wykonawca, koordynator, lekarz opisujący, technik, pielęgniarka itp.</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Wbudowany słownik personelu z możliwością szybkiego wyszukiwania personelu wg. fragmentu nazwiska bądź imienia, funkcji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powiązania użytkownika z więcej niż jednym personelem i funkcją</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Dane pacjenta są przechowywane niezależnie od danych badania i mogą podlegać audytowi zmian</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Podczas przypisywania danych pacjenta do nowego badania brane są pod uwagę najbardziej aktualne dane pacjenta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Wbudowany słownik kodów ICD10 z możliwością wyszukiwania kontekstowego wg fragmentu kodu lub fragmentu nazwy rozpoznania.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Wymuszenie na użytkowniku końcowym kontroli wprowadzania danych personelu powiązanego ze zleceniem w zależności od pełnionej funkcji oraz zdefiniowanych reguł zależnych od minimum: wybranej komórki organizacyjnej, priorytetu badania i typu płatnika,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wraz z możliwością samodzielnej aktywacji i dezaktywacji reguł walidacji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Wymuszenie na użytkowniku końcowym kontroli załączania skanów dokumentów powiązanych ze zleceniem w zależności od rodzaju dokumentu oraz zdefiniowanych reguł zależnych od minimum: wybranej komórki organizacyjnej, typu płatnika, priorytetu badania, wraz z możliwością samodzielnej aktywacji i dezaktywacji reguł walidacji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Wymuszenie na użytkowniku końcowym wyboru umowy spośród zdefiniowanych w słowniku umów podwykonawstwa w zależności od typu płatnika oraz komórki organizacyjnej, wraz z możliwością samodzielnej aktywacji i dezaktywacji reguł walidacji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Zapewniony odbiór opisu badania w formie elektronicznej poświadczonej kwalifikowanym podpisem elektronicznym lub certyfikatem/podpisem ZUS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Zapewniony podgląd statusu opisu, daty przekazania zlecenia do opisu, osoby przekazującej badanie do opisu, załączonych badań porównawczych i zleconego priorytetu opisu w module rejestracji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Aplikacja pozwala wyświetlić/odtworzyć załączone do zlecenia konsultacji dane (tj. obrazy badań DICOM, PNG, PDF, JPEG, JPG, filmy pochodzące np. z laparoskopów/endoskopów (w formatach MOV, MPG, MP4), raporty strukturalne DICOM, PDF)</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Aplikacja pozwala pobrać na dysk lokalny załączone do zlecenia konsultacji dane (tj. pliki multimedialne, dane obrazowe, skany dokumentacji medycznej) dostępne w systemie (z możliwością konfiguracji uprawnień do takiej funkcji dla danego użytkownika systemu)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D47B7D" w:rsidRDefault="00AC3A21" w:rsidP="004453C8">
            <w:r w:rsidRPr="00D47B7D">
              <w:t>Tak, podać</w:t>
            </w:r>
          </w:p>
        </w:tc>
        <w:tc>
          <w:tcPr>
            <w:tcW w:w="1134" w:type="dxa"/>
            <w:tcBorders>
              <w:top w:val="single" w:sz="4" w:space="0" w:color="000000"/>
              <w:left w:val="single" w:sz="4" w:space="0" w:color="000000"/>
              <w:bottom w:val="single" w:sz="4" w:space="0" w:color="000000"/>
              <w:right w:val="single" w:sz="4" w:space="0" w:color="000000"/>
            </w:tcBorders>
          </w:tcPr>
          <w:p w:rsidR="00AC3A21" w:rsidRDefault="00AC3A21" w:rsidP="004453C8">
            <w:r w:rsidRPr="00D47B7D">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Zapewniona możliwość obsługi badań odrzuconych z opisu z powodu braków w dokumentacji lub innych powodów formalnych wraz z możliwością ponownego skierowania zlecenia do opisu po uzupełnieniu braków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Zapewniona możliwość zgłoszenia niezgodności związanych z otrzymanym opisem i skierowaniem zlecenia do kontroli jakości lub do ponownej konsultacji przez lekarza opisującego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Dokumentowanie wszystkich zapisów i zmian w systemie dotyczących danych pacjenta, zlecenia i otrzymanych opisów badań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Wyszukiwarka umożliwiająca wyszukiwanie zleceń wg numeru procedury, daty zlecenia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wyszukiwania zleceń pacjenta z użyciem wyszukiwarki oraz na listach badań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Wyszukiwanie w obu typach wyszukiwania zależne od polskich liter</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filtracji listy zleceń wg predefiniowanych przedziałów czasowych (bieżący miesiąc, poprzedni miesiąc, bieżący dzień, poprzedni dzień).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przeszukiwania, filtrowania i sortowania listy zleceń według kryteriów:</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numeru badania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nazwiska pacjenta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numeru identyfikacyjnego pacjenta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statusu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daty rejestracji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priorytetu opisu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procedury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jednostki wykonującej</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podmiotu kierującego</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lekarza kierującego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Predefiniowane listy robocze (</w:t>
            </w:r>
            <w:proofErr w:type="spellStart"/>
            <w:r w:rsidRPr="00AE433D">
              <w:rPr>
                <w:rFonts w:cs="Times New Roman"/>
                <w:sz w:val="20"/>
                <w:szCs w:val="20"/>
              </w:rPr>
              <w:t>worklisty</w:t>
            </w:r>
            <w:proofErr w:type="spellEnd"/>
            <w:r w:rsidRPr="00AE433D">
              <w:rPr>
                <w:rFonts w:cs="Times New Roman"/>
                <w:sz w:val="20"/>
                <w:szCs w:val="20"/>
              </w:rPr>
              <w:t xml:space="preserve">) badań w zależności od roli użytkownika i statusu </w:t>
            </w:r>
            <w:proofErr w:type="spellStart"/>
            <w:r w:rsidRPr="00AE433D">
              <w:rPr>
                <w:rFonts w:cs="Times New Roman"/>
                <w:sz w:val="20"/>
                <w:szCs w:val="20"/>
              </w:rPr>
              <w:t>workflow</w:t>
            </w:r>
            <w:proofErr w:type="spellEnd"/>
            <w:r w:rsidRPr="00AE433D">
              <w:rPr>
                <w:rFonts w:cs="Times New Roman"/>
                <w:sz w:val="20"/>
                <w:szCs w:val="20"/>
              </w:rPr>
              <w:t xml:space="preserve"> w tym listy: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badań wysłanych do opisu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wyników do wydania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wyników wydanych</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zleceń u których wykonano badanie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zleceń zakończonych</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zleceń w trakcie opisu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zleceń odrzuconych z opisu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sortowania i filtrowania zleceń na listach roboczych oraz w wynikach wyszukiwania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Wyszukiwarka pacjentów i zleceń dostępna cały czas w głównym oknie programu, niezależnie od etapu rejestracji zlecenia bądź stopnia realizacji zleconego opisu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Wyszukiwarka systemowa umożliwiająca wyszukiwanie kontekstowe w jednym polu z uwzględnieniem różnych wag i istotności poszczególnych danych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Wbudowane powiadomienia personelu wykonującego badanie informujące o utworzeniu nowych notatek dotyczących wykonanych badań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tworzenia notatek na potrzeby komunikacji z jednostką wykonującą opis jak i innymi użytkownikami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podglądu powiązanych danych obrazowych DICOM w przeglądarce www z poziomu rejestracji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Wbudowany słownik kodów pocztowych, miejscowości, itp. umożliwiający wygodne wprowadzanie poprawnych adresów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Automatyczne uzupełnianie adresu w oparciu o kod pocztowy podczas rejestracji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definiowania widoczności z ograniczeniem widoczności zleceń w module rejestracji do badań spełniających określone kryteria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generowania dokumentów typu oświadczenie lub ankieta podczas rejestracji zlecenia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wysyłania wiadomości SMS z systemu w ramach licencji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Przypomnienie (powiadomienie) w formie SMS lub email dla pacjenta o terminie zbliżającego się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wysyłania automatycznej wiadomości SMS z systemu z możliwością potwierdzenia lub rezygnacji wizyty przez pacjenta bezpośrednio z wiadomości SMS nie odpowiadając na wiadomość</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OBSŁUGA TERMINARZA</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Możliwość wyświetlania widoków w zadanych terminach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równoczasowego podglądu zaplanowanych badań dla kilku pracowni diagnostycznych (w zależności od uprawnień)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Wizualizacja w terminarzu badań zarejestrowanych (odnotowanie faktu wykonania badania pomimo braku wcześniejszego zaplanowania wizyty) jak i zaplanowanych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organizacji terminarza i wyświetlania wolnych i zarejestrowanych terminów oraz zarejestrowanych i zaplanowanych badań według:</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jednostki wykonującej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urządzenia diagnostycznego</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personelu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typu płatnika (NFZ, badania prywatne, umowy)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Wizualna identyfikacja i możliwość odróżnienia min. w oparciu o znaczniki w różnych kolorach zaplanowanych badań według:</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priorytetu badania (planowy, pilny, nagły)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typu płatnika (NFZ, badania prywatne, umowy)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statusu badania (badania zarejestrowane, zaplanowane)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Zmiana terminu wizyty przez użytkownika z możliwością przeciągania wizyty w widoku terminarza na inny termin lub podglądu aktualnej zajętości i wizyt w terminarzu w momencie wyboru nowego terminu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Możliwość filtracji wyświetlanych badań zarejestrowanych i zaplanowanych według min: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jednostki wykonującej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urządzenia diagnostycznego</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personelu</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typu płatnika (NFZ, badania prywatne, umowy)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Dla widocznych w terminarzu badań zarejestrowanych i/lub zaplanowanych w widoku minimum 1 dnia, 3 dni i agendy wyświetlanie min.:</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informacji o obecności notatek do badania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numeru kontaktowego do pacjenta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danych identyfikacyjnych pacjenta w tym imienia i nazwiska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daty rozpoczęcia i zakończenia wizyty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nazwy i rodzaju zaplanowanej lub wykonanej procedury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płatnika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szybkiej nawigacji (z użyciem pojedynczego kliknięcia) w kalendarzu za pomocą min.:</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przełączania się pomiędzy kolejnymi dniami (np. poprzedni/następny)</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przełączanie się do widoku aktualnego dnia (np. przycisk dziś)</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wyboru dowolnego dnia bieżącego miesiąca (np. wybór konkretnego dnia z mini kalendarza)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dla Call Center możliwość szybkiej zmiany podglądu terminarza jednej lub więcej pracowni poprzez wybór z listy wszystkich zdefiniowanych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 systemie pracowni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jednostki zlecającej</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Konfiguracja terminarza: m.in. godziny pracy placówki, wprowadzenie godzin kontrastowych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Wstawianie blokad i rezerwacji terminów w terminarzu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Informacja o użytkowniku tworzącym rezerwację</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Przypisanie konkretnej kolorystyki do jednostek współpracujących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Wielkość wierszy uzależniona od długości badania - przejrzystość terminarza (wymagane indywidualne przypisanie czasu wykonania danego badania w systemie w danej placówce)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OPIS BADAŃ</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Podstawowy edytor opisów badań WYSIWYG</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Umieszczanie obrazów kluczowych w opisie badania z dostępnych obrazów DICOM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formatowania tekstu opisu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sprawdzania pisowni w przeglądarce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Szablony opisów zależne od rodzaju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Dynamicznie uzupełniane pola w szablonach opisu, m.in. w zakresie metodyki badania, wykazu badań porównawczych, dawki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Wzorce zdań i opisów, konfigurowalne przez użytkowników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Reguły widoczności badań dla użytkowników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Manualne przypisywanie badań do użytkowników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Automatyczne przypisywanie badań do użytkowników na podstawie zdefiniowanych reguł</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SLA czasu na opis badania (definiowane dla podmiotu i priorytetu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Obsługa procesu opisywania przez rezydentów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lang w:val="en-US"/>
              </w:rPr>
            </w:pPr>
            <w:proofErr w:type="spellStart"/>
            <w:r w:rsidRPr="00AE433D">
              <w:rPr>
                <w:rFonts w:cs="Times New Roman"/>
                <w:sz w:val="20"/>
                <w:szCs w:val="20"/>
                <w:lang w:val="en-US"/>
              </w:rPr>
              <w:t>Obsługa</w:t>
            </w:r>
            <w:proofErr w:type="spellEnd"/>
            <w:r w:rsidRPr="00AE433D">
              <w:rPr>
                <w:rFonts w:cs="Times New Roman"/>
                <w:sz w:val="20"/>
                <w:szCs w:val="20"/>
                <w:lang w:val="en-US"/>
              </w:rPr>
              <w:t xml:space="preserve"> </w:t>
            </w:r>
            <w:proofErr w:type="spellStart"/>
            <w:r w:rsidRPr="00AE433D">
              <w:rPr>
                <w:rFonts w:cs="Times New Roman"/>
                <w:sz w:val="20"/>
                <w:szCs w:val="20"/>
                <w:lang w:val="en-US"/>
              </w:rPr>
              <w:t>procesu</w:t>
            </w:r>
            <w:proofErr w:type="spellEnd"/>
            <w:r w:rsidRPr="00AE433D">
              <w:rPr>
                <w:rFonts w:cs="Times New Roman"/>
                <w:sz w:val="20"/>
                <w:szCs w:val="20"/>
                <w:lang w:val="en-US"/>
              </w:rPr>
              <w:t xml:space="preserve"> </w:t>
            </w:r>
            <w:proofErr w:type="spellStart"/>
            <w:r w:rsidRPr="00AE433D">
              <w:rPr>
                <w:rFonts w:cs="Times New Roman"/>
                <w:sz w:val="20"/>
                <w:szCs w:val="20"/>
                <w:lang w:val="en-US"/>
              </w:rPr>
              <w:t>konsultacji</w:t>
            </w:r>
            <w:proofErr w:type="spellEnd"/>
            <w:r w:rsidRPr="00AE433D">
              <w:rPr>
                <w:rFonts w:cs="Times New Roman"/>
                <w:sz w:val="20"/>
                <w:szCs w:val="20"/>
                <w:lang w:val="en-US"/>
              </w:rPr>
              <w:t xml:space="preserve"> </w:t>
            </w:r>
            <w:proofErr w:type="spellStart"/>
            <w:r w:rsidRPr="00AE433D">
              <w:rPr>
                <w:rFonts w:cs="Times New Roman"/>
                <w:sz w:val="20"/>
                <w:szCs w:val="20"/>
                <w:lang w:val="en-US"/>
              </w:rPr>
              <w:t>opisu</w:t>
            </w:r>
            <w:proofErr w:type="spellEnd"/>
            <w:r w:rsidRPr="00AE433D">
              <w:rPr>
                <w:rFonts w:cs="Times New Roman"/>
                <w:sz w:val="20"/>
                <w:szCs w:val="20"/>
                <w:lang w:val="en-US"/>
              </w:rPr>
              <w:t xml:space="preserve"> (double-reading, second-reading)</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lang w:val="en-US"/>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Obsługa procesu kontroli jakości opisu z możliwością skierowania badania do ponownego opisu, przez lekarza opisującego, konsultacji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przez innego specjalistę jak i akceptacji opisu w wyniku braku niezgodności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Zgodność tworzenia opisów z HL7 CDA (opisy badań diagnostycznych muszą być tworzone w wersji elektronicznej w HL7 CDA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i podpisywane elektronicznie)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Obsługa min. kwalifikowanego podpisu elektronicznego i certyfikatu ZUS (Windows, </w:t>
            </w:r>
            <w:proofErr w:type="spellStart"/>
            <w:r w:rsidRPr="00AE433D">
              <w:rPr>
                <w:rFonts w:cs="Times New Roman"/>
                <w:sz w:val="20"/>
                <w:szCs w:val="20"/>
              </w:rPr>
              <w:t>MacOS</w:t>
            </w:r>
            <w:proofErr w:type="spellEnd"/>
            <w:r w:rsidRPr="00AE433D">
              <w:rPr>
                <w:rFonts w:cs="Times New Roman"/>
                <w:sz w:val="20"/>
                <w:szCs w:val="20"/>
              </w:rPr>
              <w: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zbiorczego podpisywania cyfrowo opisów badań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Blokada edycji opisu badania przez nieuprawniony personel</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Jeden moduł opisu z możliwością obsługi przynajmniej 100 pracowni zlecających opisy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zdefiniowania roli użytkownika- lekarz konsultujący, opisujący, lekarz rezydent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Możliwość zdefiniowania różnych </w:t>
            </w:r>
            <w:proofErr w:type="spellStart"/>
            <w:r w:rsidRPr="00AE433D">
              <w:rPr>
                <w:rFonts w:cs="Times New Roman"/>
                <w:sz w:val="20"/>
                <w:szCs w:val="20"/>
              </w:rPr>
              <w:t>workflow</w:t>
            </w:r>
            <w:proofErr w:type="spellEnd"/>
            <w:r w:rsidRPr="00AE433D">
              <w:rPr>
                <w:rFonts w:cs="Times New Roman"/>
                <w:sz w:val="20"/>
                <w:szCs w:val="20"/>
              </w:rPr>
              <w:t xml:space="preserve"> w zależności od roli użytkownika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ograniczenia widoczności badań do opisu lub do konsultacji w zależności od wcześniej predefiniowanych reguł przypisywania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i roli użytkownika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definiowania automatycznych, ograniczonych w czasie reguł przypisywania badań do opisu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manualnego zarządzania przypisaniem badań do opisu lekarzowi (nadrzędnego nad regułami automatycznymi)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równoczesnej edycji kilku opisów badań w ramach jednego okna przeglądarki bez konieczności ich zamykania i zapisu podczas przełączania się między badaniami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opisywania badań zdalnie w innej, niż miejsce wykonania badania, fizycznej lokalizacji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Edytor opisu umożliwiający co najmniej:</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wybór kroju i wielkości czcionki (bez wpływu na wydruk)</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pogrubienie, pochylenie, podkreślenie, przekreślenie,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wycinanie, wklejanie, wyszukiwanie, zastępowanie,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wyrównanie tekstu akapitu: do lewej, do prawej, wyśrodkowanie, wyjustowanie,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tworzenie list numerowanych i wypunktowania,</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cofanie i ponawianie operacji,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grupowania i hierarchizacji wzorców opisów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przeglądania zeskanowanych dokumentów przypisanych do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przeglądania zamieszczonych notatek wewnętrznych przypisanych do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System powiadomień lekarzy o nowych notatkach utworzonych do badań przez nich opisywanych bądź konsultowanych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podglądu danych kontaktowych pacjenta, jednostki i lekarza kierującego oraz jednostki wykonującej przypisanych do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podpisania cyfrowego od jednego do kilkudziesięciu wyników badań podczas jednej operacji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Funkcja podpisywania opisu badania dostępna dla wszystkich badań opisanych bądź do autoryzacji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Status podpisu cyfrowego wyniku badania prezentowany w formie graficznej na liście badań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Możliwy zapis w systemie dźwiękowych opisów badań z użyciem narzędzi wspomagania dyktowania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umieszczania na wydruku specjalizacji lekarza opisującego i lekarza konsultującego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Możliwość umieszczania na wydruku informacji o personelu biorącym udział w procedurze, w tym min.: technika, pielęgniarki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 zależności od pracowni wykonującej badanie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umieszczenia na wydruku faksymile lekarza opisującego i/lub konsultującego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prezentowania na wydruku wyniku danych rejestrowych pracowni wykonującej</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umieszczenia na wydruku logo pracowni wykonującej badanie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zastosowania dowolnego formatowania tekstu w szablonie wydruku wyniku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Wydruk opisu zgodny z aktualnymi wymogami Ministerstwa Zdrowia w sprawie rodzajów i zakresu dokumentacji medycznej oraz sposobu jej przetwarzania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Każda strona wydruku oznaczona co najmniej imieniem i nazwiskiem pacjenta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Automatyczna numeracja stron wydruku wyniku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Automatyczne dodanie opisu badania do obrazu DICOM po zatwierdzeniu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PRZEGLĄDARKA DIAGNOSTYCZNA DICOM WEB</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Zintegrowana diagnostyczna przeglądarka DICOM, webowa (HTML5), certyfikowana jako wyrób medyczny klasy </w:t>
            </w:r>
            <w:proofErr w:type="spellStart"/>
            <w:r w:rsidRPr="00AE433D">
              <w:rPr>
                <w:rFonts w:cs="Times New Roman"/>
                <w:sz w:val="20"/>
                <w:szCs w:val="20"/>
              </w:rPr>
              <w:t>IIb</w:t>
            </w:r>
            <w:proofErr w:type="spellEnd"/>
            <w:r w:rsidRPr="00AE433D">
              <w:rPr>
                <w:rFonts w:cs="Times New Roman"/>
                <w:sz w:val="20"/>
                <w:szCs w:val="20"/>
              </w:rPr>
              <w:t xml:space="preserve"> MDR zgodnie z rozporządzeniem Parlamentu Europejskiego i Rady (UE) 2017/745 z dnia 5 kwietnia 2017 r. - </w:t>
            </w:r>
            <w:r w:rsidRPr="00AE433D">
              <w:rPr>
                <w:rFonts w:cs="Times New Roman"/>
                <w:iCs/>
                <w:sz w:val="20"/>
                <w:szCs w:val="20"/>
              </w:rPr>
              <w:t>dokument potwierdzający powyższe należy dołączyć do oferty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Przeglądarka DICOM zapewnia podgląd obrazów DICOM z użyciem wyłącznie przeglądarki internetowej bez potrzeby instalacji dodatkowych komponentów na stacjach klienckich, takich jak kontrolki ActiveX, </w:t>
            </w:r>
            <w:proofErr w:type="spellStart"/>
            <w:r w:rsidRPr="00AE433D">
              <w:rPr>
                <w:rFonts w:cs="Times New Roman"/>
                <w:sz w:val="20"/>
                <w:szCs w:val="20"/>
              </w:rPr>
              <w:t>applety</w:t>
            </w:r>
            <w:proofErr w:type="spellEnd"/>
            <w:r w:rsidRPr="00AE433D">
              <w:rPr>
                <w:rFonts w:cs="Times New Roman"/>
                <w:sz w:val="20"/>
                <w:szCs w:val="20"/>
              </w:rPr>
              <w:t xml:space="preserve"> Java, </w:t>
            </w:r>
            <w:proofErr w:type="spellStart"/>
            <w:r w:rsidRPr="00AE433D">
              <w:rPr>
                <w:rFonts w:cs="Times New Roman"/>
                <w:sz w:val="20"/>
                <w:szCs w:val="20"/>
              </w:rPr>
              <w:t>pluginy</w:t>
            </w:r>
            <w:proofErr w:type="spellEnd"/>
            <w:r w:rsidRPr="00AE433D">
              <w:rPr>
                <w:rFonts w:cs="Times New Roman"/>
                <w:sz w:val="20"/>
                <w:szCs w:val="20"/>
              </w:rPr>
              <w:t xml:space="preserve"> NPAPI czy pakiety Java Web Start.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Przeglądarka DICOM zapewnia możliwość wyświetlania minimum modalności: CT, MR, CR/DX, US, XC, PT, ST, NM, wyników badań histopatologicznych, endoskopii (DICOM video </w:t>
            </w:r>
            <w:proofErr w:type="spellStart"/>
            <w:r w:rsidRPr="00AE433D">
              <w:rPr>
                <w:rFonts w:cs="Times New Roman"/>
                <w:sz w:val="20"/>
                <w:szCs w:val="20"/>
              </w:rPr>
              <w:t>files</w:t>
            </w:r>
            <w:proofErr w:type="spellEnd"/>
            <w:r w:rsidRPr="00AE433D">
              <w:rPr>
                <w:rFonts w:cs="Times New Roman"/>
                <w:sz w:val="20"/>
                <w:szCs w:val="20"/>
              </w:rPr>
              <w: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Przeglądarka DICOM obsługuje wyświetlanie na wielu monitorach i umożliwia zdefiniowanie liczby i układu monitorów oraz ich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wzajemnego położenia.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Zamawiający dopuszcza, aby funkcjonalność ta wymagała instalacji natywnego </w:t>
            </w:r>
            <w:proofErr w:type="spellStart"/>
            <w:r w:rsidRPr="00AE433D">
              <w:rPr>
                <w:rFonts w:cs="Times New Roman"/>
                <w:sz w:val="20"/>
                <w:szCs w:val="20"/>
              </w:rPr>
              <w:t>pluginu</w:t>
            </w:r>
            <w:proofErr w:type="spellEnd"/>
            <w:r w:rsidRPr="00AE433D">
              <w:rPr>
                <w:rFonts w:cs="Times New Roman"/>
                <w:sz w:val="20"/>
                <w:szCs w:val="20"/>
              </w:rPr>
              <w:t xml:space="preserve"> do przeglądarki internetowej (tj. z wyłączeniem </w:t>
            </w:r>
            <w:proofErr w:type="spellStart"/>
            <w:r w:rsidRPr="00AE433D">
              <w:rPr>
                <w:rFonts w:cs="Times New Roman"/>
                <w:sz w:val="20"/>
                <w:szCs w:val="20"/>
              </w:rPr>
              <w:t>pluginów</w:t>
            </w:r>
            <w:proofErr w:type="spellEnd"/>
            <w:r w:rsidRPr="00AE433D">
              <w:rPr>
                <w:rFonts w:cs="Times New Roman"/>
                <w:sz w:val="20"/>
                <w:szCs w:val="20"/>
              </w:rPr>
              <w:t xml:space="preserve"> opartych o ActiveX, </w:t>
            </w:r>
            <w:proofErr w:type="spellStart"/>
            <w:r w:rsidRPr="00AE433D">
              <w:rPr>
                <w:rFonts w:cs="Times New Roman"/>
                <w:sz w:val="20"/>
                <w:szCs w:val="20"/>
              </w:rPr>
              <w:t>applety</w:t>
            </w:r>
            <w:proofErr w:type="spellEnd"/>
            <w:r w:rsidRPr="00AE433D">
              <w:rPr>
                <w:rFonts w:cs="Times New Roman"/>
                <w:sz w:val="20"/>
                <w:szCs w:val="20"/>
              </w:rPr>
              <w:t xml:space="preserve"> Java, NPAPI czy pakiety Java Web Start).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umożliwia zdefiniowanie własnych protokołów wyświetlania (</w:t>
            </w:r>
            <w:proofErr w:type="spellStart"/>
            <w:r w:rsidRPr="00AE433D">
              <w:rPr>
                <w:rFonts w:cs="Times New Roman"/>
                <w:sz w:val="20"/>
                <w:szCs w:val="20"/>
              </w:rPr>
              <w:t>hanging</w:t>
            </w:r>
            <w:proofErr w:type="spellEnd"/>
            <w:r w:rsidRPr="00AE433D">
              <w:rPr>
                <w:rFonts w:cs="Times New Roman"/>
                <w:sz w:val="20"/>
                <w:szCs w:val="20"/>
              </w:rPr>
              <w:t xml:space="preserve"> </w:t>
            </w:r>
            <w:proofErr w:type="spellStart"/>
            <w:r w:rsidRPr="00AE433D">
              <w:rPr>
                <w:rFonts w:cs="Times New Roman"/>
                <w:sz w:val="20"/>
                <w:szCs w:val="20"/>
              </w:rPr>
              <w:t>protocols</w:t>
            </w:r>
            <w:proofErr w:type="spellEnd"/>
            <w:r w:rsidRPr="00AE433D">
              <w:rPr>
                <w:rFonts w:cs="Times New Roman"/>
                <w:sz w:val="20"/>
                <w:szCs w:val="20"/>
              </w:rPr>
              <w:t>) na podstawie konfiguracji wyświetlania aktualnie otwartego badania. Przeglądarka DICOM pozwala na zapisanie dowolnej liczby protokołów wyświetlania i skojarzenie ich z wybranym typem badania oraz automatyczne przywołanie odpowiedniego protokołu wyświetlania podczas otwierania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umożliwia wyświetlanie osi czasu pacjenta zawierającej wszystkie jego badania, w celu wygodnego dostępu do badań porównawczych wprost z poziomu przeglądarki DICOM.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Przeglądarka DICOM posiada zdefiniowane </w:t>
            </w:r>
            <w:proofErr w:type="spellStart"/>
            <w:r w:rsidRPr="00AE433D">
              <w:rPr>
                <w:rFonts w:cs="Times New Roman"/>
                <w:sz w:val="20"/>
                <w:szCs w:val="20"/>
              </w:rPr>
              <w:t>presety</w:t>
            </w:r>
            <w:proofErr w:type="spellEnd"/>
            <w:r w:rsidRPr="00AE433D">
              <w:rPr>
                <w:rFonts w:cs="Times New Roman"/>
                <w:sz w:val="20"/>
                <w:szCs w:val="20"/>
              </w:rPr>
              <w:t xml:space="preserve"> ustawień okna w skali </w:t>
            </w:r>
            <w:proofErr w:type="spellStart"/>
            <w:r w:rsidRPr="00AE433D">
              <w:rPr>
                <w:rFonts w:cs="Times New Roman"/>
                <w:sz w:val="20"/>
                <w:szCs w:val="20"/>
              </w:rPr>
              <w:t>Hounsfielda</w:t>
            </w:r>
            <w:proofErr w:type="spellEnd"/>
            <w:r w:rsidRPr="00AE433D">
              <w:rPr>
                <w:rFonts w:cs="Times New Roman"/>
                <w:sz w:val="20"/>
                <w:szCs w:val="20"/>
              </w:rPr>
              <w:t xml:space="preserve">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Przeglądarka DICOM umożliwia ustawienie własnych </w:t>
            </w:r>
            <w:proofErr w:type="spellStart"/>
            <w:r w:rsidRPr="00AE433D">
              <w:rPr>
                <w:rFonts w:cs="Times New Roman"/>
                <w:sz w:val="20"/>
                <w:szCs w:val="20"/>
              </w:rPr>
              <w:t>presetów</w:t>
            </w:r>
            <w:proofErr w:type="spellEnd"/>
            <w:r w:rsidRPr="00AE433D">
              <w:rPr>
                <w:rFonts w:cs="Times New Roman"/>
                <w:sz w:val="20"/>
                <w:szCs w:val="20"/>
              </w:rPr>
              <w:t xml:space="preserve"> ustawień okna, zdefiniowanie modalności, dla których mają być dostępne oraz pozwala na przypisanie skrótu klawiszowego do szybkiego przełączania pomiędzy </w:t>
            </w:r>
            <w:proofErr w:type="spellStart"/>
            <w:r w:rsidRPr="00AE433D">
              <w:rPr>
                <w:rFonts w:cs="Times New Roman"/>
                <w:sz w:val="20"/>
                <w:szCs w:val="20"/>
              </w:rPr>
              <w:t>presetami</w:t>
            </w:r>
            <w:proofErr w:type="spellEnd"/>
            <w:r w:rsidRPr="00AE433D">
              <w:rPr>
                <w:rFonts w:cs="Times New Roman"/>
                <w:sz w:val="20"/>
                <w:szCs w:val="20"/>
              </w:rPr>
              <w: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oferuje wbudowane filtry obrazu: wygładzanie, wyostrzanie, wyszukiwanie krawędzi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Przeglądarka DICOM oferuje rendering w trybie 2D oraz 3D w trybach MIP, </w:t>
            </w:r>
            <w:proofErr w:type="spellStart"/>
            <w:r w:rsidRPr="00AE433D">
              <w:rPr>
                <w:rFonts w:cs="Times New Roman"/>
                <w:sz w:val="20"/>
                <w:szCs w:val="20"/>
              </w:rPr>
              <w:t>MinIP</w:t>
            </w:r>
            <w:proofErr w:type="spellEnd"/>
            <w:r w:rsidRPr="00AE433D">
              <w:rPr>
                <w:rFonts w:cs="Times New Roman"/>
                <w:sz w:val="20"/>
                <w:szCs w:val="20"/>
              </w:rPr>
              <w:t xml:space="preserve">, rekonstrukcje wielopłaszczyznowe MPR pod dowolnym kątem oraz CPR. Przeglądarka oferuje przyciski szybkiego dostępu pozwalające na wybór trybu </w:t>
            </w:r>
            <w:proofErr w:type="spellStart"/>
            <w:r w:rsidRPr="00AE433D">
              <w:rPr>
                <w:rFonts w:cs="Times New Roman"/>
                <w:sz w:val="20"/>
                <w:szCs w:val="20"/>
              </w:rPr>
              <w:t>renderowania</w:t>
            </w:r>
            <w:proofErr w:type="spellEnd"/>
            <w:r w:rsidRPr="00AE433D">
              <w:rPr>
                <w:rFonts w:cs="Times New Roman"/>
                <w:sz w:val="20"/>
                <w:szCs w:val="20"/>
              </w:rPr>
              <w:t xml:space="preserve"> (</w:t>
            </w:r>
            <w:proofErr w:type="spellStart"/>
            <w:r w:rsidRPr="00AE433D">
              <w:rPr>
                <w:rFonts w:cs="Times New Roman"/>
                <w:sz w:val="20"/>
                <w:szCs w:val="20"/>
              </w:rPr>
              <w:t>MinIP</w:t>
            </w:r>
            <w:proofErr w:type="spellEnd"/>
            <w:r w:rsidRPr="00AE433D">
              <w:rPr>
                <w:rFonts w:cs="Times New Roman"/>
                <w:sz w:val="20"/>
                <w:szCs w:val="20"/>
              </w:rPr>
              <w:t xml:space="preserve">, MIP, MPR, </w:t>
            </w:r>
            <w:proofErr w:type="spellStart"/>
            <w:r w:rsidRPr="00AE433D">
              <w:rPr>
                <w:rFonts w:cs="Times New Roman"/>
                <w:sz w:val="20"/>
                <w:szCs w:val="20"/>
              </w:rPr>
              <w:t>Axial</w:t>
            </w:r>
            <w:proofErr w:type="spellEnd"/>
            <w:r w:rsidRPr="00AE433D">
              <w:rPr>
                <w:rFonts w:cs="Times New Roman"/>
                <w:sz w:val="20"/>
                <w:szCs w:val="20"/>
              </w:rPr>
              <w:t xml:space="preserve">, </w:t>
            </w:r>
            <w:proofErr w:type="spellStart"/>
            <w:r w:rsidRPr="00AE433D">
              <w:rPr>
                <w:rFonts w:cs="Times New Roman"/>
                <w:sz w:val="20"/>
                <w:szCs w:val="20"/>
              </w:rPr>
              <w:t>Sagittal</w:t>
            </w:r>
            <w:proofErr w:type="spellEnd"/>
            <w:r w:rsidRPr="00AE433D">
              <w:rPr>
                <w:rFonts w:cs="Times New Roman"/>
                <w:sz w:val="20"/>
                <w:szCs w:val="20"/>
              </w:rPr>
              <w:t xml:space="preserve">, </w:t>
            </w:r>
            <w:proofErr w:type="spellStart"/>
            <w:r w:rsidRPr="00AE433D">
              <w:rPr>
                <w:rFonts w:cs="Times New Roman"/>
                <w:sz w:val="20"/>
                <w:szCs w:val="20"/>
              </w:rPr>
              <w:t>Transverse</w:t>
            </w:r>
            <w:proofErr w:type="spellEnd"/>
            <w:r w:rsidRPr="00AE433D">
              <w:rPr>
                <w:rFonts w:cs="Times New Roman"/>
                <w:sz w:val="20"/>
                <w:szCs w:val="20"/>
              </w:rPr>
              <w:t>) przy użyciu jednego kliknięcia.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oferuje rendering wolumetryczny 3D</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umożliwia zmianę grubości warstwy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umożliwia stworzenie nowej serii na podstawie aktualnej konfiguracji widoku (grubość warstwy, płaszczyzna rekonstrukcji)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posiada kursor 3D</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umożliwia powiększanie, przesuwanie i obracanie obrazu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Przeglądarka DICOM posiada funkcję </w:t>
            </w:r>
            <w:proofErr w:type="spellStart"/>
            <w:r w:rsidRPr="00AE433D">
              <w:rPr>
                <w:rFonts w:cs="Times New Roman"/>
                <w:sz w:val="20"/>
                <w:szCs w:val="20"/>
              </w:rPr>
              <w:t>cine</w:t>
            </w:r>
            <w:proofErr w:type="spellEnd"/>
            <w:r w:rsidRPr="00AE433D">
              <w:rPr>
                <w:rFonts w:cs="Times New Roman"/>
                <w:sz w:val="20"/>
                <w:szCs w:val="20"/>
              </w:rPr>
              <w:t xml:space="preserve"> – odtwarzanie ciągłe klatka po klatce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odtwarzania filmów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Informacja o orientacji obrazu wyświetlana na ekranie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umożliwia podział serii wielofazowych (dynamiczne badania CT)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Linie referencyjne – prezentacja płaszczyzny serii badania na wyświetlonej obok serii w innej orientacji płaszczyzny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Automatyczne dopasowanie powiększenia obrazu do wielkości okna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Rejestracja (optymalne nałożenie) dwóch serii badania w tej samej płaszczyźnie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Przeglądanie synchroniczne dwóch serii badania w tej samej płaszczyźnie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udostępnia możliwość tworzenia adnotacji i funkcje pomiarowe:</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pomiar odległości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pomiar powierzchni w obrębie ROI (kwadrat, elipsa, dowolny kształt)</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 pomiar kąta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możliwość oznaczenia zmiany strzałką</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możliwość adnotacji tekstowych na obrazach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umożliwia utrwalenie (</w:t>
            </w:r>
            <w:proofErr w:type="spellStart"/>
            <w:r w:rsidRPr="00AE433D">
              <w:rPr>
                <w:rFonts w:cs="Times New Roman"/>
                <w:sz w:val="20"/>
                <w:szCs w:val="20"/>
              </w:rPr>
              <w:t>burn</w:t>
            </w:r>
            <w:proofErr w:type="spellEnd"/>
            <w:r w:rsidRPr="00AE433D">
              <w:rPr>
                <w:rFonts w:cs="Times New Roman"/>
                <w:sz w:val="20"/>
                <w:szCs w:val="20"/>
              </w:rPr>
              <w:t>-in) adnotacji wprost w obrazie i wygenerowanie nowego obrazu (</w:t>
            </w:r>
            <w:proofErr w:type="spellStart"/>
            <w:r w:rsidRPr="00AE433D">
              <w:rPr>
                <w:rFonts w:cs="Times New Roman"/>
                <w:sz w:val="20"/>
                <w:szCs w:val="20"/>
              </w:rPr>
              <w:t>secondary</w:t>
            </w:r>
            <w:proofErr w:type="spellEnd"/>
            <w:r w:rsidRPr="00AE433D">
              <w:rPr>
                <w:rFonts w:cs="Times New Roman"/>
                <w:sz w:val="20"/>
                <w:szCs w:val="20"/>
              </w:rPr>
              <w:t xml:space="preserve"> </w:t>
            </w:r>
            <w:proofErr w:type="spellStart"/>
            <w:r w:rsidRPr="00AE433D">
              <w:rPr>
                <w:rFonts w:cs="Times New Roman"/>
                <w:sz w:val="20"/>
                <w:szCs w:val="20"/>
              </w:rPr>
              <w:t>capture</w:t>
            </w:r>
            <w:proofErr w:type="spellEnd"/>
            <w:r w:rsidRPr="00AE433D">
              <w:rPr>
                <w:rFonts w:cs="Times New Roman"/>
                <w:sz w:val="20"/>
                <w:szCs w:val="20"/>
              </w:rPr>
              <w: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Oznaczanie obrazu jako kluczowego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Pomiar gęstości optycznej (CR) oraz jednostek </w:t>
            </w:r>
            <w:proofErr w:type="spellStart"/>
            <w:r w:rsidRPr="00AE433D">
              <w:rPr>
                <w:rFonts w:cs="Times New Roman"/>
                <w:sz w:val="20"/>
                <w:szCs w:val="20"/>
              </w:rPr>
              <w:t>Hounsfielda</w:t>
            </w:r>
            <w:proofErr w:type="spellEnd"/>
            <w:r w:rsidRPr="00AE433D">
              <w:rPr>
                <w:rFonts w:cs="Times New Roman"/>
                <w:sz w:val="20"/>
                <w:szCs w:val="20"/>
              </w:rPr>
              <w:t xml:space="preserve"> (CT) – pomiar w ROI i w punkcie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Eksport zmian do PACS (utworzone serie, ROI, utrwalone adnotacje)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Eksport badania do katalogu lokalnego wraz z utworzeniem DICOMDIR</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Prezentacja serii w badaniu w postaci podglądu miniaturek serii wraz z informacją o liczbie obrazów w serii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inwersji skali kolorów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Przeglądarka DICOM umożliwia zmianę układu okien</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Licencja na przeglądarkę DICOM umożliwiająca podłączenie minimum 10 stacji radiologicznych (dopuszcza się licencje w wersji pływającej)</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System musi zapewnić możliwość przyjmowania informacji o badaniach porównawczych do zleconego badania oraz zapewnić automatyczne ściąganie lub odbieranie danych obrazowych badań porównawczych z określonego archiwum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PACS</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lang w:val="en-US"/>
              </w:rPr>
            </w:pPr>
            <w:proofErr w:type="spellStart"/>
            <w:r w:rsidRPr="00AE433D">
              <w:rPr>
                <w:rFonts w:cs="Times New Roman"/>
                <w:sz w:val="20"/>
                <w:szCs w:val="20"/>
                <w:lang w:val="en-US"/>
              </w:rPr>
              <w:t>Obsługa</w:t>
            </w:r>
            <w:proofErr w:type="spellEnd"/>
            <w:r w:rsidRPr="00AE433D">
              <w:rPr>
                <w:rFonts w:cs="Times New Roman"/>
                <w:sz w:val="20"/>
                <w:szCs w:val="20"/>
                <w:lang w:val="en-US"/>
              </w:rPr>
              <w:t xml:space="preserve"> DICOM 3.0 (DICOM Modality Worklist, Storage Commitment, MPPS, Query C-FIND, Retrieve C-MOVE, Retrieve C-GET, Store C-STORE)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lang w:val="en-US"/>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lang w:val="en-US"/>
              </w:rPr>
            </w:pPr>
            <w:proofErr w:type="spellStart"/>
            <w:r w:rsidRPr="00AE433D">
              <w:rPr>
                <w:rFonts w:cs="Times New Roman"/>
                <w:sz w:val="20"/>
                <w:szCs w:val="20"/>
                <w:lang w:val="en-US"/>
              </w:rPr>
              <w:t>Obsługa</w:t>
            </w:r>
            <w:proofErr w:type="spellEnd"/>
            <w:r w:rsidRPr="00AE433D">
              <w:rPr>
                <w:rFonts w:cs="Times New Roman"/>
                <w:sz w:val="20"/>
                <w:szCs w:val="20"/>
                <w:lang w:val="en-US"/>
              </w:rPr>
              <w:t xml:space="preserve"> DICOM WADO URL</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lang w:val="en-US"/>
              </w:rPr>
            </w:pPr>
            <w:proofErr w:type="spellStart"/>
            <w:r w:rsidRPr="00AE433D">
              <w:rPr>
                <w:rFonts w:cs="Times New Roman"/>
                <w:sz w:val="20"/>
                <w:szCs w:val="20"/>
                <w:lang w:val="en-US"/>
              </w:rPr>
              <w:t>Obsługa</w:t>
            </w:r>
            <w:proofErr w:type="spellEnd"/>
            <w:r w:rsidRPr="00AE433D">
              <w:rPr>
                <w:rFonts w:cs="Times New Roman"/>
                <w:sz w:val="20"/>
                <w:szCs w:val="20"/>
                <w:lang w:val="en-US"/>
              </w:rPr>
              <w:t xml:space="preserve"> </w:t>
            </w:r>
            <w:proofErr w:type="spellStart"/>
            <w:r w:rsidRPr="00AE433D">
              <w:rPr>
                <w:rFonts w:cs="Times New Roman"/>
                <w:sz w:val="20"/>
                <w:szCs w:val="20"/>
                <w:lang w:val="en-US"/>
              </w:rPr>
              <w:t>DICOMweb</w:t>
            </w:r>
            <w:proofErr w:type="spellEnd"/>
            <w:r w:rsidRPr="00AE433D">
              <w:rPr>
                <w:rFonts w:cs="Times New Roman"/>
                <w:sz w:val="20"/>
                <w:szCs w:val="20"/>
                <w:lang w:val="en-US"/>
              </w:rPr>
              <w:t xml:space="preserve"> (WADO-RS, QUIDO-RS, STOW-RS)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Obsługa asynchronicznego C-MOVE oraz możliwość konfiguracji przez użytkownika administracyjnego równoległego przesyłania wielu </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serii w ramach operacji C-MOVE dla wybranych węzłów DICOM dla zapewnienia optymalnego wykorzystania łącza internetowego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Minimalna pojemność centralnego archiwum na dane DICOM:</w:t>
            </w:r>
            <w:r w:rsidRPr="00AE433D">
              <w:rPr>
                <w:rFonts w:cs="Times New Roman"/>
                <w:iCs/>
                <w:sz w:val="20"/>
                <w:szCs w:val="20"/>
              </w:rPr>
              <w:t xml:space="preserve"> zapewniającą przechowywanie min. ostatnich 2 lat badań obrazowych (co według szacunków Zamawiającego wynosi obecnie 50 TB)</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Zarządzanie przez www przez uprawnionych użytkowników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Brak limitu węzłów DICOM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zarządzania węzłami DICOM przez uprawnionych użytkowników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 xml:space="preserve">Definiowanie reguł </w:t>
            </w:r>
            <w:proofErr w:type="spellStart"/>
            <w:r w:rsidRPr="00AE433D">
              <w:rPr>
                <w:rFonts w:cs="Times New Roman"/>
                <w:sz w:val="20"/>
                <w:szCs w:val="20"/>
              </w:rPr>
              <w:t>autoroutingu</w:t>
            </w:r>
            <w:proofErr w:type="spellEnd"/>
            <w:r w:rsidRPr="00AE433D">
              <w:rPr>
                <w:rFonts w:cs="Times New Roman"/>
                <w:sz w:val="20"/>
                <w:szCs w:val="20"/>
              </w:rPr>
              <w:t xml:space="preserve"> danych obrazowych przez uprawnionych użytkowników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Zintegrowany z UI systemu serwer VPN dla indywidualnego dostępu do obrazów przez DICOM wprost z węzła centralnego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Możliwość częściowej obsługi połączeń VPN przez infrastrukturę IT Zamawiającego w przypadku archiwalnych badań</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Wbudowana przeglądarka DICOM referencyjna webowa 2D (obsługa modalności m.in. CT, MR, DX, CR, XA)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Możliwość wysyłania badań porównawczych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Zarządzanie wysyłaniem badań z lokalnego archiwum PACS na dowolne urządzenie DICOM</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Możliwość </w:t>
            </w:r>
            <w:proofErr w:type="spellStart"/>
            <w:r w:rsidRPr="00AE433D">
              <w:rPr>
                <w:rFonts w:cs="Times New Roman"/>
                <w:sz w:val="20"/>
                <w:szCs w:val="20"/>
              </w:rPr>
              <w:t>anonimizacji</w:t>
            </w:r>
            <w:proofErr w:type="spellEnd"/>
            <w:r w:rsidRPr="00AE433D">
              <w:rPr>
                <w:rFonts w:cs="Times New Roman"/>
                <w:sz w:val="20"/>
                <w:szCs w:val="20"/>
              </w:rPr>
              <w:t xml:space="preserve"> badania i przesłania na PACS wykorzystywany do celów badawczych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TELERADIOLOGIA</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Wysyłanie zleceń i badań do opisu do podmiotów świadczących usługi </w:t>
            </w:r>
            <w:proofErr w:type="spellStart"/>
            <w:r w:rsidRPr="00AE433D">
              <w:rPr>
                <w:rFonts w:cs="Times New Roman"/>
                <w:sz w:val="20"/>
                <w:szCs w:val="20"/>
              </w:rPr>
              <w:t>teleradiologii</w:t>
            </w:r>
            <w:proofErr w:type="spellEnd"/>
            <w:r w:rsidRPr="00AE433D">
              <w:rPr>
                <w:rFonts w:cs="Times New Roman"/>
                <w:sz w:val="20"/>
                <w:szCs w:val="20"/>
              </w:rPr>
              <w:t xml:space="preserve"> z możliwością wysyłania badań porównawczych i wycofania zlecenia oraz zwrotnym otrzymywaniem wyników w formacie min. PDF i HL7 CDA PIK</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 xml:space="preserve">Możliwość integracji systemu z użyciem standardu HL7 CDA z dostawcami usług </w:t>
            </w:r>
            <w:proofErr w:type="spellStart"/>
            <w:r w:rsidRPr="00AE433D">
              <w:rPr>
                <w:rFonts w:cs="Times New Roman"/>
                <w:sz w:val="20"/>
                <w:szCs w:val="20"/>
              </w:rPr>
              <w:t>teleradiologicznych</w:t>
            </w:r>
            <w:proofErr w:type="spellEnd"/>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Widoczność SLA dla każdego wysłanego badania do opisu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 xml:space="preserve"> DLA PACJENTÓW</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yellow"/>
              </w:rPr>
            </w:pPr>
            <w:r w:rsidRPr="00AE433D">
              <w:rPr>
                <w:rFonts w:cs="Times New Roman"/>
                <w:sz w:val="20"/>
                <w:szCs w:val="20"/>
              </w:rPr>
              <w:t>Odbiór podpisanego elektronicznie wyniku przez pacjenta w formie PDF (bez danych obrazowych), z powiadomieniem pacjenta przy użyciu wiadomości SMS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Zapewnienie odbioru wyniku przez pacjenta online poprzez stronę internetową po wprowadzeniu danych (PESEL, numer telefonu, kod otrzymany od rejestracji lub poprzez wiadomość SMS)</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Portal Pacjenta - dedykowany webowy system dla pacjentów m.in. możliwość podglądu opisu badania i pobrania opisu badania w wersji</w:t>
            </w:r>
          </w:p>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z podpisem elektronicznym, podgląd statusu zlecenia, historia badań i opisów, powiadomienie pacjenta o dostępnym opisie badania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 xml:space="preserve"> RAPORTY</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Raporty standardowe (Księga Badań, Raport Lekarzy Opisujących, Raport Jednostek Kierujących, Przegląd Pracowni)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Raporty ilościowe pozwalające na okresowe raportowanie liczby zleconych i wykonanych opisów</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Dostęp za pośrednictwem przeglądarki internetowej</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Edytor raportów umożliwiający użytkownikom administracyjnym samodzielne tworzenie własnych zestawień w ramach udostępnionego modelu analitycznego w oparciu o zagregowane dane ze wszystkich pracowni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Eksport raportów do plików Excel, Word, PDF, CSV</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Podział uprawnień do raportów względem stanowisk pracy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PARAMETRY SLA, GWARANCJA, WARUNKI SERWISU</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center" w:pos="6650"/>
              </w:tabs>
              <w:spacing w:line="240" w:lineRule="auto"/>
              <w:rPr>
                <w:rFonts w:cs="Times New Roman"/>
                <w:sz w:val="20"/>
                <w:szCs w:val="20"/>
              </w:rPr>
            </w:pPr>
            <w:r w:rsidRPr="00AE433D">
              <w:rPr>
                <w:rFonts w:cs="Times New Roman"/>
                <w:sz w:val="20"/>
                <w:szCs w:val="20"/>
              </w:rPr>
              <w:t>Zapewniony kanał mailowy i telefoniczny zgłaszania awarii i usterek w trybie: 24/7/365</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Gwarantowana dostępność systemu w skali miesiąca minimum: 99.5%</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Gwarancja i wsparcie w całym okresie licencjonowania systemu w trybie: 24/7/365</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rPr>
            </w:pPr>
            <w:r w:rsidRPr="00AE433D">
              <w:rPr>
                <w:rFonts w:cs="Times New Roman"/>
                <w:sz w:val="20"/>
                <w:szCs w:val="20"/>
              </w:rPr>
              <w:t>Gwarancja braku utraty danych i trwałości ich zapisu na poziomie minimum: 99.999999999%</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spacing w:line="240" w:lineRule="auto"/>
              <w:rPr>
                <w:rFonts w:cs="Times New Roman"/>
                <w:sz w:val="20"/>
                <w:szCs w:val="20"/>
                <w:highlight w:val="cyan"/>
              </w:rPr>
            </w:pPr>
            <w:r w:rsidRPr="00AE433D">
              <w:rPr>
                <w:rFonts w:cs="Times New Roman"/>
                <w:sz w:val="20"/>
                <w:szCs w:val="20"/>
              </w:rPr>
              <w:t>Wykonawca zobowiązuje się do zapewnienia Zamawiającemu przez cały okres trwania umowy wsparcia technicznego dla dostarczanego oprogramowania i wszelkich licencji zależnych od Wykonawcy, udzielanych w celu wykonania umowy, w tym możliwość zainstalowania wszystkich aktualizacji i wersji oprogramowania udostępnianych przez jego producenta oraz wszystkie elementy przewidziane przez producenta dla prawidłowego korzystania z tego oprogramowania. Pod pojęciem „aktualizacji” Zamawiający rozumie jakiekolwiek uaktualnienia oprogramowania wbudowanego lub oprogramowania dostarczonego w związku z zapewnieniem wsparcia technicznego, w tym wyższe lub niższe wersje (</w:t>
            </w:r>
            <w:proofErr w:type="spellStart"/>
            <w:r w:rsidRPr="00AE433D">
              <w:rPr>
                <w:rFonts w:cs="Times New Roman"/>
                <w:sz w:val="20"/>
                <w:szCs w:val="20"/>
              </w:rPr>
              <w:t>upgrade</w:t>
            </w:r>
            <w:proofErr w:type="spellEnd"/>
            <w:r w:rsidRPr="00AE433D">
              <w:rPr>
                <w:rFonts w:cs="Times New Roman"/>
                <w:sz w:val="20"/>
                <w:szCs w:val="20"/>
              </w:rPr>
              <w:t>/</w:t>
            </w:r>
            <w:proofErr w:type="spellStart"/>
            <w:r w:rsidRPr="00AE433D">
              <w:rPr>
                <w:rFonts w:cs="Times New Roman"/>
                <w:sz w:val="20"/>
                <w:szCs w:val="20"/>
              </w:rPr>
              <w:t>downgrade</w:t>
            </w:r>
            <w:proofErr w:type="spellEnd"/>
            <w:r w:rsidRPr="00AE433D">
              <w:rPr>
                <w:rFonts w:cs="Times New Roman"/>
                <w:sz w:val="20"/>
                <w:szCs w:val="20"/>
              </w:rPr>
              <w:t xml:space="preserve">), wydania uzupełniające, </w:t>
            </w:r>
            <w:proofErr w:type="spellStart"/>
            <w:r w:rsidRPr="00AE433D">
              <w:rPr>
                <w:rFonts w:cs="Times New Roman"/>
                <w:sz w:val="20"/>
                <w:szCs w:val="20"/>
              </w:rPr>
              <w:t>patche</w:t>
            </w:r>
            <w:proofErr w:type="spellEnd"/>
            <w:r w:rsidRPr="00AE433D">
              <w:rPr>
                <w:rFonts w:cs="Times New Roman"/>
                <w:sz w:val="20"/>
                <w:szCs w:val="20"/>
              </w:rPr>
              <w:t>, zmiany, nowe wersje, poprawki oraz inne dostosowania zapewniające prawidłowe korzystanie z takiego oprogramowania.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rPr>
                <w:bCs/>
                <w:sz w:val="20"/>
                <w:szCs w:val="20"/>
              </w:rPr>
            </w:pPr>
            <w:r w:rsidRPr="00AE433D">
              <w:rPr>
                <w:bCs/>
                <w:sz w:val="20"/>
                <w:szCs w:val="20"/>
              </w:rPr>
              <w:t>Wykonawca będzie wykonywał aktualizacje oprogramowania przy zachowaniu warunków określających zasady zdalnego dostępu opisane poniżej. Na żądanie Zamawiającego Wykonawca będzie instalował aktualizacje w siedzibie Zamawiającego bez dodatkowych kosztów. Strony akceptują konieczność wykonywania aktualizacji poza standardowymi godzinami pracy Zamawiającego, tj.  godz. 7-15.</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spacing w:line="240" w:lineRule="auto"/>
              <w:rPr>
                <w:rFonts w:cs="Times New Roman"/>
                <w:sz w:val="20"/>
                <w:szCs w:val="20"/>
                <w:highlight w:val="cyan"/>
              </w:rPr>
            </w:pPr>
            <w:r w:rsidRPr="00AE433D">
              <w:rPr>
                <w:rFonts w:cs="Times New Roman"/>
                <w:sz w:val="20"/>
                <w:szCs w:val="20"/>
              </w:rPr>
              <w:t>Wsparcie techniczne dla oprogramowania świadczone będzie przez Wykonawcę lub producenta oprogramowania lub podmiot przez niego autoryzowany w zakresie kompetencji związanych z przedmiotem dostawy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AC3A21">
            <w:pPr>
              <w:pStyle w:val="Default"/>
              <w:numPr>
                <w:ilvl w:val="1"/>
                <w:numId w:val="9"/>
              </w:numPr>
              <w:suppressAutoHyphens w:val="0"/>
              <w:autoSpaceDN w:val="0"/>
              <w:adjustRightInd w:val="0"/>
              <w:rPr>
                <w:rFonts w:ascii="Times New Roman" w:hAnsi="Times New Roman" w:cs="Times New Roman"/>
                <w:sz w:val="20"/>
                <w:szCs w:val="20"/>
              </w:rPr>
            </w:pPr>
            <w:r w:rsidRPr="00AE433D">
              <w:rPr>
                <w:rFonts w:ascii="Times New Roman" w:hAnsi="Times New Roman" w:cs="Times New Roman"/>
                <w:sz w:val="20"/>
                <w:szCs w:val="20"/>
              </w:rPr>
              <w:t>Wsparcie techniczne obejmuje:</w:t>
            </w:r>
          </w:p>
          <w:p w:rsidR="00AC3A21" w:rsidRPr="00AE433D" w:rsidRDefault="00AC3A21" w:rsidP="004453C8">
            <w:pPr>
              <w:pStyle w:val="Default"/>
              <w:rPr>
                <w:rFonts w:ascii="Times New Roman" w:hAnsi="Times New Roman" w:cs="Times New Roman"/>
                <w:sz w:val="20"/>
                <w:szCs w:val="20"/>
              </w:rPr>
            </w:pPr>
            <w:r w:rsidRPr="00AE433D">
              <w:rPr>
                <w:rFonts w:ascii="Times New Roman" w:hAnsi="Times New Roman" w:cs="Times New Roman"/>
                <w:sz w:val="20"/>
                <w:szCs w:val="20"/>
              </w:rPr>
              <w:t xml:space="preserve">a. dostarczanie, instalację i konfigurację aktualizacji funkcjonalnych i wspierających dla Systemu oraz poprawek bezpieczeństwa; </w:t>
            </w:r>
          </w:p>
          <w:p w:rsidR="00AC3A21" w:rsidRPr="00AE433D" w:rsidRDefault="00AC3A21" w:rsidP="00AC3A21">
            <w:pPr>
              <w:pStyle w:val="Default"/>
              <w:numPr>
                <w:ilvl w:val="1"/>
                <w:numId w:val="9"/>
              </w:numPr>
              <w:suppressAutoHyphens w:val="0"/>
              <w:autoSpaceDN w:val="0"/>
              <w:adjustRightInd w:val="0"/>
              <w:rPr>
                <w:rFonts w:ascii="Times New Roman" w:hAnsi="Times New Roman" w:cs="Times New Roman"/>
                <w:sz w:val="20"/>
                <w:szCs w:val="20"/>
              </w:rPr>
            </w:pPr>
            <w:r w:rsidRPr="00AE433D">
              <w:rPr>
                <w:rFonts w:ascii="Times New Roman" w:hAnsi="Times New Roman" w:cs="Times New Roman"/>
                <w:sz w:val="20"/>
                <w:szCs w:val="20"/>
              </w:rPr>
              <w:t>b. dostarczanie, instalację i konfigurację nowych wersji Systemu i technologii obejmujących m.in. poprawki serwisowe, wersje wyższe (</w:t>
            </w:r>
            <w:proofErr w:type="spellStart"/>
            <w:r w:rsidRPr="00AE433D">
              <w:rPr>
                <w:rFonts w:ascii="Times New Roman" w:hAnsi="Times New Roman" w:cs="Times New Roman"/>
                <w:sz w:val="20"/>
                <w:szCs w:val="20"/>
              </w:rPr>
              <w:t>upgrade</w:t>
            </w:r>
            <w:proofErr w:type="spellEnd"/>
            <w:r w:rsidRPr="00AE433D">
              <w:rPr>
                <w:rFonts w:ascii="Times New Roman" w:hAnsi="Times New Roman" w:cs="Times New Roman"/>
                <w:sz w:val="20"/>
                <w:szCs w:val="20"/>
              </w:rPr>
              <w:t>), wersje niższe (</w:t>
            </w:r>
            <w:proofErr w:type="spellStart"/>
            <w:r w:rsidRPr="00AE433D">
              <w:rPr>
                <w:rFonts w:ascii="Times New Roman" w:hAnsi="Times New Roman" w:cs="Times New Roman"/>
                <w:sz w:val="20"/>
                <w:szCs w:val="20"/>
              </w:rPr>
              <w:t>downgrade</w:t>
            </w:r>
            <w:proofErr w:type="spellEnd"/>
            <w:r w:rsidRPr="00AE433D">
              <w:rPr>
                <w:rFonts w:ascii="Times New Roman" w:hAnsi="Times New Roman" w:cs="Times New Roman"/>
                <w:sz w:val="20"/>
                <w:szCs w:val="20"/>
              </w:rPr>
              <w:t xml:space="preserve">), wydania uzupełniające oraz poprawki oprogramowania wybranych wersji produktów </w:t>
            </w:r>
          </w:p>
          <w:p w:rsidR="00AC3A21" w:rsidRPr="00AE433D" w:rsidRDefault="00AC3A21" w:rsidP="00AC3A21">
            <w:pPr>
              <w:pStyle w:val="Default"/>
              <w:numPr>
                <w:ilvl w:val="1"/>
                <w:numId w:val="9"/>
              </w:numPr>
              <w:suppressAutoHyphens w:val="0"/>
              <w:autoSpaceDN w:val="0"/>
              <w:adjustRightInd w:val="0"/>
              <w:rPr>
                <w:rFonts w:ascii="Times New Roman" w:hAnsi="Times New Roman" w:cs="Times New Roman"/>
                <w:sz w:val="20"/>
                <w:szCs w:val="20"/>
              </w:rPr>
            </w:pPr>
            <w:r w:rsidRPr="00AE433D">
              <w:rPr>
                <w:rFonts w:ascii="Times New Roman" w:hAnsi="Times New Roman" w:cs="Times New Roman"/>
                <w:sz w:val="20"/>
                <w:szCs w:val="20"/>
              </w:rPr>
              <w:t>c. dostarczanie, instalację i konfigurację aktualizacji do Systemu wynikających ze zmian przepisów prawa w czasie nie dłuższym niż 3 miesiące od wejścia w życie tych zmian</w:t>
            </w:r>
          </w:p>
          <w:p w:rsidR="00AC3A21" w:rsidRPr="00AE433D" w:rsidRDefault="00AC3A21" w:rsidP="004453C8">
            <w:pPr>
              <w:pStyle w:val="Zawartotabeli"/>
              <w:spacing w:line="240" w:lineRule="auto"/>
              <w:rPr>
                <w:rFonts w:cs="Times New Roman"/>
                <w:sz w:val="22"/>
                <w:szCs w:val="22"/>
              </w:rPr>
            </w:pPr>
            <w:r w:rsidRPr="00AE433D">
              <w:rPr>
                <w:rFonts w:cs="Times New Roman"/>
                <w:sz w:val="20"/>
                <w:szCs w:val="20"/>
              </w:rPr>
              <w:t>d. dostarczanie, instalację i konfigurację aktualizacji do systemu operacyjnego i wszystkich komponentów zainstalowanych na serwerze, niezbędnych do działania Systemu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AC3A21">
            <w:pPr>
              <w:pStyle w:val="Default"/>
              <w:numPr>
                <w:ilvl w:val="1"/>
                <w:numId w:val="9"/>
              </w:numPr>
              <w:suppressAutoHyphens w:val="0"/>
              <w:autoSpaceDN w:val="0"/>
              <w:adjustRightInd w:val="0"/>
              <w:rPr>
                <w:rFonts w:ascii="Times New Roman" w:hAnsi="Times New Roman" w:cs="Times New Roman"/>
                <w:sz w:val="20"/>
                <w:szCs w:val="20"/>
              </w:rPr>
            </w:pPr>
            <w:r w:rsidRPr="00AE433D">
              <w:rPr>
                <w:rFonts w:ascii="Times New Roman" w:hAnsi="Times New Roman" w:cs="Times New Roman"/>
                <w:bCs/>
                <w:sz w:val="20"/>
                <w:szCs w:val="20"/>
              </w:rPr>
              <w:t>W przypadku wejścia w życie w okresie trwania umowy obowiązku stosowania kolejnych wersji słowników ICD-9 i ICD-10, a także słownika ICD-11, Wykonawca zaktualizuje System bez dodatkowych kosztów dla Zamawiającego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rPr>
                <w:bCs/>
                <w:sz w:val="20"/>
                <w:szCs w:val="20"/>
              </w:rPr>
            </w:pPr>
            <w:r w:rsidRPr="00AE433D">
              <w:rPr>
                <w:bCs/>
                <w:sz w:val="20"/>
                <w:szCs w:val="20"/>
              </w:rPr>
              <w:t>Wymagane czasy reakcji oraz napraw na zgłoszenia błędów:</w:t>
            </w:r>
          </w:p>
          <w:p w:rsidR="00AC3A21" w:rsidRPr="00AE433D" w:rsidRDefault="00AC3A21" w:rsidP="004453C8">
            <w:pPr>
              <w:pStyle w:val="Default"/>
              <w:rPr>
                <w:rFonts w:ascii="Times New Roman" w:hAnsi="Times New Roman" w:cs="Times New Roman"/>
                <w:sz w:val="20"/>
                <w:szCs w:val="20"/>
              </w:rPr>
            </w:pPr>
            <w:r w:rsidRPr="00AE433D">
              <w:rPr>
                <w:rFonts w:ascii="Times New Roman" w:hAnsi="Times New Roman" w:cs="Times New Roman"/>
                <w:sz w:val="20"/>
                <w:szCs w:val="20"/>
              </w:rPr>
              <w:t xml:space="preserve">a. </w:t>
            </w:r>
            <w:r w:rsidRPr="00AE433D">
              <w:rPr>
                <w:rFonts w:ascii="Times New Roman" w:hAnsi="Times New Roman" w:cs="Times New Roman"/>
                <w:bCs/>
                <w:sz w:val="20"/>
                <w:szCs w:val="20"/>
              </w:rPr>
              <w:t xml:space="preserve">w przypadku błędu krytycznego (P1), tj. </w:t>
            </w:r>
            <w:r w:rsidRPr="00AE433D">
              <w:rPr>
                <w:rFonts w:ascii="Times New Roman" w:hAnsi="Times New Roman" w:cs="Times New Roman"/>
                <w:sz w:val="20"/>
                <w:szCs w:val="20"/>
              </w:rPr>
              <w:t>usterki powodującej całkowite zatrzymanie Systemu albo uniemożliwiającej korzystanie przez Zamawiającego z podstawowych funkcji Systemu lub powodującej nieprawidłowe przetwarzanie danych przez System:</w:t>
            </w:r>
            <w:r w:rsidRPr="00AE433D">
              <w:rPr>
                <w:rFonts w:ascii="Times New Roman" w:hAnsi="Times New Roman" w:cs="Times New Roman"/>
                <w:sz w:val="20"/>
                <w:szCs w:val="20"/>
              </w:rPr>
              <w:br/>
              <w:t>czas reakcji na zgłoszenie:  max 15 min. od momentu zgłoszenia,</w:t>
            </w:r>
            <w:r w:rsidRPr="00AE433D">
              <w:rPr>
                <w:rFonts w:ascii="Times New Roman" w:hAnsi="Times New Roman" w:cs="Times New Roman"/>
                <w:sz w:val="20"/>
                <w:szCs w:val="20"/>
              </w:rPr>
              <w:br/>
              <w:t>czas usunięcia błędu: max. 6 godz. od momentu zgłoszenia.</w:t>
            </w:r>
          </w:p>
          <w:p w:rsidR="00AC3A21" w:rsidRPr="00AE433D" w:rsidRDefault="00AC3A21" w:rsidP="00AC3A21">
            <w:pPr>
              <w:pStyle w:val="Default"/>
              <w:numPr>
                <w:ilvl w:val="1"/>
                <w:numId w:val="9"/>
              </w:numPr>
              <w:suppressAutoHyphens w:val="0"/>
              <w:autoSpaceDN w:val="0"/>
              <w:adjustRightInd w:val="0"/>
              <w:rPr>
                <w:rFonts w:ascii="Times New Roman" w:hAnsi="Times New Roman" w:cs="Times New Roman"/>
                <w:bCs/>
                <w:sz w:val="20"/>
                <w:szCs w:val="20"/>
              </w:rPr>
            </w:pPr>
            <w:r w:rsidRPr="00AE433D">
              <w:rPr>
                <w:rFonts w:ascii="Times New Roman" w:hAnsi="Times New Roman" w:cs="Times New Roman"/>
                <w:bCs/>
                <w:sz w:val="20"/>
                <w:szCs w:val="20"/>
              </w:rPr>
              <w:t>b. w przypadku błędu pilnego (P2), tj. błędu innego niż błąd krytyczny:</w:t>
            </w:r>
            <w:r w:rsidRPr="00AE433D">
              <w:rPr>
                <w:rFonts w:ascii="Times New Roman" w:hAnsi="Times New Roman" w:cs="Times New Roman"/>
                <w:bCs/>
                <w:sz w:val="20"/>
                <w:szCs w:val="20"/>
              </w:rPr>
              <w:br/>
            </w:r>
            <w:r w:rsidRPr="00AE433D">
              <w:rPr>
                <w:rFonts w:ascii="Times New Roman" w:hAnsi="Times New Roman" w:cs="Times New Roman"/>
                <w:sz w:val="20"/>
                <w:szCs w:val="20"/>
              </w:rPr>
              <w:t>czas reakcji na zgłoszenie:  max. 15 min. od momentu zgłoszenia,</w:t>
            </w:r>
            <w:r w:rsidRPr="00AE433D">
              <w:rPr>
                <w:rFonts w:ascii="Times New Roman" w:hAnsi="Times New Roman" w:cs="Times New Roman"/>
                <w:sz w:val="20"/>
                <w:szCs w:val="20"/>
              </w:rPr>
              <w:br/>
              <w:t>czas usunięcia błędu: max. 36 godz. od momentu zgłoszenia.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rPr>
                <w:bCs/>
                <w:sz w:val="20"/>
                <w:szCs w:val="20"/>
              </w:rPr>
            </w:pPr>
            <w:r w:rsidRPr="00AE433D">
              <w:rPr>
                <w:bCs/>
                <w:sz w:val="20"/>
                <w:szCs w:val="20"/>
              </w:rPr>
              <w:t>W przypadku wystąpienia awarii wymagającej odtworzenia części lub całości Systemu z kopii zapasowych, Wykonawca gwarantuje:</w:t>
            </w:r>
          </w:p>
          <w:p w:rsidR="00AC3A21" w:rsidRPr="00AE433D" w:rsidRDefault="00AC3A21" w:rsidP="004453C8">
            <w:pPr>
              <w:rPr>
                <w:bCs/>
                <w:sz w:val="20"/>
                <w:szCs w:val="20"/>
              </w:rPr>
            </w:pPr>
            <w:r w:rsidRPr="00AE433D">
              <w:rPr>
                <w:bCs/>
                <w:sz w:val="20"/>
                <w:szCs w:val="20"/>
              </w:rPr>
              <w:t>- czas odtwarzania (tzw. RTO), liczony jako czas od wystąpienia błędu krytycznego (P1) do czasu przywrócenia działania Systemu – nie dłuższy niż 6 godzin</w:t>
            </w:r>
          </w:p>
          <w:p w:rsidR="00AC3A21" w:rsidRPr="00AE433D" w:rsidRDefault="00AC3A21" w:rsidP="004453C8">
            <w:pPr>
              <w:rPr>
                <w:bCs/>
                <w:sz w:val="20"/>
                <w:szCs w:val="20"/>
              </w:rPr>
            </w:pPr>
            <w:r w:rsidRPr="00AE433D">
              <w:rPr>
                <w:bCs/>
                <w:sz w:val="20"/>
                <w:szCs w:val="20"/>
              </w:rPr>
              <w:t xml:space="preserve">- utratę danych na poziomie </w:t>
            </w:r>
            <w:proofErr w:type="spellStart"/>
            <w:r w:rsidRPr="00AE433D">
              <w:rPr>
                <w:bCs/>
                <w:sz w:val="20"/>
                <w:szCs w:val="20"/>
              </w:rPr>
              <w:t>Tier</w:t>
            </w:r>
            <w:proofErr w:type="spellEnd"/>
            <w:r w:rsidRPr="00AE433D">
              <w:rPr>
                <w:bCs/>
                <w:sz w:val="20"/>
                <w:szCs w:val="20"/>
              </w:rPr>
              <w:t xml:space="preserve"> 6 (Zero </w:t>
            </w:r>
            <w:proofErr w:type="spellStart"/>
            <w:r w:rsidRPr="00AE433D">
              <w:rPr>
                <w:bCs/>
                <w:sz w:val="20"/>
                <w:szCs w:val="20"/>
              </w:rPr>
              <w:t>or</w:t>
            </w:r>
            <w:proofErr w:type="spellEnd"/>
            <w:r w:rsidRPr="00AE433D">
              <w:rPr>
                <w:bCs/>
                <w:sz w:val="20"/>
                <w:szCs w:val="20"/>
              </w:rPr>
              <w:t xml:space="preserve"> </w:t>
            </w:r>
            <w:proofErr w:type="spellStart"/>
            <w:r w:rsidRPr="00AE433D">
              <w:rPr>
                <w:bCs/>
                <w:sz w:val="20"/>
                <w:szCs w:val="20"/>
              </w:rPr>
              <w:t>near</w:t>
            </w:r>
            <w:proofErr w:type="spellEnd"/>
            <w:r w:rsidRPr="00AE433D">
              <w:rPr>
                <w:bCs/>
                <w:sz w:val="20"/>
                <w:szCs w:val="20"/>
              </w:rPr>
              <w:t xml:space="preserve">-zero data </w:t>
            </w:r>
            <w:proofErr w:type="spellStart"/>
            <w:r w:rsidRPr="00AE433D">
              <w:rPr>
                <w:bCs/>
                <w:sz w:val="20"/>
                <w:szCs w:val="20"/>
              </w:rPr>
              <w:t>loss</w:t>
            </w:r>
            <w:proofErr w:type="spellEnd"/>
            <w:r w:rsidRPr="00AE433D">
              <w:rPr>
                <w:bCs/>
                <w:sz w:val="20"/>
                <w:szCs w:val="20"/>
              </w:rPr>
              <w:t>) uwzgledniającą:</w:t>
            </w:r>
          </w:p>
          <w:p w:rsidR="00AC3A21" w:rsidRPr="00AE433D" w:rsidRDefault="00AC3A21" w:rsidP="004453C8">
            <w:pPr>
              <w:rPr>
                <w:bCs/>
                <w:sz w:val="20"/>
                <w:szCs w:val="20"/>
              </w:rPr>
            </w:pPr>
            <w:r w:rsidRPr="00AE433D">
              <w:rPr>
                <w:bCs/>
                <w:sz w:val="20"/>
                <w:szCs w:val="20"/>
              </w:rPr>
              <w:t>a. W sytuacji awarii jednego centrum przetwarzania danych, nie większą niż 0 minut, liczonych jako czas od ostatniej kopii zapasowej do czasu wystąpienia błędu krytycznego (P1)</w:t>
            </w:r>
          </w:p>
          <w:p w:rsidR="00AC3A21" w:rsidRPr="00AE433D" w:rsidRDefault="00AC3A21" w:rsidP="004453C8">
            <w:pPr>
              <w:rPr>
                <w:bCs/>
              </w:rPr>
            </w:pPr>
            <w:r w:rsidRPr="00AE433D">
              <w:rPr>
                <w:bCs/>
                <w:sz w:val="20"/>
                <w:szCs w:val="20"/>
              </w:rPr>
              <w:t>b. W sytuacji całkowitej awarii obu centrów przetwarzania danych, nie większą niż 30 minut, liczonych jako czas od ostatniej kopii zapasowej do czasu wystąpienia błędu krytycznego (P1)</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INTEGRACJE</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Uruchomienie integracji z Systemem Informacji Medycznej (P1) oraz systemem Zdarzeń Medycznych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Uruchomienie integracji z systemem HIS – AMMS firmy Asseco za pomocą protokołu HL7, w tym przynajmniej wymienione poniżej funkcjonalności:</w:t>
            </w:r>
          </w:p>
          <w:p w:rsidR="00AC3A21" w:rsidRPr="00AE433D" w:rsidRDefault="00AC3A21" w:rsidP="00AC3A21">
            <w:pPr>
              <w:pStyle w:val="Akapitzlist"/>
              <w:numPr>
                <w:ilvl w:val="0"/>
                <w:numId w:val="6"/>
              </w:numPr>
              <w:ind w:left="518" w:hanging="284"/>
              <w:rPr>
                <w:sz w:val="20"/>
                <w:szCs w:val="20"/>
              </w:rPr>
            </w:pPr>
            <w:r w:rsidRPr="00AE433D">
              <w:rPr>
                <w:sz w:val="20"/>
                <w:szCs w:val="20"/>
              </w:rPr>
              <w:t>obsługa rejestracji zleceń na badania diagnostyki obrazowej oraz opisywanie badań we współpracy z urządzeniami diagnostycznymi oraz archiwum obrazowym PACS,</w:t>
            </w:r>
          </w:p>
          <w:p w:rsidR="00AC3A21" w:rsidRPr="00AE433D" w:rsidRDefault="00AC3A21" w:rsidP="00AC3A21">
            <w:pPr>
              <w:pStyle w:val="Akapitzlist"/>
              <w:numPr>
                <w:ilvl w:val="0"/>
                <w:numId w:val="6"/>
              </w:numPr>
              <w:ind w:left="518" w:hanging="284"/>
              <w:rPr>
                <w:sz w:val="20"/>
                <w:szCs w:val="20"/>
              </w:rPr>
            </w:pPr>
            <w:r w:rsidRPr="00AE433D">
              <w:rPr>
                <w:sz w:val="20"/>
                <w:szCs w:val="20"/>
              </w:rPr>
              <w:t>przygotowanie listy roboczej dla urządzeń diagnostycznych na podstawie zleceń wygenerowanych w AMMS,</w:t>
            </w:r>
          </w:p>
          <w:p w:rsidR="00AC3A21" w:rsidRPr="00AE433D" w:rsidRDefault="00AC3A21" w:rsidP="00AC3A21">
            <w:pPr>
              <w:pStyle w:val="Akapitzlist"/>
              <w:numPr>
                <w:ilvl w:val="0"/>
                <w:numId w:val="6"/>
              </w:numPr>
              <w:ind w:left="518" w:hanging="284"/>
              <w:rPr>
                <w:sz w:val="20"/>
                <w:szCs w:val="20"/>
              </w:rPr>
            </w:pPr>
            <w:r w:rsidRPr="00AE433D">
              <w:rPr>
                <w:sz w:val="20"/>
                <w:szCs w:val="20"/>
              </w:rPr>
              <w:t>automatyczna zmiana statusów zleceń w AMMS po realizacji zlecenia na urządzeniu diagnostycznym,</w:t>
            </w:r>
          </w:p>
          <w:p w:rsidR="00AC3A21" w:rsidRPr="00AE433D" w:rsidRDefault="00AC3A21" w:rsidP="00AC3A21">
            <w:pPr>
              <w:pStyle w:val="Akapitzlist"/>
              <w:numPr>
                <w:ilvl w:val="0"/>
                <w:numId w:val="6"/>
              </w:numPr>
              <w:ind w:left="518" w:hanging="284"/>
              <w:rPr>
                <w:sz w:val="20"/>
                <w:szCs w:val="20"/>
              </w:rPr>
            </w:pPr>
            <w:r w:rsidRPr="00AE433D">
              <w:rPr>
                <w:sz w:val="20"/>
                <w:szCs w:val="20"/>
              </w:rPr>
              <w:t>aktualizacja (poprawianie) danych pacjenta i badania w systemie po wprowadzeniu zmian w AMMS.</w:t>
            </w:r>
          </w:p>
          <w:p w:rsidR="00AC3A21" w:rsidRPr="00AE433D" w:rsidRDefault="00AC3A21" w:rsidP="004453C8">
            <w:pPr>
              <w:rPr>
                <w:sz w:val="20"/>
                <w:szCs w:val="20"/>
              </w:rPr>
            </w:pPr>
            <w:r w:rsidRPr="00AE433D">
              <w:rPr>
                <w:sz w:val="20"/>
                <w:szCs w:val="20"/>
              </w:rPr>
              <w:t>Wymagania dla integracji:</w:t>
            </w:r>
          </w:p>
          <w:p w:rsidR="00AC3A21" w:rsidRPr="00AE433D" w:rsidRDefault="00AC3A21" w:rsidP="00AC3A21">
            <w:pPr>
              <w:pStyle w:val="Akapitzlist"/>
              <w:numPr>
                <w:ilvl w:val="0"/>
                <w:numId w:val="8"/>
              </w:numPr>
              <w:rPr>
                <w:sz w:val="20"/>
                <w:szCs w:val="20"/>
              </w:rPr>
            </w:pPr>
            <w:r w:rsidRPr="00AE433D">
              <w:rPr>
                <w:sz w:val="20"/>
                <w:szCs w:val="20"/>
              </w:rPr>
              <w:t>Warstwa transportowa oparta jest o protokół TCP/IP z potwierdzeniami transportowymi ACK.</w:t>
            </w:r>
          </w:p>
          <w:p w:rsidR="00AC3A21" w:rsidRPr="00AE433D" w:rsidRDefault="00AC3A21" w:rsidP="00AC3A21">
            <w:pPr>
              <w:pStyle w:val="Akapitzlist"/>
              <w:numPr>
                <w:ilvl w:val="0"/>
                <w:numId w:val="8"/>
              </w:numPr>
              <w:rPr>
                <w:sz w:val="20"/>
                <w:szCs w:val="20"/>
              </w:rPr>
            </w:pPr>
            <w:r w:rsidRPr="00AE433D">
              <w:rPr>
                <w:sz w:val="20"/>
                <w:szCs w:val="20"/>
              </w:rPr>
              <w:t xml:space="preserve">AMMS wysyła komunikaty HL7 informujące system radiografii cyfrowej o dopisaniu (ADT^A28) lub modyfikacji (ADT^A31) danych pacjenta. Dodatkowo wysyłany jest komunikat połączenia dwóch rekordów pacjenta w jeden wpis (ADT^A30). </w:t>
            </w:r>
          </w:p>
          <w:p w:rsidR="00AC3A21" w:rsidRPr="00AE433D" w:rsidRDefault="00AC3A21" w:rsidP="00AC3A21">
            <w:pPr>
              <w:pStyle w:val="Akapitzlist"/>
              <w:numPr>
                <w:ilvl w:val="0"/>
                <w:numId w:val="8"/>
              </w:numPr>
              <w:rPr>
                <w:sz w:val="20"/>
                <w:szCs w:val="20"/>
              </w:rPr>
            </w:pPr>
            <w:r w:rsidRPr="00AE433D">
              <w:rPr>
                <w:sz w:val="20"/>
                <w:szCs w:val="20"/>
              </w:rPr>
              <w:t>AMMS wysyła komunikaty dotyczące zleceń: Nowe zlecenie, Anulowanie: ORM^O01.</w:t>
            </w:r>
          </w:p>
          <w:p w:rsidR="00AC3A21" w:rsidRPr="00AE433D" w:rsidRDefault="00AC3A21" w:rsidP="00AC3A21">
            <w:pPr>
              <w:pStyle w:val="Akapitzlist"/>
              <w:numPr>
                <w:ilvl w:val="0"/>
                <w:numId w:val="7"/>
              </w:numPr>
              <w:rPr>
                <w:sz w:val="20"/>
                <w:szCs w:val="20"/>
              </w:rPr>
            </w:pPr>
            <w:r w:rsidRPr="00AE433D">
              <w:rPr>
                <w:sz w:val="20"/>
                <w:szCs w:val="20"/>
              </w:rPr>
              <w:t>System radiografii cyfrowej odsyła komunikat ORM^O01 zmiany stanu zlecenia.</w:t>
            </w:r>
          </w:p>
          <w:p w:rsidR="00AC3A21" w:rsidRPr="00AE433D" w:rsidRDefault="00AC3A21" w:rsidP="00AC3A21">
            <w:pPr>
              <w:pStyle w:val="Akapitzlist"/>
              <w:numPr>
                <w:ilvl w:val="0"/>
                <w:numId w:val="7"/>
              </w:numPr>
              <w:rPr>
                <w:sz w:val="20"/>
                <w:szCs w:val="20"/>
              </w:rPr>
            </w:pPr>
            <w:r w:rsidRPr="00AE433D">
              <w:rPr>
                <w:sz w:val="20"/>
                <w:szCs w:val="20"/>
              </w:rPr>
              <w:t>Po realizacji system generuje komunikat ORM^O01 do AMMS  informujący o wykonaniu badania.</w:t>
            </w:r>
          </w:p>
          <w:p w:rsidR="00AC3A21" w:rsidRPr="00AE433D" w:rsidRDefault="00AC3A21" w:rsidP="004453C8">
            <w:pPr>
              <w:pStyle w:val="Akapitzlist"/>
              <w:rPr>
                <w:sz w:val="20"/>
                <w:szCs w:val="20"/>
              </w:rPr>
            </w:pPr>
            <w:r w:rsidRPr="00AE433D">
              <w:rPr>
                <w:sz w:val="20"/>
                <w:szCs w:val="20"/>
              </w:rPr>
              <w:t>Pola komunikatu HL7: ORC.1=SC, ORC.5=CM (zmienią status zlecenia w AMMS na NWYK (wykonane nieautoryzowane).</w:t>
            </w:r>
          </w:p>
          <w:p w:rsidR="00AC3A21" w:rsidRPr="00AE433D" w:rsidRDefault="00AC3A21" w:rsidP="00AC3A21">
            <w:pPr>
              <w:pStyle w:val="Akapitzlist"/>
              <w:numPr>
                <w:ilvl w:val="0"/>
                <w:numId w:val="7"/>
              </w:numPr>
              <w:rPr>
                <w:sz w:val="20"/>
                <w:szCs w:val="20"/>
              </w:rPr>
            </w:pPr>
            <w:r w:rsidRPr="00AE433D">
              <w:rPr>
                <w:sz w:val="20"/>
                <w:szCs w:val="20"/>
              </w:rPr>
              <w:t>Po wykonaniu opisu badania system generuje komunikat ORU^R01 do AMMS informujący o autoryzowaniu badania. Zmiana statusu zlecenia w AMMS na WYKO (wykonane autoryzowane).</w:t>
            </w:r>
          </w:p>
          <w:p w:rsidR="00AC3A21" w:rsidRPr="00AE433D" w:rsidRDefault="00AC3A21" w:rsidP="00AC3A21">
            <w:pPr>
              <w:pStyle w:val="Akapitzlist"/>
              <w:numPr>
                <w:ilvl w:val="0"/>
                <w:numId w:val="7"/>
              </w:numPr>
              <w:rPr>
                <w:sz w:val="20"/>
                <w:szCs w:val="20"/>
              </w:rPr>
            </w:pPr>
            <w:r w:rsidRPr="00AE433D">
              <w:rPr>
                <w:sz w:val="20"/>
                <w:szCs w:val="20"/>
              </w:rPr>
              <w:t>Zmiana wyniku (opisu badania) przez lekarza radiologa powoduje wygenerowanie przez system komunikatu ORU^R01 do AMMS, zawierającego poprawiony wynik.</w:t>
            </w:r>
          </w:p>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Wykonawca ponosi pełne koszty integracji z systemem AMMS niezbędne do wykonania zarówno przez oferenta, jak i koszty prac do wykonania przez firmę Asseco, w tym koszty odpowiednich licencji. Zamawiający nie uczestniczy w zlecaniu jakichkolwiek prac związanych z wdrożeniem firmie Asseco.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Uruchomienie integracji z repozytorium Elektronicznej Dokumentacji Medycznej firmy Asseco</w:t>
            </w:r>
          </w:p>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 xml:space="preserve">Przesyłanie do repozytorium EDM podpisanych elektronicznie wyników (opisów) badań w formacie PIK HL7 CDA z wykorzystaniem protokołu HL7. </w:t>
            </w:r>
          </w:p>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Wykonawca ponosi pełne koszty integracji z EDM niezbędne do wykonania zarówno przez oferenta, jak i koszty prac do wykonania przez firmę Asseco, w tym koszty odpowiednich licencji. Zamawiający nie uczestniczy w zlecaniu jakichkolwiek prac związanych z wdrożeniem firmie Asseco.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Zamawiający zastrzega, że w przypadku jakichkolwiek zmian po stronie platformy P1 dotyczących wymiany danych pomiędzy systemem</w:t>
            </w:r>
          </w:p>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RIS a w/w platformami Wykonawca jest zobowiązany do uwzględnienia tych zmian zgodnie z udostępnianą dokumentacją techniczną w czasie posiadania licencji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 xml:space="preserve">Uruchomienie integracji z posiadanym przez Zamawiającego systemem PACS firmy </w:t>
            </w:r>
            <w:proofErr w:type="spellStart"/>
            <w:r w:rsidRPr="00AE433D">
              <w:rPr>
                <w:rFonts w:cs="Times New Roman"/>
                <w:sz w:val="20"/>
                <w:szCs w:val="20"/>
              </w:rPr>
              <w:t>Agfa</w:t>
            </w:r>
            <w:proofErr w:type="spellEnd"/>
            <w:r w:rsidRPr="00AE433D">
              <w:rPr>
                <w:rFonts w:cs="Times New Roman"/>
                <w:sz w:val="20"/>
                <w:szCs w:val="20"/>
              </w:rPr>
              <w:t xml:space="preserve"> (EI):</w:t>
            </w:r>
          </w:p>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 xml:space="preserve">Na poziomie DICOM: </w:t>
            </w:r>
          </w:p>
          <w:p w:rsidR="00AC3A21" w:rsidRPr="00AE433D" w:rsidRDefault="00AC3A21" w:rsidP="00AC3A21">
            <w:pPr>
              <w:pStyle w:val="Akapitzlist"/>
              <w:numPr>
                <w:ilvl w:val="0"/>
                <w:numId w:val="8"/>
              </w:numPr>
              <w:rPr>
                <w:sz w:val="20"/>
                <w:szCs w:val="20"/>
              </w:rPr>
            </w:pPr>
            <w:r w:rsidRPr="00AE433D">
              <w:rPr>
                <w:sz w:val="20"/>
                <w:szCs w:val="20"/>
              </w:rPr>
              <w:t xml:space="preserve">System PACS wysyła otrzymane badania do posiadanego systemu PACS firmy AGFA za pomocą mechanizmu DICOM </w:t>
            </w:r>
            <w:proofErr w:type="spellStart"/>
            <w:r w:rsidRPr="00AE433D">
              <w:rPr>
                <w:sz w:val="20"/>
                <w:szCs w:val="20"/>
              </w:rPr>
              <w:t>autorouting</w:t>
            </w:r>
            <w:proofErr w:type="spellEnd"/>
            <w:r w:rsidRPr="00AE433D">
              <w:rPr>
                <w:sz w:val="20"/>
                <w:szCs w:val="20"/>
              </w:rPr>
              <w:t xml:space="preserve"> z wykorzystaniem mechanizmu potwierdzeń DICOM Storage </w:t>
            </w:r>
            <w:proofErr w:type="spellStart"/>
            <w:r w:rsidRPr="00AE433D">
              <w:rPr>
                <w:sz w:val="20"/>
                <w:szCs w:val="20"/>
              </w:rPr>
              <w:t>Commitment</w:t>
            </w:r>
            <w:proofErr w:type="spellEnd"/>
            <w:r w:rsidRPr="00AE433D">
              <w:rPr>
                <w:sz w:val="20"/>
                <w:szCs w:val="20"/>
              </w:rPr>
              <w:t>. Niedopuszczalna jest zmiana/nadpisywanie jakichkolwiek nagłówków DICOM (</w:t>
            </w:r>
            <w:proofErr w:type="spellStart"/>
            <w:r w:rsidRPr="00AE433D">
              <w:rPr>
                <w:sz w:val="20"/>
                <w:szCs w:val="20"/>
              </w:rPr>
              <w:t>tag</w:t>
            </w:r>
            <w:proofErr w:type="spellEnd"/>
            <w:r w:rsidRPr="00AE433D">
              <w:rPr>
                <w:sz w:val="20"/>
                <w:szCs w:val="20"/>
              </w:rPr>
              <w:t>) przez system PACS w stosunku do nagłówków badań wysłanych przez urządzeni,</w:t>
            </w:r>
          </w:p>
          <w:p w:rsidR="00AC3A21" w:rsidRPr="00AE433D" w:rsidRDefault="00AC3A21" w:rsidP="00AC3A21">
            <w:pPr>
              <w:pStyle w:val="Akapitzlist"/>
              <w:numPr>
                <w:ilvl w:val="0"/>
                <w:numId w:val="8"/>
              </w:numPr>
              <w:rPr>
                <w:sz w:val="20"/>
                <w:szCs w:val="20"/>
              </w:rPr>
            </w:pPr>
            <w:r w:rsidRPr="00AE433D">
              <w:rPr>
                <w:sz w:val="20"/>
                <w:szCs w:val="20"/>
              </w:rPr>
              <w:t>System PACS automatycznie odpytuje posiadany system PACS firmy (</w:t>
            </w:r>
            <w:proofErr w:type="spellStart"/>
            <w:r w:rsidRPr="00AE433D">
              <w:rPr>
                <w:sz w:val="20"/>
                <w:szCs w:val="20"/>
              </w:rPr>
              <w:t>Agfa</w:t>
            </w:r>
            <w:proofErr w:type="spellEnd"/>
            <w:r w:rsidRPr="00AE433D">
              <w:rPr>
                <w:sz w:val="20"/>
                <w:szCs w:val="20"/>
              </w:rPr>
              <w:t>) o wszystkie badania historyczne (poprzednie)</w:t>
            </w:r>
          </w:p>
          <w:p w:rsidR="00AC3A21" w:rsidRPr="00AE433D" w:rsidRDefault="00AC3A21" w:rsidP="004453C8">
            <w:pPr>
              <w:rPr>
                <w:sz w:val="20"/>
                <w:szCs w:val="20"/>
              </w:rPr>
            </w:pPr>
            <w:r w:rsidRPr="00AE433D">
              <w:rPr>
                <w:sz w:val="20"/>
                <w:szCs w:val="20"/>
              </w:rPr>
              <w:t>Na poziomie HL7:</w:t>
            </w:r>
          </w:p>
          <w:p w:rsidR="00AC3A21" w:rsidRPr="00AE433D" w:rsidRDefault="00AC3A21" w:rsidP="00AC3A21">
            <w:pPr>
              <w:pStyle w:val="Akapitzlist"/>
              <w:numPr>
                <w:ilvl w:val="0"/>
                <w:numId w:val="8"/>
              </w:numPr>
              <w:rPr>
                <w:sz w:val="20"/>
                <w:szCs w:val="20"/>
              </w:rPr>
            </w:pPr>
            <w:r w:rsidRPr="00AE433D">
              <w:rPr>
                <w:sz w:val="20"/>
                <w:szCs w:val="20"/>
              </w:rPr>
              <w:t>Warstwa transportowa oparta jest o protokół TCP/IP z potwierdzeniami transportowymi ACK.</w:t>
            </w:r>
          </w:p>
          <w:p w:rsidR="00AC3A21" w:rsidRPr="00AE433D" w:rsidRDefault="00AC3A21" w:rsidP="00AC3A21">
            <w:pPr>
              <w:pStyle w:val="Akapitzlist"/>
              <w:numPr>
                <w:ilvl w:val="0"/>
                <w:numId w:val="8"/>
              </w:numPr>
              <w:rPr>
                <w:sz w:val="20"/>
                <w:szCs w:val="20"/>
              </w:rPr>
            </w:pPr>
            <w:r w:rsidRPr="00AE433D">
              <w:rPr>
                <w:sz w:val="20"/>
                <w:szCs w:val="20"/>
              </w:rPr>
              <w:t xml:space="preserve">System PACS wysyła komunikaty HL7 informujące system PACS firmy AGFA o dopisaniu (ADT^A28) lub modyfikacji (ADT^A31) danych pacjenta. Dodatkowo wysyłany jest komunikat połączenia dwóch rekordów pacjenta w jeden wpis (ADT^A30). </w:t>
            </w:r>
          </w:p>
          <w:p w:rsidR="00AC3A21" w:rsidRPr="00AE433D" w:rsidRDefault="00AC3A21" w:rsidP="00AC3A21">
            <w:pPr>
              <w:pStyle w:val="Akapitzlist"/>
              <w:numPr>
                <w:ilvl w:val="0"/>
                <w:numId w:val="8"/>
              </w:numPr>
              <w:rPr>
                <w:sz w:val="20"/>
                <w:szCs w:val="20"/>
              </w:rPr>
            </w:pPr>
            <w:r w:rsidRPr="00AE433D">
              <w:rPr>
                <w:sz w:val="20"/>
                <w:szCs w:val="20"/>
              </w:rPr>
              <w:t>System PACS wysyła komunikaty dotyczące zleceń: Nowe zlecenie, Anulowanie: ORM^O01.</w:t>
            </w:r>
          </w:p>
          <w:p w:rsidR="00AC3A21" w:rsidRPr="00AE433D" w:rsidRDefault="00AC3A21" w:rsidP="00AC3A21">
            <w:pPr>
              <w:pStyle w:val="Akapitzlist"/>
              <w:numPr>
                <w:ilvl w:val="0"/>
                <w:numId w:val="7"/>
              </w:numPr>
              <w:rPr>
                <w:sz w:val="20"/>
                <w:szCs w:val="20"/>
              </w:rPr>
            </w:pPr>
            <w:r w:rsidRPr="00AE433D">
              <w:rPr>
                <w:sz w:val="20"/>
                <w:szCs w:val="20"/>
              </w:rPr>
              <w:t>Po realizacji system PACS generuje komunikat ORM^O01 do systemu PACS firmy AGFA informujący o wykonaniu badania.</w:t>
            </w:r>
          </w:p>
          <w:p w:rsidR="00AC3A21" w:rsidRPr="00AE433D" w:rsidRDefault="00AC3A21" w:rsidP="004453C8">
            <w:pPr>
              <w:pStyle w:val="Akapitzlist"/>
              <w:rPr>
                <w:sz w:val="20"/>
                <w:szCs w:val="20"/>
              </w:rPr>
            </w:pPr>
            <w:r w:rsidRPr="00AE433D">
              <w:rPr>
                <w:sz w:val="20"/>
                <w:szCs w:val="20"/>
              </w:rPr>
              <w:t>Pola komunikatu HL7: ORC.1=SC, ORC.5=CM (zmienią status zlecenia).</w:t>
            </w:r>
          </w:p>
          <w:p w:rsidR="00AC3A21" w:rsidRPr="00AE433D" w:rsidRDefault="00AC3A21" w:rsidP="00AC3A21">
            <w:pPr>
              <w:pStyle w:val="Akapitzlist"/>
              <w:numPr>
                <w:ilvl w:val="0"/>
                <w:numId w:val="7"/>
              </w:numPr>
              <w:rPr>
                <w:sz w:val="20"/>
                <w:szCs w:val="20"/>
              </w:rPr>
            </w:pPr>
            <w:r w:rsidRPr="00AE433D">
              <w:rPr>
                <w:sz w:val="20"/>
                <w:szCs w:val="20"/>
              </w:rPr>
              <w:t>Po wykonaniu opisu badania system PACS generuje komunikat ORU^R01 do systemu PACS firmy AGFA informujący o autoryzowaniu badania. Zmiana statusu zlecenia w systemu PACS firmy AGFA na OPISANE.</w:t>
            </w:r>
          </w:p>
          <w:p w:rsidR="00AC3A21" w:rsidRPr="00AE433D" w:rsidRDefault="00AC3A21" w:rsidP="00AC3A21">
            <w:pPr>
              <w:pStyle w:val="Akapitzlist"/>
              <w:numPr>
                <w:ilvl w:val="0"/>
                <w:numId w:val="7"/>
              </w:numPr>
              <w:rPr>
                <w:sz w:val="20"/>
                <w:szCs w:val="20"/>
              </w:rPr>
            </w:pPr>
            <w:r w:rsidRPr="00AE433D">
              <w:rPr>
                <w:sz w:val="20"/>
                <w:szCs w:val="20"/>
              </w:rPr>
              <w:t>Zmiana wyniku (opisu badania) przez lekarza radiologa powoduje wygenerowanie przez system komunikatu ORU^R01 do systemu PACS firmy AGFA, zawierającego poprawiony wynik.</w:t>
            </w:r>
          </w:p>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Wykonawca ponosi pełne koszty integracji z systemem PACS firmy AGFA niezbędne do wykonania zarówno przez oferenta, jak i koszty prac do wykonania przez firmę AGFA, w tym koszty odpowiednich licencji. Zamawiający nie uczestniczy w zlecaniu jakichkolwiek prac związanych z wdrożeniem firmie AGFA.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MIGRACJA DANYCH</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center" w:pos="6650"/>
              </w:tabs>
              <w:spacing w:line="240" w:lineRule="auto"/>
              <w:rPr>
                <w:rFonts w:cs="Times New Roman"/>
                <w:sz w:val="20"/>
                <w:szCs w:val="20"/>
                <w:highlight w:val="yellow"/>
              </w:rPr>
            </w:pPr>
            <w:r w:rsidRPr="00AE433D">
              <w:rPr>
                <w:rFonts w:cs="Times New Roman"/>
                <w:sz w:val="20"/>
                <w:szCs w:val="20"/>
              </w:rPr>
              <w:t xml:space="preserve">Migracja historycznych danych DICOM z systemu PACS firmy </w:t>
            </w:r>
            <w:proofErr w:type="spellStart"/>
            <w:r w:rsidRPr="00AE433D">
              <w:rPr>
                <w:rFonts w:cs="Times New Roman"/>
                <w:sz w:val="20"/>
                <w:szCs w:val="20"/>
              </w:rPr>
              <w:t>Agfa</w:t>
            </w:r>
            <w:proofErr w:type="spellEnd"/>
            <w:r w:rsidRPr="00AE433D">
              <w:rPr>
                <w:rFonts w:cs="Times New Roman"/>
                <w:sz w:val="20"/>
                <w:szCs w:val="20"/>
              </w:rPr>
              <w:t xml:space="preserve"> z okresu ostatnich 2 lat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W procesie planowania i realizowania migracji danych wymagane jest zaplanowanie i przeprowadzenie procesu migracji danych przez Wykonawcę poprzedzając weryfikacją poprawności danych, następnie w przypadku poprawnych danych migracja do systemu produkcyjnego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Wykonawca przeprowadzać będzie migracje w siedzibie Zamawiającego. Po wykonaniu migracji, wszelkie dane pozyskane w toku migracji przez Wykonawcę zamówienia muszą zostać usunięte ze wszystkich nośników Wykonawcy w sposób uniemożliwiający ich odzyskanie.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pStyle w:val="Zawartotabeli"/>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DODATKOWE FUNKCJE</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 xml:space="preserve">Funkcja szybkiego pobrania i otwarcia obrazów DICOM na stacji roboczej </w:t>
            </w:r>
            <w:proofErr w:type="spellStart"/>
            <w:r w:rsidRPr="00AE433D">
              <w:rPr>
                <w:rFonts w:cs="Times New Roman"/>
                <w:sz w:val="20"/>
                <w:szCs w:val="20"/>
              </w:rPr>
              <w:t>OsiriX</w:t>
            </w:r>
            <w:proofErr w:type="spellEnd"/>
            <w:r w:rsidRPr="00AE433D">
              <w:rPr>
                <w:rFonts w:cs="Times New Roman"/>
                <w:sz w:val="20"/>
                <w:szCs w:val="20"/>
              </w:rPr>
              <w:t xml:space="preserve"> MD, </w:t>
            </w:r>
            <w:proofErr w:type="spellStart"/>
            <w:r w:rsidRPr="00AE433D">
              <w:rPr>
                <w:rFonts w:cs="Times New Roman"/>
                <w:sz w:val="20"/>
                <w:szCs w:val="20"/>
              </w:rPr>
              <w:t>syngo.via</w:t>
            </w:r>
            <w:proofErr w:type="spellEnd"/>
            <w:r w:rsidRPr="00AE433D">
              <w:rPr>
                <w:rFonts w:cs="Times New Roman"/>
                <w:sz w:val="20"/>
                <w:szCs w:val="20"/>
              </w:rPr>
              <w:t xml:space="preserve"> oraz GE AW Server za pomocą jednego kliknięcia z poziomu opisu badania w systemie.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widowControl w:val="0"/>
              <w:ind w:left="284"/>
              <w:jc w:val="center"/>
              <w:rPr>
                <w:sz w:val="20"/>
                <w:szCs w:val="20"/>
              </w:rPr>
            </w:pPr>
            <w:r w:rsidRPr="00AE433D">
              <w:rPr>
                <w:sz w:val="20"/>
                <w:szCs w:val="20"/>
              </w:rPr>
              <w:t>Tak / Nie</w:t>
            </w:r>
          </w:p>
          <w:p w:rsidR="00AC3A21" w:rsidRPr="00AE433D" w:rsidRDefault="00AC3A21" w:rsidP="004453C8">
            <w:pPr>
              <w:pStyle w:val="Zawartotabeli"/>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widowControl w:val="0"/>
              <w:jc w:val="center"/>
              <w:rPr>
                <w:sz w:val="20"/>
                <w:szCs w:val="20"/>
              </w:rPr>
            </w:pPr>
            <w:r w:rsidRPr="00AE433D">
              <w:rPr>
                <w:sz w:val="20"/>
                <w:szCs w:val="20"/>
              </w:rPr>
              <w:t>Tak / Nie</w:t>
            </w:r>
            <w:r w:rsidRPr="007C37EF">
              <w:rPr>
                <w:sz w:val="20"/>
                <w:szCs w:val="20"/>
              </w:rPr>
              <w:t xml:space="preserve"> </w:t>
            </w:r>
            <w:r w:rsidRPr="002831B2">
              <w:rPr>
                <w:sz w:val="18"/>
                <w:szCs w:val="18"/>
                <w:vertAlign w:val="superscript"/>
                <w:lang w:eastAsia="zh-CN"/>
              </w:rPr>
              <w:footnoteReference w:id="1"/>
            </w:r>
            <w:r w:rsidRPr="002831B2">
              <w:rPr>
                <w:sz w:val="18"/>
                <w:szCs w:val="18"/>
                <w:lang w:eastAsia="zh-CN"/>
              </w:rPr>
              <w:t xml:space="preserve"> </w:t>
            </w:r>
            <w:r w:rsidRPr="007C37EF">
              <w:rPr>
                <w:sz w:val="20"/>
                <w:szCs w:val="20"/>
              </w:rPr>
              <w:t xml:space="preserve"> </w:t>
            </w:r>
          </w:p>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 xml:space="preserve">NIE – 0pkt Tak- </w:t>
            </w:r>
            <w:r w:rsidR="006A64C6">
              <w:rPr>
                <w:rFonts w:cs="Times New Roman"/>
                <w:sz w:val="20"/>
                <w:szCs w:val="20"/>
              </w:rPr>
              <w:t>5</w:t>
            </w:r>
            <w:r w:rsidRPr="00AE433D">
              <w:rPr>
                <w:rFonts w:cs="Times New Roman"/>
                <w:sz w:val="20"/>
                <w:szCs w:val="20"/>
              </w:rPr>
              <w:t xml:space="preserve"> pkt</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Funkcja udostępniania obrazów dla pacjentów - możliwość generowania linka HTTPS pozwalającego na dostęp do obrazów z dowolnego miejsca z użyciem wbudowanej webowej przeglądarki referencyjnej obrazów DICOM z funkcją śledzenia historii dostępu.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widowControl w:val="0"/>
              <w:ind w:left="284"/>
              <w:jc w:val="center"/>
              <w:rPr>
                <w:sz w:val="20"/>
                <w:szCs w:val="20"/>
              </w:rPr>
            </w:pPr>
            <w:r w:rsidRPr="00AE433D">
              <w:rPr>
                <w:sz w:val="20"/>
                <w:szCs w:val="20"/>
              </w:rPr>
              <w:t>Tak / Nie</w:t>
            </w:r>
          </w:p>
          <w:p w:rsidR="00AC3A21" w:rsidRPr="00AE433D" w:rsidRDefault="00AC3A21" w:rsidP="004453C8">
            <w:pPr>
              <w:widowControl w:val="0"/>
              <w:ind w:left="284"/>
              <w:jc w:val="center"/>
              <w:rPr>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widowControl w:val="0"/>
              <w:ind w:left="-57"/>
              <w:jc w:val="center"/>
              <w:rPr>
                <w:sz w:val="20"/>
                <w:szCs w:val="20"/>
              </w:rPr>
            </w:pPr>
            <w:r w:rsidRPr="00AE433D">
              <w:rPr>
                <w:sz w:val="20"/>
                <w:szCs w:val="20"/>
              </w:rPr>
              <w:t>Tak / Nie</w:t>
            </w:r>
            <w:r w:rsidRPr="002831B2">
              <w:rPr>
                <w:sz w:val="18"/>
                <w:szCs w:val="18"/>
                <w:vertAlign w:val="superscript"/>
                <w:lang w:eastAsia="zh-CN"/>
              </w:rPr>
              <w:footnoteReference w:id="2"/>
            </w:r>
          </w:p>
          <w:p w:rsidR="00AC3A21" w:rsidRPr="00AE433D" w:rsidRDefault="00AC3A21" w:rsidP="004453C8">
            <w:pPr>
              <w:widowControl w:val="0"/>
              <w:ind w:left="-57"/>
              <w:jc w:val="center"/>
              <w:rPr>
                <w:sz w:val="20"/>
                <w:szCs w:val="20"/>
              </w:rPr>
            </w:pPr>
            <w:r w:rsidRPr="00AE433D">
              <w:rPr>
                <w:sz w:val="20"/>
                <w:szCs w:val="20"/>
              </w:rPr>
              <w:t>NIE–0pkt Tak-</w:t>
            </w:r>
            <w:r w:rsidR="006A64C6">
              <w:rPr>
                <w:sz w:val="20"/>
                <w:szCs w:val="20"/>
              </w:rPr>
              <w:t>5</w:t>
            </w:r>
            <w:r w:rsidRPr="00AE433D">
              <w:rPr>
                <w:sz w:val="20"/>
                <w:szCs w:val="20"/>
              </w:rPr>
              <w:t xml:space="preserve"> pkt</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highlight w:val="cyan"/>
              </w:rPr>
            </w:pPr>
            <w:r w:rsidRPr="00AE433D">
              <w:rPr>
                <w:rFonts w:cs="Times New Roman"/>
                <w:sz w:val="20"/>
                <w:szCs w:val="20"/>
              </w:rPr>
              <w:t>Funkcje wspomagające w zarządzaniu danymi i dokumentacją pacjentów; na przykład, z zastrzeżeniem odpowiednich środków kontroli bezpieczeństwa, należy zapewnić funkcje umożliwiające łączenie, rozłączanie i usuwanie rekordów danych oraz umożliwianie ponownego przypisania obrazów innym pacjentom (np. gdy połączenie zostało przeprowadzone przez pomyłkę).</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highlight w:val="cyan"/>
              </w:rPr>
            </w:pPr>
            <w:r w:rsidRPr="00AE433D">
              <w:rPr>
                <w:rFonts w:cs="Times New Roman"/>
                <w:sz w:val="20"/>
                <w:szCs w:val="20"/>
              </w:rPr>
              <w:t>Wykonawca gwarantuje w okresie trwania umowy bezpłatne dostosowywanie oprogramowania do wymogów prawa.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ind w:left="360"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cPr>
          <w:p w:rsidR="00AC3A21" w:rsidRPr="00AE433D" w:rsidRDefault="00AC3A21" w:rsidP="004453C8">
            <w:pPr>
              <w:pStyle w:val="Zawartotabeli"/>
              <w:spacing w:line="240" w:lineRule="auto"/>
              <w:rPr>
                <w:rFonts w:cs="Times New Roman"/>
                <w:sz w:val="20"/>
                <w:szCs w:val="20"/>
              </w:rPr>
            </w:pPr>
            <w:r w:rsidRPr="00AE433D">
              <w:rPr>
                <w:rFonts w:cs="Times New Roman"/>
                <w:b/>
                <w:sz w:val="20"/>
                <w:szCs w:val="20"/>
              </w:rPr>
              <w:t>SZKOLENIA DLA UŻYTKOWNIKÓW I ADMINISTRATORÓW</w:t>
            </w:r>
          </w:p>
        </w:tc>
        <w:tc>
          <w:tcPr>
            <w:tcW w:w="1276"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cPr>
          <w:p w:rsidR="00AC3A21" w:rsidRPr="00AE433D" w:rsidRDefault="00AC3A21" w:rsidP="004453C8">
            <w:pPr>
              <w:pStyle w:val="Zawartotabeli"/>
              <w:snapToGrid w:val="0"/>
              <w:spacing w:line="240" w:lineRule="auto"/>
              <w:jc w:val="center"/>
              <w:rPr>
                <w:rFonts w:cs="Times New Roman"/>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highlight w:val="cyan"/>
              </w:rPr>
            </w:pPr>
            <w:r w:rsidRPr="00AE433D">
              <w:rPr>
                <w:rFonts w:cs="Times New Roman"/>
                <w:sz w:val="20"/>
                <w:szCs w:val="20"/>
              </w:rPr>
              <w:t xml:space="preserve">Wykonawca musi zapewnić szkolenie dla lekarzy radiologów oraz techników </w:t>
            </w:r>
            <w:proofErr w:type="spellStart"/>
            <w:r w:rsidRPr="00AE433D">
              <w:rPr>
                <w:rFonts w:cs="Times New Roman"/>
                <w:sz w:val="20"/>
                <w:szCs w:val="20"/>
              </w:rPr>
              <w:t>elektroradiologów</w:t>
            </w:r>
            <w:proofErr w:type="spellEnd"/>
            <w:r w:rsidRPr="00AE433D">
              <w:rPr>
                <w:rFonts w:cs="Times New Roman"/>
                <w:sz w:val="20"/>
                <w:szCs w:val="20"/>
              </w:rPr>
              <w:t xml:space="preserve"> w zakresie dostarczonego rozwiązania w wymiarze min. 8 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highlight w:val="cyan"/>
              </w:rPr>
            </w:pPr>
            <w:r w:rsidRPr="00AE433D">
              <w:rPr>
                <w:rFonts w:cs="Times New Roman"/>
                <w:sz w:val="20"/>
                <w:szCs w:val="20"/>
              </w:rPr>
              <w:t xml:space="preserve">Wykonawca musi zapewnić szkolenie dla administratorów w zakresie dostarczonego rozwiązania w wymiarze min. 4 h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rPr>
            </w:pPr>
            <w:r w:rsidRPr="00AE433D">
              <w:rPr>
                <w:rFonts w:cs="Times New Roman"/>
                <w:sz w:val="20"/>
                <w:szCs w:val="20"/>
              </w:rPr>
              <w:t xml:space="preserve">Na wezwanie Zamawiającego Wykonawca musi zapewnić dodatkowe szkolenie uzupełniające w trakcie trwania gwarancji lub kontraktu serwisowego w wymiarze min. 4h/rok. Dopuszczalny jest tryb szkolenia on-line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hemeFill="background1" w:themeFillShade="F2"/>
          </w:tcPr>
          <w:p w:rsidR="00AC3A21" w:rsidRPr="00AE433D" w:rsidRDefault="00AC3A21" w:rsidP="004453C8">
            <w:pPr>
              <w:pStyle w:val="Zawartotabeli"/>
              <w:spacing w:line="240" w:lineRule="auto"/>
              <w:ind w:left="360" w:right="-226" w:hanging="360"/>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hemeFill="background1" w:themeFillShade="F2"/>
          </w:tcPr>
          <w:p w:rsidR="00AC3A21" w:rsidRPr="00AE433D" w:rsidRDefault="00AC3A21" w:rsidP="004453C8">
            <w:pPr>
              <w:pStyle w:val="Zawartotabeli"/>
              <w:tabs>
                <w:tab w:val="left" w:pos="7459"/>
              </w:tabs>
              <w:spacing w:line="240" w:lineRule="auto"/>
              <w:rPr>
                <w:rFonts w:cs="Times New Roman"/>
                <w:b/>
                <w:sz w:val="20"/>
                <w:szCs w:val="20"/>
                <w:highlight w:val="cyan"/>
              </w:rPr>
            </w:pPr>
            <w:r w:rsidRPr="00AE433D">
              <w:rPr>
                <w:rFonts w:cs="Times New Roman"/>
                <w:b/>
                <w:sz w:val="20"/>
                <w:szCs w:val="20"/>
              </w:rPr>
              <w:t>ZDALNY DOSTĘP</w:t>
            </w:r>
          </w:p>
        </w:tc>
        <w:tc>
          <w:tcPr>
            <w:tcW w:w="1276"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cPr>
          <w:p w:rsidR="00AC3A21" w:rsidRPr="00AE433D" w:rsidRDefault="00AC3A21" w:rsidP="004453C8">
            <w:pPr>
              <w:widowControl w:val="0"/>
              <w:ind w:left="284"/>
              <w:jc w:val="center"/>
              <w:rPr>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AC3A21" w:rsidRPr="00AE433D" w:rsidRDefault="00AC3A21" w:rsidP="004453C8">
            <w:pPr>
              <w:widowControl w:val="0"/>
              <w:ind w:left="284"/>
              <w:jc w:val="center"/>
              <w:rPr>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sz w:val="20"/>
                <w:szCs w:val="20"/>
                <w:highlight w:val="cyan"/>
              </w:rPr>
            </w:pPr>
            <w:r w:rsidRPr="00AE433D">
              <w:rPr>
                <w:rFonts w:cs="Times New Roman"/>
                <w:bCs/>
                <w:sz w:val="20"/>
                <w:szCs w:val="20"/>
              </w:rPr>
              <w:t>Zamawiający zapewni Wykonawcy możliwość zdalnego dostępu do infrastruktury Zamawiającego w okresie obowiązywania umowy. Zdalny dostęp będzie realizowany poprzez udostępnienie przez Zamawiającego na potrzeby realizacji usług serwisowych połączenia w formie tunelu IPSEC oraz przygotowanie serwera przesiadkowego, z którego będzie możliwe połączenie do serwera i stacji roboczych objętych usługą serwisową. Dokonywanie napraw oprogramowania poprzez zdalny dostęp odbywać się będzie w zgodności z zasadami i na warunkach określonych procedurami obowiązującymi u Zamawiającego i dostarczonymi Wykonawcy w formie pisemnej. Brak zdalnego dostępu zwalnia Wykonawcę z obowiązku dotrzymania określonych umową terminów czasów reakcji i naprawy.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bCs/>
                <w:sz w:val="20"/>
                <w:szCs w:val="20"/>
              </w:rPr>
            </w:pPr>
            <w:r w:rsidRPr="00AE433D">
              <w:rPr>
                <w:rFonts w:cs="Times New Roman"/>
                <w:bCs/>
                <w:sz w:val="20"/>
                <w:szCs w:val="20"/>
              </w:rPr>
              <w:t xml:space="preserve">Wykonawca zobowiązuje się do nadania upoważnień do przetwarzania danych osobowych wszystkim osobom, które będą przetwarzały powierzone dane w celu realizacji niniejszej umowy, a lista tych osób stanowi Załącznik </w:t>
            </w:r>
            <w:r w:rsidRPr="00AE433D">
              <w:rPr>
                <w:rFonts w:cs="Times New Roman"/>
                <w:bCs/>
                <w:sz w:val="20"/>
                <w:szCs w:val="20"/>
                <w:highlight w:val="yellow"/>
              </w:rPr>
              <w:t>nr ...</w:t>
            </w:r>
            <w:r w:rsidRPr="00AE433D">
              <w:rPr>
                <w:rFonts w:cs="Times New Roman"/>
                <w:bCs/>
                <w:sz w:val="20"/>
                <w:szCs w:val="20"/>
              </w:rPr>
              <w:t xml:space="preserve"> Wykonawca zobowiąże pisemnie osoby wyznaczone do realizacji przedmiotu umowy do zachowania tajemnicy poprzez podpisanie zobowiązań według wzoru określonego w Załączniku </w:t>
            </w:r>
            <w:r w:rsidRPr="00AE433D">
              <w:rPr>
                <w:rFonts w:cs="Times New Roman"/>
                <w:bCs/>
                <w:sz w:val="20"/>
                <w:szCs w:val="20"/>
                <w:highlight w:val="yellow"/>
              </w:rPr>
              <w:t>nr ..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bCs/>
                <w:sz w:val="20"/>
                <w:szCs w:val="20"/>
              </w:rPr>
            </w:pPr>
            <w:r w:rsidRPr="00AE433D">
              <w:rPr>
                <w:rFonts w:cs="Times New Roman"/>
                <w:bCs/>
                <w:sz w:val="20"/>
                <w:szCs w:val="20"/>
              </w:rPr>
              <w:t>Wykonawca wyraża zgodę na nagrywanie sesji zdalnego dostępu przez Zamawiającego</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tcPr>
          <w:p w:rsidR="00AC3A21" w:rsidRPr="00AE433D" w:rsidRDefault="00AC3A21" w:rsidP="004453C8">
            <w:pPr>
              <w:pStyle w:val="Zawartotabeli"/>
              <w:tabs>
                <w:tab w:val="left" w:pos="7459"/>
              </w:tabs>
              <w:spacing w:line="240" w:lineRule="auto"/>
              <w:rPr>
                <w:rFonts w:cs="Times New Roman"/>
                <w:bCs/>
                <w:sz w:val="22"/>
                <w:szCs w:val="22"/>
              </w:rPr>
            </w:pPr>
            <w:r w:rsidRPr="00AE433D">
              <w:rPr>
                <w:rFonts w:cs="Times New Roman"/>
                <w:bCs/>
                <w:sz w:val="22"/>
                <w:szCs w:val="22"/>
              </w:rPr>
              <w:t>Wykonawca jest zobowiązany do każdorazowego niezwłocznego powiadomienia Zamawiającego o zmianach personelu uprawnionego do zdalnego dostępu.</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shd w:val="clear" w:color="auto" w:fill="F2F2F2" w:themeFill="background1" w:themeFillShade="F2"/>
          </w:tcPr>
          <w:p w:rsidR="00AC3A21" w:rsidRPr="00AE433D" w:rsidRDefault="00AC3A21" w:rsidP="004453C8">
            <w:pPr>
              <w:pStyle w:val="Zawartotabeli"/>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F2F2F2" w:themeFill="background1" w:themeFillShade="F2"/>
          </w:tcPr>
          <w:p w:rsidR="00AC3A21" w:rsidRPr="00AE433D" w:rsidRDefault="00AC3A21" w:rsidP="004453C8">
            <w:pPr>
              <w:pStyle w:val="Zawartotabeli"/>
              <w:tabs>
                <w:tab w:val="left" w:pos="7459"/>
              </w:tabs>
              <w:spacing w:line="240" w:lineRule="auto"/>
              <w:rPr>
                <w:rFonts w:cs="Times New Roman"/>
                <w:sz w:val="20"/>
                <w:szCs w:val="20"/>
                <w:highlight w:val="cyan"/>
              </w:rPr>
            </w:pPr>
            <w:r w:rsidRPr="00AE433D">
              <w:rPr>
                <w:rFonts w:cs="Times New Roman"/>
                <w:b/>
                <w:sz w:val="20"/>
                <w:szCs w:val="20"/>
              </w:rPr>
              <w:t>CYBERBEZPIECZEŃSTWO I BEZPIECZEŃSTWO INFORMACJI</w:t>
            </w:r>
          </w:p>
        </w:tc>
        <w:tc>
          <w:tcPr>
            <w:tcW w:w="1276"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cPr>
          <w:p w:rsidR="00AC3A21" w:rsidRPr="00AE433D" w:rsidRDefault="00AC3A21" w:rsidP="004453C8">
            <w:pPr>
              <w:widowControl w:val="0"/>
              <w:ind w:left="284"/>
              <w:jc w:val="center"/>
              <w:rPr>
                <w:sz w:val="20"/>
                <w:szCs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AC3A21" w:rsidRPr="00AE433D" w:rsidRDefault="00AC3A21" w:rsidP="004453C8">
            <w:pPr>
              <w:widowControl w:val="0"/>
              <w:ind w:left="284"/>
              <w:jc w:val="center"/>
              <w:rPr>
                <w:sz w:val="20"/>
                <w:szCs w:val="20"/>
              </w:rPr>
            </w:pPr>
          </w:p>
        </w:tc>
        <w:tc>
          <w:tcPr>
            <w:tcW w:w="2693"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bCs/>
                <w:sz w:val="22"/>
                <w:szCs w:val="22"/>
              </w:rPr>
            </w:pPr>
            <w:r w:rsidRPr="00AE433D">
              <w:rPr>
                <w:rFonts w:cs="Times New Roman"/>
                <w:bCs/>
                <w:sz w:val="22"/>
                <w:szCs w:val="22"/>
              </w:rPr>
              <w:t>System musi realizować wszystkie swoje funkcje przy włączonym oprogramowaniu antywirusowym i przy włączonej zaporze, a także przy włączonych mechanizmach bezpieczeństwa wbudowanych w system operacyjny serwera. Niedopuszczalne jest wyłączanie jakiejkolwiek z powyższych funkcji.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color w:val="1D1C1D"/>
                <w:sz w:val="22"/>
                <w:szCs w:val="22"/>
                <w:shd w:val="clear" w:color="auto" w:fill="F8F8F8"/>
              </w:rPr>
            </w:pPr>
            <w:r w:rsidRPr="00AE433D">
              <w:rPr>
                <w:rFonts w:cs="Times New Roman"/>
                <w:bCs/>
                <w:sz w:val="22"/>
                <w:szCs w:val="22"/>
              </w:rPr>
              <w:t xml:space="preserve">System musi dopuszczać tylko niezbędny ruch do prawidłowego funkcjonowania oprogramowania (tzw. </w:t>
            </w:r>
            <w:proofErr w:type="spellStart"/>
            <w:r w:rsidRPr="00AE433D">
              <w:rPr>
                <w:rFonts w:cs="Times New Roman"/>
                <w:bCs/>
                <w:sz w:val="22"/>
                <w:szCs w:val="22"/>
              </w:rPr>
              <w:t>hardening</w:t>
            </w:r>
            <w:proofErr w:type="spellEnd"/>
            <w:r w:rsidRPr="00AE433D">
              <w:rPr>
                <w:rFonts w:cs="Times New Roman"/>
                <w:bCs/>
                <w:sz w:val="22"/>
                <w:szCs w:val="22"/>
              </w:rPr>
              <w:t>)</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bCs/>
                <w:sz w:val="22"/>
                <w:szCs w:val="22"/>
              </w:rPr>
            </w:pPr>
            <w:r w:rsidRPr="00AE433D">
              <w:rPr>
                <w:rFonts w:cs="Times New Roman"/>
                <w:bCs/>
                <w:sz w:val="22"/>
                <w:szCs w:val="22"/>
              </w:rPr>
              <w:t xml:space="preserve">Żadna z funkcji Systemu bez względu na rodzaj połączenia urządzeń np. RS232C, Bluetooth, </w:t>
            </w:r>
            <w:proofErr w:type="spellStart"/>
            <w:r w:rsidRPr="00AE433D">
              <w:rPr>
                <w:rFonts w:cs="Times New Roman"/>
                <w:bCs/>
                <w:sz w:val="22"/>
                <w:szCs w:val="22"/>
              </w:rPr>
              <w:t>WiFi</w:t>
            </w:r>
            <w:proofErr w:type="spellEnd"/>
            <w:r w:rsidRPr="00AE433D">
              <w:rPr>
                <w:rFonts w:cs="Times New Roman"/>
                <w:bCs/>
                <w:sz w:val="22"/>
                <w:szCs w:val="22"/>
              </w:rPr>
              <w:t xml:space="preserve">, Ethernet, USB nie może być warunkowana co do poprawności działania wyłączeniem jakiegokolwiek mechanizmu bezpieczeństwa np. systemu antywirusowego, </w:t>
            </w:r>
            <w:proofErr w:type="spellStart"/>
            <w:r w:rsidRPr="00AE433D">
              <w:rPr>
                <w:rFonts w:cs="Times New Roman"/>
                <w:bCs/>
                <w:sz w:val="22"/>
                <w:szCs w:val="22"/>
              </w:rPr>
              <w:t>firewalla</w:t>
            </w:r>
            <w:proofErr w:type="spellEnd"/>
            <w:r w:rsidRPr="00AE433D">
              <w:rPr>
                <w:rFonts w:cs="Times New Roman"/>
                <w:bCs/>
                <w:sz w:val="22"/>
                <w:szCs w:val="22"/>
              </w:rPr>
              <w:t>, EDR itp.</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bCs/>
                <w:sz w:val="22"/>
                <w:szCs w:val="22"/>
              </w:rPr>
            </w:pPr>
            <w:r w:rsidRPr="00AE433D">
              <w:rPr>
                <w:rFonts w:cs="Times New Roman"/>
                <w:bCs/>
                <w:sz w:val="22"/>
                <w:szCs w:val="22"/>
              </w:rPr>
              <w:t>Wykonawca dostarczy pełną dokumentację w zakresie adresów i portów sieciowych, z którymi komunikował się będzie System bądź jego oprogramowanie albo będą niezbędne do jego poprawnej pracy.</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bCs/>
                <w:sz w:val="22"/>
                <w:szCs w:val="22"/>
              </w:rPr>
            </w:pPr>
            <w:r w:rsidRPr="00AE433D">
              <w:rPr>
                <w:rFonts w:cs="Times New Roman"/>
                <w:sz w:val="22"/>
                <w:szCs w:val="22"/>
              </w:rPr>
              <w:t>Wykonawca dostarczy pełną specyfikację komunikacji z systemami zewnętrznymi, tj.  minimum adresy z którymi ma nastąpić połącznie, nazwy protokołu / numer portu, zakres przesyłanych danych.</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sz w:val="22"/>
                <w:szCs w:val="22"/>
              </w:rPr>
            </w:pPr>
            <w:r w:rsidRPr="00AE433D">
              <w:rPr>
                <w:rFonts w:cs="Times New Roman"/>
                <w:sz w:val="22"/>
                <w:szCs w:val="22"/>
              </w:rPr>
              <w:t>W przypadku stwierdzenia podatności, zagrożenia bezpieczeństwa cybernetycznego czy incydentu dotyczącego oprogramowania, do którego Wykonawca posiada prawa autorskie, Wykonawca niezwłocznie usunie stwierdzone zdarzenie na własny koszt, zabezpieczając na czas usuwania usterki analogiczne urządzenie i/lub oprogramowanie pozbawione tej podatności. Jeżeli wykonawca wykorzystuje oprogramowanie firm trzecich jako komponent czy narzędzie systemów własnych, to odpowiedzialność z tytułu podatności na zagrożenia cybernetyczne dotyczy również i tego oprogramowania.</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sz w:val="22"/>
                <w:szCs w:val="22"/>
              </w:rPr>
            </w:pPr>
            <w:r w:rsidRPr="00AE433D">
              <w:rPr>
                <w:rFonts w:cs="Times New Roman"/>
                <w:sz w:val="22"/>
                <w:szCs w:val="22"/>
              </w:rPr>
              <w:t>System nie może wykorzystywać oprogramowania firm trzecich wobec produktów których stwierdzono występowanie podatności lub wydany został komunikat bezpieczeństwa cybernetycznego o zagrożeniu. W takim przypadku Wykonawca niezwłocznie dokona usunięcia stwierdzonej podatności oprogramowania, ewentualnie zastosuje rozwiązanie zastępcze nieposiadające podatności.</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sz w:val="22"/>
                <w:szCs w:val="22"/>
              </w:rPr>
            </w:pPr>
            <w:r w:rsidRPr="00AE433D">
              <w:rPr>
                <w:rFonts w:cs="Times New Roman"/>
                <w:sz w:val="22"/>
                <w:szCs w:val="22"/>
              </w:rPr>
              <w:t xml:space="preserve">Wykonawca wyraża zgodę na instalację na serwerze oprogramowania (typu Agent) posiadanego przez zamawiającego systemu do monitorowania podatności o nazwie </w:t>
            </w:r>
            <w:proofErr w:type="spellStart"/>
            <w:r w:rsidRPr="00AE433D">
              <w:rPr>
                <w:rFonts w:cs="Times New Roman"/>
                <w:sz w:val="22"/>
                <w:szCs w:val="22"/>
              </w:rPr>
              <w:t>Endpoint</w:t>
            </w:r>
            <w:proofErr w:type="spellEnd"/>
            <w:r w:rsidRPr="00AE433D">
              <w:rPr>
                <w:rFonts w:cs="Times New Roman"/>
                <w:sz w:val="22"/>
                <w:szCs w:val="22"/>
              </w:rPr>
              <w:t xml:space="preserve"> Central firmy </w:t>
            </w:r>
            <w:proofErr w:type="spellStart"/>
            <w:r w:rsidRPr="00AE433D">
              <w:rPr>
                <w:rFonts w:cs="Times New Roman"/>
                <w:sz w:val="22"/>
                <w:szCs w:val="22"/>
              </w:rPr>
              <w:t>ManageEngine</w:t>
            </w:r>
            <w:proofErr w:type="spellEnd"/>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AC3A21" w:rsidRPr="00AE433D" w:rsidTr="004453C8">
        <w:trPr>
          <w:cantSplit/>
        </w:trPr>
        <w:tc>
          <w:tcPr>
            <w:tcW w:w="567" w:type="dxa"/>
            <w:tcBorders>
              <w:top w:val="single" w:sz="4" w:space="0" w:color="000000"/>
              <w:left w:val="single" w:sz="4" w:space="0" w:color="000000"/>
              <w:bottom w:val="single" w:sz="4" w:space="0" w:color="000000"/>
            </w:tcBorders>
          </w:tcPr>
          <w:p w:rsidR="00AC3A21" w:rsidRPr="00AE433D" w:rsidRDefault="00AC3A21" w:rsidP="00AC3A21">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AC3A21" w:rsidRPr="00AE433D" w:rsidRDefault="00AC3A21" w:rsidP="004453C8">
            <w:pPr>
              <w:pStyle w:val="Zawartotabeli"/>
              <w:tabs>
                <w:tab w:val="left" w:pos="7459"/>
              </w:tabs>
              <w:spacing w:line="240" w:lineRule="auto"/>
              <w:rPr>
                <w:rFonts w:cs="Times New Roman"/>
                <w:sz w:val="22"/>
                <w:szCs w:val="22"/>
              </w:rPr>
            </w:pPr>
            <w:r w:rsidRPr="00AE433D">
              <w:rPr>
                <w:rFonts w:cs="Times New Roman"/>
                <w:sz w:val="22"/>
                <w:szCs w:val="22"/>
              </w:rPr>
              <w:t xml:space="preserve">System monitoruje zdarzenia i zapisuje je w dzienniku zdarzeń (logu). </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AC3A21" w:rsidRPr="00AE433D" w:rsidRDefault="00AC3A21" w:rsidP="004453C8">
            <w:pPr>
              <w:pStyle w:val="Zawartotabeli"/>
              <w:spacing w:line="240" w:lineRule="auto"/>
              <w:jc w:val="center"/>
              <w:rPr>
                <w:rFonts w:cs="Times New Roman"/>
                <w:sz w:val="20"/>
                <w:szCs w:val="20"/>
              </w:rPr>
            </w:pPr>
            <w:r w:rsidRPr="00AE433D">
              <w:rPr>
                <w:rFonts w:cs="Times New Roman"/>
                <w:sz w:val="20"/>
                <w:szCs w:val="20"/>
              </w:rPr>
              <w:t>Tak</w:t>
            </w:r>
            <w:r>
              <w:rPr>
                <w:rFonts w:cs="Times New Roman"/>
                <w:sz w:val="20"/>
                <w:szCs w:val="20"/>
              </w:rPr>
              <w:t>, podać</w:t>
            </w:r>
          </w:p>
        </w:tc>
        <w:tc>
          <w:tcPr>
            <w:tcW w:w="1134" w:type="dxa"/>
            <w:tcBorders>
              <w:top w:val="single" w:sz="4" w:space="0" w:color="000000"/>
              <w:left w:val="single" w:sz="4" w:space="0" w:color="000000"/>
              <w:bottom w:val="single" w:sz="4" w:space="0" w:color="000000"/>
              <w:right w:val="single" w:sz="4" w:space="0" w:color="000000"/>
            </w:tcBorders>
          </w:tcPr>
          <w:p w:rsidR="00AC3A21" w:rsidRPr="00AE433D" w:rsidRDefault="00AC3A21" w:rsidP="004453C8">
            <w:pPr>
              <w:pStyle w:val="Zawartotabeli"/>
              <w:spacing w:line="240" w:lineRule="auto"/>
              <w:jc w:val="center"/>
              <w:rPr>
                <w:rFonts w:cs="Times New Roman"/>
                <w:sz w:val="20"/>
                <w:szCs w:val="20"/>
              </w:rPr>
            </w:pPr>
            <w:r>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AC3A21" w:rsidRPr="00AE433D" w:rsidRDefault="00AC3A21" w:rsidP="004453C8">
            <w:pPr>
              <w:widowControl w:val="0"/>
              <w:ind w:left="284"/>
              <w:jc w:val="center"/>
              <w:rPr>
                <w:sz w:val="20"/>
                <w:szCs w:val="20"/>
              </w:rPr>
            </w:pPr>
          </w:p>
        </w:tc>
      </w:tr>
      <w:tr w:rsidR="004453C8" w:rsidRPr="004453C8" w:rsidTr="004453C8">
        <w:trPr>
          <w:cantSplit/>
        </w:trPr>
        <w:tc>
          <w:tcPr>
            <w:tcW w:w="567" w:type="dxa"/>
            <w:tcBorders>
              <w:top w:val="single" w:sz="4" w:space="0" w:color="000000"/>
              <w:left w:val="single" w:sz="4" w:space="0" w:color="000000"/>
              <w:bottom w:val="single" w:sz="4" w:space="0" w:color="000000"/>
            </w:tcBorders>
          </w:tcPr>
          <w:p w:rsidR="004453C8" w:rsidRPr="004453C8" w:rsidRDefault="004453C8" w:rsidP="004453C8">
            <w:pPr>
              <w:pStyle w:val="Zawartotabeli"/>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4453C8" w:rsidRPr="004453C8" w:rsidRDefault="004453C8" w:rsidP="004453C8">
            <w:pPr>
              <w:tabs>
                <w:tab w:val="right" w:pos="6838"/>
              </w:tabs>
              <w:rPr>
                <w:rFonts w:eastAsiaTheme="minorHAnsi"/>
                <w:b/>
                <w:sz w:val="18"/>
                <w:szCs w:val="18"/>
                <w:lang w:eastAsia="en-US" w:bidi="en-US"/>
              </w:rPr>
            </w:pPr>
            <w:r w:rsidRPr="004453C8">
              <w:rPr>
                <w:rFonts w:eastAsiaTheme="minorHAnsi"/>
                <w:b/>
                <w:sz w:val="18"/>
                <w:szCs w:val="18"/>
                <w:lang w:eastAsia="en-US" w:bidi="en-US"/>
              </w:rPr>
              <w:t>MINIMALNE WYMAGANIA SPRZĘTOWE I PROGRAMOWE</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4453C8" w:rsidRPr="004453C8" w:rsidRDefault="004453C8" w:rsidP="004453C8">
            <w:pPr>
              <w:pStyle w:val="Zawartotabeli"/>
              <w:spacing w:line="240" w:lineRule="auto"/>
              <w:jc w:val="center"/>
              <w:rPr>
                <w:rFonts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4453C8" w:rsidRPr="004453C8" w:rsidRDefault="004453C8" w:rsidP="004453C8">
            <w:pPr>
              <w:pStyle w:val="Zawartotabeli"/>
              <w:spacing w:line="240" w:lineRule="auto"/>
              <w:jc w:val="center"/>
              <w:rPr>
                <w:rFonts w:cs="Times New Roman"/>
                <w:sz w:val="20"/>
                <w:szCs w:val="20"/>
              </w:rPr>
            </w:pPr>
          </w:p>
        </w:tc>
        <w:tc>
          <w:tcPr>
            <w:tcW w:w="2693" w:type="dxa"/>
            <w:tcBorders>
              <w:top w:val="single" w:sz="4" w:space="0" w:color="000000"/>
              <w:left w:val="single" w:sz="4" w:space="0" w:color="000000"/>
              <w:bottom w:val="single" w:sz="4" w:space="0" w:color="000000"/>
              <w:right w:val="single" w:sz="4" w:space="0" w:color="auto"/>
            </w:tcBorders>
          </w:tcPr>
          <w:p w:rsidR="004453C8" w:rsidRPr="004453C8" w:rsidRDefault="004453C8" w:rsidP="004453C8">
            <w:pPr>
              <w:widowControl w:val="0"/>
              <w:ind w:left="284"/>
              <w:jc w:val="center"/>
              <w:rPr>
                <w:sz w:val="20"/>
                <w:szCs w:val="20"/>
              </w:rPr>
            </w:pPr>
          </w:p>
        </w:tc>
      </w:tr>
      <w:tr w:rsidR="004453C8" w:rsidRPr="004453C8" w:rsidTr="004453C8">
        <w:trPr>
          <w:cantSplit/>
        </w:trPr>
        <w:tc>
          <w:tcPr>
            <w:tcW w:w="567" w:type="dxa"/>
            <w:tcBorders>
              <w:top w:val="single" w:sz="4" w:space="0" w:color="000000"/>
              <w:left w:val="single" w:sz="4" w:space="0" w:color="000000"/>
              <w:bottom w:val="single" w:sz="4" w:space="0" w:color="000000"/>
            </w:tcBorders>
          </w:tcPr>
          <w:p w:rsidR="004453C8" w:rsidRPr="004453C8" w:rsidRDefault="004453C8" w:rsidP="004453C8">
            <w:pPr>
              <w:pStyle w:val="Zawartotabeli"/>
              <w:numPr>
                <w:ilvl w:val="0"/>
                <w:numId w:val="5"/>
              </w:numPr>
              <w:spacing w:line="240" w:lineRule="auto"/>
              <w:ind w:right="-226"/>
              <w:rPr>
                <w:rFonts w:cs="Times New Roman"/>
                <w:sz w:val="20"/>
                <w:szCs w:val="20"/>
              </w:rPr>
            </w:pPr>
          </w:p>
        </w:tc>
        <w:tc>
          <w:tcPr>
            <w:tcW w:w="9356" w:type="dxa"/>
            <w:tcBorders>
              <w:top w:val="single" w:sz="4" w:space="0" w:color="000000"/>
              <w:left w:val="single" w:sz="4" w:space="0" w:color="000000"/>
              <w:bottom w:val="single" w:sz="4" w:space="0" w:color="000000"/>
            </w:tcBorders>
            <w:shd w:val="clear" w:color="auto" w:fill="auto"/>
            <w:vAlign w:val="center"/>
          </w:tcPr>
          <w:p w:rsidR="004453C8" w:rsidRPr="004453C8" w:rsidRDefault="004453C8" w:rsidP="004453C8">
            <w:pPr>
              <w:tabs>
                <w:tab w:val="right" w:pos="6838"/>
              </w:tabs>
              <w:rPr>
                <w:rFonts w:eastAsiaTheme="minorHAnsi"/>
                <w:sz w:val="18"/>
                <w:szCs w:val="18"/>
                <w:lang w:eastAsia="en-US" w:bidi="en-US"/>
              </w:rPr>
            </w:pPr>
            <w:r w:rsidRPr="004453C8">
              <w:rPr>
                <w:rFonts w:eastAsiaTheme="minorHAnsi"/>
                <w:sz w:val="18"/>
                <w:szCs w:val="18"/>
                <w:lang w:eastAsia="en-US" w:bidi="en-US"/>
              </w:rPr>
              <w:t>Minimalne wymagania sprzętowe i programowe do zapewnienia po stronie Zamawiającego, niezbędne do prawidłowego funkcjonowania systemu:</w:t>
            </w:r>
          </w:p>
          <w:p w:rsidR="004453C8" w:rsidRPr="004453C8" w:rsidRDefault="004453C8" w:rsidP="004453C8">
            <w:pPr>
              <w:tabs>
                <w:tab w:val="right" w:pos="6838"/>
              </w:tabs>
              <w:rPr>
                <w:rFonts w:eastAsiaTheme="minorHAnsi"/>
                <w:sz w:val="18"/>
                <w:szCs w:val="18"/>
                <w:lang w:eastAsia="en-US" w:bidi="en-US"/>
              </w:rPr>
            </w:pPr>
            <w:r w:rsidRPr="004453C8">
              <w:rPr>
                <w:rFonts w:eastAsiaTheme="minorHAnsi"/>
                <w:sz w:val="18"/>
                <w:szCs w:val="18"/>
                <w:lang w:eastAsia="en-US" w:bidi="en-US"/>
              </w:rPr>
              <w:t>- Komputer (stacja użytkownika)</w:t>
            </w:r>
          </w:p>
          <w:p w:rsidR="004453C8" w:rsidRPr="004453C8" w:rsidRDefault="004453C8" w:rsidP="004453C8">
            <w:pPr>
              <w:tabs>
                <w:tab w:val="right" w:pos="6838"/>
              </w:tabs>
              <w:rPr>
                <w:rFonts w:eastAsiaTheme="minorHAnsi"/>
                <w:sz w:val="18"/>
                <w:szCs w:val="18"/>
                <w:lang w:eastAsia="en-US" w:bidi="en-US"/>
              </w:rPr>
            </w:pPr>
            <w:r w:rsidRPr="004453C8">
              <w:rPr>
                <w:rFonts w:eastAsiaTheme="minorHAnsi"/>
                <w:sz w:val="18"/>
                <w:szCs w:val="18"/>
                <w:lang w:eastAsia="en-US" w:bidi="en-US"/>
              </w:rPr>
              <w:t>- System operacyjny</w:t>
            </w:r>
          </w:p>
          <w:p w:rsidR="004453C8" w:rsidRPr="004453C8" w:rsidRDefault="004453C8" w:rsidP="004453C8">
            <w:pPr>
              <w:tabs>
                <w:tab w:val="right" w:pos="6838"/>
              </w:tabs>
              <w:rPr>
                <w:rFonts w:eastAsiaTheme="minorHAnsi"/>
                <w:sz w:val="18"/>
                <w:szCs w:val="18"/>
                <w:lang w:eastAsia="en-US" w:bidi="en-US"/>
              </w:rPr>
            </w:pPr>
            <w:r w:rsidRPr="004453C8">
              <w:rPr>
                <w:rFonts w:eastAsiaTheme="minorHAnsi"/>
                <w:sz w:val="18"/>
                <w:szCs w:val="18"/>
                <w:lang w:eastAsia="en-US" w:bidi="en-US"/>
              </w:rPr>
              <w:t>- Przeglądarka internetowa</w:t>
            </w:r>
          </w:p>
          <w:p w:rsidR="004453C8" w:rsidRPr="004453C8" w:rsidRDefault="004453C8" w:rsidP="004453C8">
            <w:pPr>
              <w:tabs>
                <w:tab w:val="right" w:pos="6838"/>
              </w:tabs>
              <w:rPr>
                <w:rFonts w:eastAsiaTheme="minorHAnsi"/>
                <w:sz w:val="18"/>
                <w:szCs w:val="18"/>
                <w:lang w:eastAsia="en-US" w:bidi="en-US"/>
              </w:rPr>
            </w:pPr>
            <w:r w:rsidRPr="004453C8">
              <w:rPr>
                <w:rFonts w:eastAsiaTheme="minorHAnsi"/>
                <w:sz w:val="18"/>
                <w:szCs w:val="18"/>
                <w:lang w:eastAsia="en-US" w:bidi="en-US"/>
              </w:rPr>
              <w:t>- Sieć</w:t>
            </w:r>
          </w:p>
        </w:tc>
        <w:tc>
          <w:tcPr>
            <w:tcW w:w="1276" w:type="dxa"/>
            <w:tcBorders>
              <w:top w:val="single" w:sz="4" w:space="0" w:color="000000"/>
              <w:left w:val="single" w:sz="4" w:space="0" w:color="000000"/>
              <w:bottom w:val="single" w:sz="4" w:space="0" w:color="000000"/>
              <w:right w:val="single" w:sz="4" w:space="0" w:color="auto"/>
            </w:tcBorders>
            <w:shd w:val="clear" w:color="auto" w:fill="auto"/>
          </w:tcPr>
          <w:p w:rsidR="004453C8" w:rsidRPr="004453C8" w:rsidRDefault="004453C8" w:rsidP="004453C8">
            <w:pPr>
              <w:pStyle w:val="Zawartotabeli"/>
              <w:spacing w:line="240" w:lineRule="auto"/>
              <w:jc w:val="center"/>
              <w:rPr>
                <w:rFonts w:cs="Times New Roman"/>
                <w:sz w:val="20"/>
                <w:szCs w:val="20"/>
              </w:rPr>
            </w:pPr>
            <w:r w:rsidRPr="004453C8">
              <w:rPr>
                <w:rFonts w:cs="Times New Roman"/>
                <w:sz w:val="20"/>
                <w:szCs w:val="20"/>
              </w:rPr>
              <w:t>podać</w:t>
            </w:r>
          </w:p>
        </w:tc>
        <w:tc>
          <w:tcPr>
            <w:tcW w:w="1134" w:type="dxa"/>
            <w:tcBorders>
              <w:top w:val="single" w:sz="4" w:space="0" w:color="000000"/>
              <w:left w:val="single" w:sz="4" w:space="0" w:color="000000"/>
              <w:bottom w:val="single" w:sz="4" w:space="0" w:color="000000"/>
              <w:right w:val="single" w:sz="4" w:space="0" w:color="000000"/>
            </w:tcBorders>
          </w:tcPr>
          <w:p w:rsidR="004453C8" w:rsidRPr="004453C8" w:rsidRDefault="004453C8" w:rsidP="004453C8">
            <w:pPr>
              <w:pStyle w:val="Zawartotabeli"/>
              <w:spacing w:line="240" w:lineRule="auto"/>
              <w:jc w:val="center"/>
              <w:rPr>
                <w:rFonts w:cs="Times New Roman"/>
                <w:sz w:val="20"/>
                <w:szCs w:val="20"/>
              </w:rPr>
            </w:pPr>
            <w:r w:rsidRPr="004453C8">
              <w:rPr>
                <w:rFonts w:cs="Times New Roman"/>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4453C8" w:rsidRPr="004453C8" w:rsidRDefault="004453C8" w:rsidP="004453C8">
            <w:pPr>
              <w:widowControl w:val="0"/>
              <w:ind w:left="284"/>
              <w:jc w:val="center"/>
              <w:rPr>
                <w:sz w:val="20"/>
                <w:szCs w:val="20"/>
              </w:rPr>
            </w:pPr>
          </w:p>
        </w:tc>
      </w:tr>
      <w:tr w:rsidR="004453C8" w:rsidRPr="00AE433D" w:rsidTr="004453C8">
        <w:trPr>
          <w:cantSplit/>
        </w:trPr>
        <w:tc>
          <w:tcPr>
            <w:tcW w:w="567" w:type="dxa"/>
            <w:tcBorders>
              <w:top w:val="single" w:sz="4" w:space="0" w:color="000000"/>
              <w:left w:val="single" w:sz="4" w:space="0" w:color="000000"/>
              <w:bottom w:val="single" w:sz="4" w:space="0" w:color="000000"/>
            </w:tcBorders>
            <w:vAlign w:val="center"/>
          </w:tcPr>
          <w:p w:rsidR="004453C8" w:rsidRPr="00AE433D" w:rsidRDefault="004453C8" w:rsidP="004453C8">
            <w:pPr>
              <w:tabs>
                <w:tab w:val="right" w:pos="6838"/>
              </w:tabs>
              <w:jc w:val="center"/>
              <w:rPr>
                <w:rFonts w:eastAsiaTheme="minorHAnsi"/>
                <w:b/>
                <w:sz w:val="18"/>
                <w:szCs w:val="18"/>
                <w:lang w:val="en-US" w:eastAsia="en-US" w:bidi="en-US"/>
              </w:rPr>
            </w:pPr>
            <w:r w:rsidRPr="00AE433D">
              <w:rPr>
                <w:rFonts w:eastAsiaTheme="minorHAnsi"/>
                <w:b/>
                <w:sz w:val="18"/>
                <w:szCs w:val="18"/>
                <w:lang w:val="en-US" w:eastAsia="en-US" w:bidi="en-US"/>
              </w:rPr>
              <w:t>B.</w:t>
            </w:r>
          </w:p>
        </w:tc>
        <w:tc>
          <w:tcPr>
            <w:tcW w:w="9356" w:type="dxa"/>
            <w:tcBorders>
              <w:top w:val="single" w:sz="4" w:space="0" w:color="000000"/>
              <w:left w:val="single" w:sz="4" w:space="0" w:color="000000"/>
              <w:bottom w:val="single" w:sz="4" w:space="0" w:color="000000"/>
            </w:tcBorders>
            <w:shd w:val="clear" w:color="auto" w:fill="auto"/>
            <w:vAlign w:val="center"/>
          </w:tcPr>
          <w:p w:rsidR="004453C8" w:rsidRPr="00AE433D" w:rsidRDefault="004453C8" w:rsidP="004453C8">
            <w:pPr>
              <w:tabs>
                <w:tab w:val="right" w:pos="6838"/>
              </w:tabs>
              <w:rPr>
                <w:rFonts w:eastAsiaTheme="minorHAnsi"/>
                <w:sz w:val="18"/>
                <w:szCs w:val="18"/>
                <w:lang w:val="en-US" w:eastAsia="en-US" w:bidi="en-US"/>
              </w:rPr>
            </w:pPr>
            <w:r w:rsidRPr="00AE433D">
              <w:rPr>
                <w:rFonts w:eastAsiaTheme="minorHAnsi"/>
                <w:b/>
                <w:sz w:val="18"/>
                <w:szCs w:val="18"/>
                <w:lang w:val="en-US" w:eastAsia="en-US" w:bidi="en-US"/>
              </w:rPr>
              <w:t>INNE</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rsidR="004453C8" w:rsidRPr="00AE433D" w:rsidRDefault="004453C8" w:rsidP="004453C8">
            <w:pPr>
              <w:tabs>
                <w:tab w:val="right" w:pos="6838"/>
              </w:tabs>
              <w:jc w:val="center"/>
              <w:rPr>
                <w:rFonts w:eastAsiaTheme="minorHAnsi"/>
                <w:sz w:val="18"/>
                <w:szCs w:val="18"/>
                <w:lang w:val="en-US" w:eastAsia="en-US" w:bidi="en-US"/>
              </w:rPr>
            </w:pPr>
          </w:p>
        </w:tc>
        <w:tc>
          <w:tcPr>
            <w:tcW w:w="1134" w:type="dxa"/>
            <w:tcBorders>
              <w:top w:val="single" w:sz="4" w:space="0" w:color="000000"/>
              <w:left w:val="single" w:sz="4" w:space="0" w:color="000000"/>
              <w:bottom w:val="single" w:sz="4" w:space="0" w:color="000000"/>
              <w:right w:val="single" w:sz="4" w:space="0" w:color="000000"/>
            </w:tcBorders>
          </w:tcPr>
          <w:p w:rsidR="004453C8" w:rsidRPr="00AE433D" w:rsidRDefault="004453C8" w:rsidP="004453C8">
            <w:pPr>
              <w:widowControl w:val="0"/>
              <w:ind w:left="284"/>
              <w:jc w:val="center"/>
              <w:rPr>
                <w:sz w:val="20"/>
                <w:szCs w:val="20"/>
              </w:rPr>
            </w:pPr>
          </w:p>
        </w:tc>
        <w:tc>
          <w:tcPr>
            <w:tcW w:w="2693" w:type="dxa"/>
            <w:tcBorders>
              <w:top w:val="single" w:sz="4" w:space="0" w:color="000000"/>
              <w:left w:val="single" w:sz="4" w:space="0" w:color="000000"/>
              <w:bottom w:val="single" w:sz="4" w:space="0" w:color="000000"/>
              <w:right w:val="single" w:sz="4" w:space="0" w:color="auto"/>
            </w:tcBorders>
          </w:tcPr>
          <w:p w:rsidR="004453C8" w:rsidRPr="00AE433D" w:rsidRDefault="004453C8" w:rsidP="004453C8">
            <w:pPr>
              <w:widowControl w:val="0"/>
              <w:ind w:left="284"/>
              <w:jc w:val="center"/>
              <w:rPr>
                <w:sz w:val="20"/>
                <w:szCs w:val="20"/>
              </w:rPr>
            </w:pPr>
          </w:p>
        </w:tc>
      </w:tr>
      <w:tr w:rsidR="004453C8" w:rsidRPr="00AE433D" w:rsidTr="004453C8">
        <w:trPr>
          <w:cantSplit/>
        </w:trPr>
        <w:tc>
          <w:tcPr>
            <w:tcW w:w="567" w:type="dxa"/>
            <w:tcBorders>
              <w:top w:val="single" w:sz="4" w:space="0" w:color="000000"/>
              <w:left w:val="single" w:sz="4" w:space="0" w:color="000000"/>
              <w:bottom w:val="single" w:sz="4" w:space="0" w:color="000000"/>
            </w:tcBorders>
            <w:vAlign w:val="center"/>
          </w:tcPr>
          <w:p w:rsidR="004453C8" w:rsidRPr="00AE433D" w:rsidRDefault="004453C8" w:rsidP="004453C8">
            <w:pPr>
              <w:tabs>
                <w:tab w:val="right" w:pos="6838"/>
              </w:tabs>
              <w:jc w:val="center"/>
              <w:rPr>
                <w:rFonts w:eastAsiaTheme="minorHAnsi"/>
                <w:sz w:val="18"/>
                <w:szCs w:val="18"/>
                <w:lang w:val="en-US" w:eastAsia="en-US" w:bidi="en-US"/>
              </w:rPr>
            </w:pPr>
            <w:r w:rsidRPr="00AE433D">
              <w:rPr>
                <w:rFonts w:eastAsiaTheme="minorHAnsi"/>
                <w:sz w:val="18"/>
                <w:szCs w:val="18"/>
                <w:lang w:val="en-US" w:eastAsia="en-US" w:bidi="en-US"/>
              </w:rPr>
              <w:t>1</w:t>
            </w:r>
          </w:p>
        </w:tc>
        <w:tc>
          <w:tcPr>
            <w:tcW w:w="9356" w:type="dxa"/>
            <w:tcBorders>
              <w:top w:val="single" w:sz="4" w:space="0" w:color="000000"/>
              <w:left w:val="single" w:sz="4" w:space="0" w:color="000000"/>
              <w:bottom w:val="single" w:sz="4" w:space="0" w:color="000000"/>
            </w:tcBorders>
            <w:shd w:val="clear" w:color="auto" w:fill="auto"/>
            <w:vAlign w:val="center"/>
          </w:tcPr>
          <w:p w:rsidR="004453C8" w:rsidRPr="00AE433D" w:rsidRDefault="004453C8" w:rsidP="004453C8">
            <w:pPr>
              <w:jc w:val="both"/>
              <w:rPr>
                <w:rFonts w:eastAsiaTheme="minorHAnsi"/>
                <w:sz w:val="18"/>
                <w:szCs w:val="18"/>
                <w:lang w:eastAsia="en-US" w:bidi="en-US"/>
              </w:rPr>
            </w:pPr>
            <w:r w:rsidRPr="00AE433D">
              <w:rPr>
                <w:rFonts w:eastAsiaTheme="minorHAnsi"/>
                <w:sz w:val="18"/>
                <w:szCs w:val="18"/>
                <w:lang w:eastAsia="en-US" w:bidi="en-US"/>
              </w:rPr>
              <w:t>Instrukcja obsługi i użytkowania w języku polskim, w formie papierowej i elektronicznej, wykaz punktów serwisowych, kopie dokumentów wraz z tłumaczeniem w przypadku oryginału w języku obcym: Certyfikat CE (jeżeli dotyczy) oraz Deklaracja Zgodności – wystawiona przez producenta,</w:t>
            </w:r>
            <w:r w:rsidRPr="00AE433D">
              <w:rPr>
                <w:rFonts w:eastAsia="Calibri"/>
                <w:sz w:val="18"/>
                <w:szCs w:val="18"/>
                <w:shd w:val="clear" w:color="auto" w:fill="FFFFFF"/>
                <w:lang w:eastAsia="en-US" w:bidi="en-US"/>
              </w:rPr>
              <w:t xml:space="preserve"> wykazu czynności serwisowych, które mogą być wykonywane przez użytkownika samodzielnie nieskutkujące utratą gwarancji</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rsidR="004453C8" w:rsidRPr="00AE433D" w:rsidRDefault="004453C8" w:rsidP="004453C8">
            <w:pPr>
              <w:snapToGrid w:val="0"/>
              <w:jc w:val="center"/>
              <w:rPr>
                <w:rFonts w:eastAsiaTheme="minorHAnsi"/>
                <w:sz w:val="18"/>
                <w:szCs w:val="18"/>
                <w:lang w:val="en-US" w:eastAsia="en-US" w:bidi="en-US"/>
              </w:rPr>
            </w:pPr>
            <w:r w:rsidRPr="00AE433D">
              <w:rPr>
                <w:rFonts w:eastAsiaTheme="minorHAnsi"/>
                <w:sz w:val="18"/>
                <w:szCs w:val="18"/>
                <w:lang w:val="en-US" w:eastAsia="en-US" w:bidi="en-US"/>
              </w:rPr>
              <w:t xml:space="preserve">TAK z </w:t>
            </w:r>
            <w:proofErr w:type="spellStart"/>
            <w:r w:rsidRPr="00AE433D">
              <w:rPr>
                <w:rFonts w:eastAsiaTheme="minorHAnsi"/>
                <w:sz w:val="18"/>
                <w:szCs w:val="18"/>
                <w:lang w:val="en-US" w:eastAsia="en-US" w:bidi="en-US"/>
              </w:rPr>
              <w:t>dostawą</w:t>
            </w:r>
            <w:proofErr w:type="spellEnd"/>
          </w:p>
        </w:tc>
        <w:tc>
          <w:tcPr>
            <w:tcW w:w="1134" w:type="dxa"/>
            <w:tcBorders>
              <w:top w:val="single" w:sz="4" w:space="0" w:color="000000"/>
              <w:left w:val="single" w:sz="4" w:space="0" w:color="000000"/>
              <w:bottom w:val="single" w:sz="4" w:space="0" w:color="000000"/>
              <w:right w:val="single" w:sz="4" w:space="0" w:color="000000"/>
            </w:tcBorders>
          </w:tcPr>
          <w:p w:rsidR="004453C8" w:rsidRPr="00AE433D" w:rsidRDefault="004453C8" w:rsidP="004453C8">
            <w:pPr>
              <w:widowControl w:val="0"/>
              <w:rPr>
                <w:sz w:val="20"/>
                <w:szCs w:val="20"/>
              </w:rPr>
            </w:pPr>
            <w:r>
              <w:rPr>
                <w:sz w:val="20"/>
                <w:szCs w:val="20"/>
              </w:rPr>
              <w:t>bez oceny</w:t>
            </w:r>
          </w:p>
        </w:tc>
        <w:tc>
          <w:tcPr>
            <w:tcW w:w="2693" w:type="dxa"/>
            <w:tcBorders>
              <w:top w:val="single" w:sz="4" w:space="0" w:color="000000"/>
              <w:left w:val="single" w:sz="4" w:space="0" w:color="000000"/>
              <w:bottom w:val="single" w:sz="4" w:space="0" w:color="000000"/>
              <w:right w:val="single" w:sz="4" w:space="0" w:color="auto"/>
            </w:tcBorders>
          </w:tcPr>
          <w:p w:rsidR="004453C8" w:rsidRPr="00AE433D" w:rsidRDefault="004453C8" w:rsidP="004453C8">
            <w:pPr>
              <w:widowControl w:val="0"/>
              <w:ind w:left="284"/>
              <w:jc w:val="center"/>
              <w:rPr>
                <w:sz w:val="20"/>
                <w:szCs w:val="20"/>
              </w:rPr>
            </w:pPr>
          </w:p>
        </w:tc>
      </w:tr>
    </w:tbl>
    <w:p w:rsidR="00AC3A21" w:rsidRPr="00ED05BB" w:rsidRDefault="00AC3A21" w:rsidP="00AC3A21">
      <w:pPr>
        <w:suppressAutoHyphens/>
        <w:ind w:firstLine="708"/>
        <w:jc w:val="both"/>
        <w:rPr>
          <w:sz w:val="18"/>
          <w:szCs w:val="18"/>
          <w:lang w:eastAsia="zh-CN"/>
        </w:rPr>
      </w:pPr>
    </w:p>
    <w:p w:rsidR="00AC3A21" w:rsidRPr="00ED05BB" w:rsidRDefault="00AC3A21" w:rsidP="00AC3A21">
      <w:pPr>
        <w:rPr>
          <w:rFonts w:eastAsiaTheme="minorHAnsi"/>
          <w:b/>
          <w:sz w:val="20"/>
          <w:szCs w:val="20"/>
          <w:lang w:val="en-US" w:eastAsia="ar-SA" w:bidi="en-US"/>
        </w:rPr>
      </w:pPr>
      <w:proofErr w:type="spellStart"/>
      <w:r w:rsidRPr="00ED05BB">
        <w:rPr>
          <w:rFonts w:eastAsiaTheme="minorHAnsi"/>
          <w:b/>
          <w:sz w:val="20"/>
          <w:szCs w:val="20"/>
          <w:lang w:val="en-US" w:eastAsia="ar-SA" w:bidi="en-US"/>
        </w:rPr>
        <w:t>Treść</w:t>
      </w:r>
      <w:proofErr w:type="spellEnd"/>
      <w:r w:rsidRPr="00ED05BB">
        <w:rPr>
          <w:rFonts w:eastAsiaTheme="minorHAnsi"/>
          <w:b/>
          <w:sz w:val="20"/>
          <w:szCs w:val="20"/>
          <w:lang w:val="en-US" w:eastAsia="ar-SA" w:bidi="en-US"/>
        </w:rPr>
        <w:t xml:space="preserve"> </w:t>
      </w:r>
      <w:proofErr w:type="spellStart"/>
      <w:r w:rsidRPr="00ED05BB">
        <w:rPr>
          <w:rFonts w:eastAsiaTheme="minorHAnsi"/>
          <w:b/>
          <w:sz w:val="20"/>
          <w:szCs w:val="20"/>
          <w:lang w:val="en-US" w:eastAsia="ar-SA" w:bidi="en-US"/>
        </w:rPr>
        <w:t>oświadczenia</w:t>
      </w:r>
      <w:proofErr w:type="spellEnd"/>
      <w:r w:rsidRPr="00ED05BB">
        <w:rPr>
          <w:rFonts w:eastAsiaTheme="minorHAnsi"/>
          <w:b/>
          <w:sz w:val="20"/>
          <w:szCs w:val="20"/>
          <w:lang w:val="en-US" w:eastAsia="ar-SA" w:bidi="en-US"/>
        </w:rPr>
        <w:t xml:space="preserve"> </w:t>
      </w:r>
      <w:proofErr w:type="spellStart"/>
      <w:r w:rsidRPr="00ED05BB">
        <w:rPr>
          <w:rFonts w:eastAsiaTheme="minorHAnsi"/>
          <w:b/>
          <w:sz w:val="20"/>
          <w:szCs w:val="20"/>
          <w:lang w:val="en-US" w:eastAsia="ar-SA" w:bidi="en-US"/>
        </w:rPr>
        <w:t>wykonawcy</w:t>
      </w:r>
      <w:proofErr w:type="spellEnd"/>
      <w:r w:rsidRPr="00ED05BB">
        <w:rPr>
          <w:rFonts w:eastAsiaTheme="minorHAnsi"/>
          <w:b/>
          <w:sz w:val="20"/>
          <w:szCs w:val="20"/>
          <w:lang w:val="en-US" w:eastAsia="ar-SA" w:bidi="en-US"/>
        </w:rPr>
        <w:t xml:space="preserve">: </w:t>
      </w:r>
    </w:p>
    <w:p w:rsidR="00AC3A21" w:rsidRPr="00ED05BB" w:rsidRDefault="00AC3A21" w:rsidP="00AC3A21">
      <w:pPr>
        <w:numPr>
          <w:ilvl w:val="0"/>
          <w:numId w:val="1"/>
        </w:numPr>
        <w:suppressAutoHyphens/>
        <w:ind w:right="119"/>
        <w:jc w:val="both"/>
        <w:rPr>
          <w:rFonts w:eastAsiaTheme="minorHAnsi"/>
          <w:sz w:val="20"/>
          <w:szCs w:val="20"/>
          <w:lang w:eastAsia="ar-SA" w:bidi="en-US"/>
        </w:rPr>
      </w:pPr>
      <w:r w:rsidRPr="00ED05BB">
        <w:rPr>
          <w:rFonts w:eastAsiaTheme="minorHAnsi"/>
          <w:sz w:val="20"/>
          <w:szCs w:val="20"/>
          <w:lang w:eastAsia="ar-SA" w:bidi="en-US"/>
        </w:rPr>
        <w:lastRenderedPageBreak/>
        <w:t>Oświadczamy, że przedstawione powyżej dane są prawdziwe oraz zobowi</w:t>
      </w:r>
      <w:bookmarkStart w:id="0" w:name="_GoBack"/>
      <w:bookmarkEnd w:id="0"/>
      <w:r w:rsidRPr="00ED05BB">
        <w:rPr>
          <w:rFonts w:eastAsiaTheme="minorHAnsi"/>
          <w:sz w:val="20"/>
          <w:szCs w:val="20"/>
          <w:lang w:eastAsia="ar-SA" w:bidi="en-US"/>
        </w:rPr>
        <w:t>ązujemy się w przypadku wygrania postępowania do dostarczenia sprzętu spełniającego wyspecyfikowane parametry.</w:t>
      </w:r>
    </w:p>
    <w:p w:rsidR="00AC3A21" w:rsidRPr="00ED05BB" w:rsidRDefault="00AC3A21" w:rsidP="00AC3A21">
      <w:pPr>
        <w:numPr>
          <w:ilvl w:val="0"/>
          <w:numId w:val="1"/>
        </w:numPr>
        <w:suppressAutoHyphens/>
        <w:ind w:left="357" w:right="119" w:hanging="357"/>
        <w:jc w:val="both"/>
        <w:rPr>
          <w:rFonts w:eastAsiaTheme="minorHAnsi"/>
          <w:b/>
          <w:sz w:val="20"/>
          <w:szCs w:val="20"/>
          <w:lang w:eastAsia="ar-SA" w:bidi="en-US"/>
        </w:rPr>
      </w:pPr>
      <w:r w:rsidRPr="00ED05BB">
        <w:rPr>
          <w:rFonts w:eastAsiaTheme="minorHAnsi"/>
          <w:sz w:val="20"/>
          <w:szCs w:val="20"/>
          <w:lang w:eastAsia="ar-SA" w:bidi="en-US"/>
        </w:rPr>
        <w:t>Oświadczamy, że oferowany, powyżej wyspecyfikowany sprzęt jest kompletny i po zainstalowaniu będzie gotowy do eksploatacji, bez żadnych dodatkowych zakupów i inwestycji.</w:t>
      </w:r>
    </w:p>
    <w:p w:rsidR="00AC3A21" w:rsidRPr="00ED05BB" w:rsidRDefault="00AC3A21" w:rsidP="00AC3A21">
      <w:pPr>
        <w:rPr>
          <w:rFonts w:eastAsiaTheme="minorHAnsi"/>
          <w:sz w:val="14"/>
          <w:szCs w:val="14"/>
          <w:lang w:bidi="en-US"/>
        </w:rPr>
      </w:pPr>
      <w:r w:rsidRPr="00ED05BB">
        <w:rPr>
          <w:rFonts w:eastAsiaTheme="minorHAnsi"/>
          <w:sz w:val="14"/>
          <w:szCs w:val="14"/>
          <w:lang w:eastAsia="en-US" w:bidi="en-US"/>
        </w:rPr>
        <w:t xml:space="preserve"> </w:t>
      </w:r>
    </w:p>
    <w:p w:rsidR="00AC3A21" w:rsidRPr="00ED05BB" w:rsidRDefault="00AC3A21" w:rsidP="00AC3A21">
      <w:pPr>
        <w:ind w:left="357"/>
        <w:jc w:val="right"/>
        <w:rPr>
          <w:rFonts w:eastAsiaTheme="minorHAnsi"/>
          <w:color w:val="000000"/>
          <w:sz w:val="16"/>
          <w:szCs w:val="20"/>
          <w:lang w:eastAsia="en-US" w:bidi="en-US"/>
        </w:rPr>
      </w:pPr>
      <w:r w:rsidRPr="00ED05BB">
        <w:rPr>
          <w:rFonts w:eastAsiaTheme="minorHAnsi"/>
          <w:color w:val="000000"/>
          <w:sz w:val="16"/>
          <w:szCs w:val="20"/>
          <w:lang w:eastAsia="en-US" w:bidi="en-US"/>
        </w:rPr>
        <w:t xml:space="preserve">………............................................................................... </w:t>
      </w:r>
    </w:p>
    <w:p w:rsidR="00AC3A21" w:rsidRPr="00ED05BB" w:rsidRDefault="00AC3A21" w:rsidP="00AC3A21">
      <w:pPr>
        <w:ind w:left="5103"/>
        <w:jc w:val="right"/>
        <w:rPr>
          <w:sz w:val="16"/>
          <w:szCs w:val="20"/>
        </w:rPr>
      </w:pPr>
      <w:r w:rsidRPr="00ED05BB">
        <w:rPr>
          <w:sz w:val="16"/>
          <w:szCs w:val="20"/>
        </w:rPr>
        <w:t>podpis i  pieczęć  osób wskazanych w dokumencie</w:t>
      </w:r>
    </w:p>
    <w:p w:rsidR="00AC3A21" w:rsidRPr="00ED05BB" w:rsidRDefault="00AC3A21" w:rsidP="00AC3A21">
      <w:pPr>
        <w:jc w:val="right"/>
        <w:rPr>
          <w:sz w:val="16"/>
          <w:szCs w:val="20"/>
        </w:rPr>
      </w:pPr>
      <w:r w:rsidRPr="00ED05BB">
        <w:rPr>
          <w:sz w:val="16"/>
          <w:szCs w:val="20"/>
        </w:rPr>
        <w:t>uprawniającym do występowania w obrocie prawnym</w:t>
      </w:r>
    </w:p>
    <w:p w:rsidR="00AC3A21" w:rsidRPr="00ED05BB" w:rsidRDefault="00AC3A21" w:rsidP="00AC3A21">
      <w:pPr>
        <w:rPr>
          <w:sz w:val="16"/>
          <w:szCs w:val="20"/>
        </w:rPr>
      </w:pPr>
      <w:r w:rsidRPr="00ED05BB">
        <w:rPr>
          <w:sz w:val="16"/>
          <w:szCs w:val="20"/>
        </w:rPr>
        <w:t xml:space="preserve">                                                                                                                                                    lub posiadających pełnomocnictwo</w:t>
      </w:r>
    </w:p>
    <w:p w:rsidR="004453C8" w:rsidRDefault="004453C8"/>
    <w:sectPr w:rsidR="004453C8" w:rsidSect="006A64C6">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53C8" w:rsidRDefault="004453C8" w:rsidP="00AC3A21">
      <w:r>
        <w:separator/>
      </w:r>
    </w:p>
  </w:endnote>
  <w:endnote w:type="continuationSeparator" w:id="0">
    <w:p w:rsidR="004453C8" w:rsidRDefault="004453C8" w:rsidP="00AC3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omic Sans MS">
    <w:panose1 w:val="030F0702030302020204"/>
    <w:charset w:val="EE"/>
    <w:family w:val="script"/>
    <w:pitch w:val="variable"/>
    <w:sig w:usb0="00000287" w:usb1="00000013" w:usb2="00000000" w:usb3="00000000" w:csb0="000000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53C8" w:rsidRDefault="004453C8" w:rsidP="00AC3A21">
      <w:r>
        <w:separator/>
      </w:r>
    </w:p>
  </w:footnote>
  <w:footnote w:type="continuationSeparator" w:id="0">
    <w:p w:rsidR="004453C8" w:rsidRDefault="004453C8" w:rsidP="00AC3A21">
      <w:r>
        <w:continuationSeparator/>
      </w:r>
    </w:p>
  </w:footnote>
  <w:footnote w:id="1">
    <w:p w:rsidR="004453C8" w:rsidRDefault="004453C8" w:rsidP="00AC3A21">
      <w:pPr>
        <w:pStyle w:val="Tekstprzypisudolnego"/>
      </w:pPr>
      <w:r>
        <w:rPr>
          <w:rStyle w:val="Odwoanieprzypisudolnego"/>
        </w:rPr>
        <w:footnoteRef/>
      </w:r>
      <w:r>
        <w:t xml:space="preserve"> </w:t>
      </w:r>
      <w:r w:rsidRPr="00ED61C8">
        <w:t>Odpowiedź NIE - nie powoduje odrzucenia oferty</w:t>
      </w:r>
    </w:p>
  </w:footnote>
  <w:footnote w:id="2">
    <w:p w:rsidR="004453C8" w:rsidRDefault="004453C8" w:rsidP="00AC3A21">
      <w:pPr>
        <w:pStyle w:val="Tekstprzypisudolnego"/>
      </w:pPr>
      <w:r>
        <w:rPr>
          <w:rStyle w:val="Odwoanieprzypisudolnego"/>
        </w:rPr>
        <w:footnoteRef/>
      </w:r>
      <w:r>
        <w:t xml:space="preserve"> </w:t>
      </w:r>
      <w:r w:rsidRPr="00ED61C8">
        <w:t>Odpowiedź NIE - nie powoduje odrzucenia oferty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CC4EE98"/>
    <w:multiLevelType w:val="hybridMultilevel"/>
    <w:tmpl w:val="D87C2A9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6"/>
    <w:multiLevelType w:val="singleLevel"/>
    <w:tmpl w:val="00000006"/>
    <w:name w:val="WW8Num19"/>
    <w:lvl w:ilvl="0">
      <w:start w:val="1"/>
      <w:numFmt w:val="decimal"/>
      <w:lvlText w:val="%1."/>
      <w:lvlJc w:val="left"/>
      <w:pPr>
        <w:tabs>
          <w:tab w:val="num" w:pos="360"/>
        </w:tabs>
        <w:ind w:left="360" w:hanging="360"/>
      </w:pPr>
    </w:lvl>
  </w:abstractNum>
  <w:abstractNum w:abstractNumId="2" w15:restartNumberingAfterBreak="0">
    <w:nsid w:val="15CD1D49"/>
    <w:multiLevelType w:val="hybridMultilevel"/>
    <w:tmpl w:val="E918E06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E2C3A80"/>
    <w:multiLevelType w:val="multilevel"/>
    <w:tmpl w:val="632AE29C"/>
    <w:lvl w:ilvl="0">
      <w:start w:val="1"/>
      <w:numFmt w:val="decimal"/>
      <w:lvlText w:val="%1."/>
      <w:lvlJc w:val="left"/>
      <w:pPr>
        <w:tabs>
          <w:tab w:val="num" w:pos="360"/>
        </w:tabs>
        <w:ind w:left="360" w:hanging="360"/>
      </w:pPr>
      <w:rPr>
        <w:b w:val="0"/>
      </w:rPr>
    </w:lvl>
    <w:lvl w:ilvl="1">
      <w:start w:val="1"/>
      <w:numFmt w:val="decimal"/>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30E625A2"/>
    <w:multiLevelType w:val="multilevel"/>
    <w:tmpl w:val="BD227146"/>
    <w:lvl w:ilvl="0">
      <w:start w:val="1"/>
      <w:numFmt w:val="decimal"/>
      <w:lvlText w:val="%1."/>
      <w:lvlJc w:val="left"/>
      <w:pPr>
        <w:tabs>
          <w:tab w:val="num" w:pos="720"/>
        </w:tabs>
        <w:ind w:left="720" w:hanging="720"/>
      </w:pPr>
    </w:lvl>
    <w:lvl w:ilvl="1">
      <w:start w:val="1"/>
      <w:numFmt w:val="decimal"/>
      <w:pStyle w:val="Nagwek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4710614A"/>
    <w:multiLevelType w:val="hybridMultilevel"/>
    <w:tmpl w:val="37120FC0"/>
    <w:lvl w:ilvl="0" w:tplc="0415000F">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C983495"/>
    <w:multiLevelType w:val="hybridMultilevel"/>
    <w:tmpl w:val="01740492"/>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74EA041F"/>
    <w:multiLevelType w:val="hybridMultilevel"/>
    <w:tmpl w:val="FBFEEE08"/>
    <w:styleLink w:val="WW8Num291132"/>
    <w:lvl w:ilvl="0" w:tplc="FFFFFFFF">
      <w:start w:val="3"/>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8" w15:restartNumberingAfterBreak="0">
    <w:nsid w:val="75093BF1"/>
    <w:multiLevelType w:val="singleLevel"/>
    <w:tmpl w:val="A80C7290"/>
    <w:styleLink w:val="WW8Num29132"/>
    <w:lvl w:ilvl="0">
      <w:numFmt w:val="bullet"/>
      <w:lvlText w:val="-"/>
      <w:lvlJc w:val="left"/>
      <w:pPr>
        <w:tabs>
          <w:tab w:val="num" w:pos="360"/>
        </w:tabs>
        <w:ind w:left="360" w:hanging="360"/>
      </w:pPr>
    </w:lvl>
  </w:abstractNum>
  <w:abstractNum w:abstractNumId="9" w15:restartNumberingAfterBreak="0">
    <w:nsid w:val="7CE95630"/>
    <w:multiLevelType w:val="hybridMultilevel"/>
    <w:tmpl w:val="5EDC81F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8"/>
  </w:num>
  <w:num w:numId="4">
    <w:abstractNumId w:val="4"/>
  </w:num>
  <w:num w:numId="5">
    <w:abstractNumId w:val="5"/>
  </w:num>
  <w:num w:numId="6">
    <w:abstractNumId w:val="6"/>
  </w:num>
  <w:num w:numId="7">
    <w:abstractNumId w:val="2"/>
  </w:num>
  <w:num w:numId="8">
    <w:abstractNumId w:val="9"/>
  </w:num>
  <w:num w:numId="9">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1"/>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A21"/>
    <w:rsid w:val="001D6D05"/>
    <w:rsid w:val="004453C8"/>
    <w:rsid w:val="006A64C6"/>
    <w:rsid w:val="00966191"/>
    <w:rsid w:val="00A02E1B"/>
    <w:rsid w:val="00AC3A21"/>
    <w:rsid w:val="00B3292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43C2BA-ABEE-4A74-89EF-B32BF9D9D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AC3A21"/>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uiPriority w:val="9"/>
    <w:qFormat/>
    <w:rsid w:val="00AC3A2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qFormat/>
    <w:rsid w:val="00AC3A21"/>
    <w:pPr>
      <w:keepNext/>
      <w:outlineLvl w:val="2"/>
    </w:pPr>
    <w:rPr>
      <w:rFonts w:ascii="Comic Sans MS" w:hAnsi="Comic Sans MS"/>
      <w:b/>
      <w:bCs/>
      <w:sz w:val="18"/>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AC3A21"/>
    <w:rPr>
      <w:rFonts w:asciiTheme="majorHAnsi" w:eastAsiaTheme="majorEastAsia" w:hAnsiTheme="majorHAnsi" w:cstheme="majorBidi"/>
      <w:color w:val="2F5496" w:themeColor="accent1" w:themeShade="BF"/>
      <w:sz w:val="32"/>
      <w:szCs w:val="32"/>
      <w:lang w:eastAsia="pl-PL"/>
    </w:rPr>
  </w:style>
  <w:style w:type="character" w:customStyle="1" w:styleId="Nagwek3Znak">
    <w:name w:val="Nagłówek 3 Znak"/>
    <w:basedOn w:val="Domylnaczcionkaakapitu"/>
    <w:link w:val="Nagwek3"/>
    <w:rsid w:val="00AC3A21"/>
    <w:rPr>
      <w:rFonts w:ascii="Comic Sans MS" w:eastAsia="Times New Roman" w:hAnsi="Comic Sans MS" w:cs="Times New Roman"/>
      <w:b/>
      <w:bCs/>
      <w:sz w:val="18"/>
      <w:lang w:eastAsia="pl-PL"/>
    </w:rPr>
  </w:style>
  <w:style w:type="paragraph" w:styleId="Akapitzlist">
    <w:name w:val="List Paragraph"/>
    <w:aliases w:val="Podsis rysunku,BulletC,Bullet Number,List Paragraph1,List Paragraph2,ISCG Numerowanie,lp11,List Paragraph11,Bullet 1,Use Case List Paragraph,Body MS Bullet,Colorful List Accent 1,Medium Grid 1 Accent 2,Medium Grid 1 - Accent 21,L1,Obiekt"/>
    <w:basedOn w:val="Normalny"/>
    <w:link w:val="AkapitzlistZnak"/>
    <w:uiPriority w:val="34"/>
    <w:qFormat/>
    <w:rsid w:val="00AC3A21"/>
    <w:pPr>
      <w:ind w:left="720"/>
      <w:contextualSpacing/>
    </w:pPr>
  </w:style>
  <w:style w:type="paragraph" w:styleId="Nagwek">
    <w:name w:val="header"/>
    <w:basedOn w:val="Normalny"/>
    <w:link w:val="NagwekZnak"/>
    <w:uiPriority w:val="99"/>
    <w:unhideWhenUsed/>
    <w:rsid w:val="00AC3A21"/>
    <w:pPr>
      <w:tabs>
        <w:tab w:val="center" w:pos="4536"/>
        <w:tab w:val="right" w:pos="9072"/>
      </w:tabs>
    </w:pPr>
  </w:style>
  <w:style w:type="character" w:customStyle="1" w:styleId="NagwekZnak">
    <w:name w:val="Nagłówek Znak"/>
    <w:basedOn w:val="Domylnaczcionkaakapitu"/>
    <w:link w:val="Nagwek"/>
    <w:uiPriority w:val="99"/>
    <w:rsid w:val="00AC3A21"/>
    <w:rPr>
      <w:rFonts w:ascii="Times New Roman" w:eastAsia="Times New Roman" w:hAnsi="Times New Roman" w:cs="Times New Roman"/>
      <w:sz w:val="24"/>
      <w:szCs w:val="24"/>
      <w:lang w:eastAsia="pl-PL"/>
    </w:rPr>
  </w:style>
  <w:style w:type="table" w:styleId="Tabela-Siatka">
    <w:name w:val="Table Grid"/>
    <w:basedOn w:val="Standardowy"/>
    <w:uiPriority w:val="59"/>
    <w:rsid w:val="00AC3A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uiPriority w:val="59"/>
    <w:rsid w:val="00AC3A2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link w:val="BezodstpwZnak"/>
    <w:uiPriority w:val="1"/>
    <w:qFormat/>
    <w:rsid w:val="00AC3A21"/>
    <w:pPr>
      <w:spacing w:after="0" w:line="240" w:lineRule="auto"/>
    </w:pPr>
    <w:rPr>
      <w:rFonts w:ascii="Calibri" w:eastAsia="Times New Roman" w:hAnsi="Calibri" w:cs="Times New Roman"/>
    </w:rPr>
  </w:style>
  <w:style w:type="character" w:customStyle="1" w:styleId="BezodstpwZnak">
    <w:name w:val="Bez odstępów Znak"/>
    <w:link w:val="Bezodstpw"/>
    <w:uiPriority w:val="1"/>
    <w:rsid w:val="00AC3A21"/>
    <w:rPr>
      <w:rFonts w:ascii="Calibri" w:eastAsia="Times New Roman" w:hAnsi="Calibri" w:cs="Times New Roman"/>
    </w:rPr>
  </w:style>
  <w:style w:type="paragraph" w:styleId="Tytu">
    <w:name w:val="Title"/>
    <w:basedOn w:val="Normalny"/>
    <w:link w:val="TytuZnak"/>
    <w:uiPriority w:val="99"/>
    <w:qFormat/>
    <w:rsid w:val="00AC3A21"/>
    <w:pPr>
      <w:jc w:val="center"/>
    </w:pPr>
    <w:rPr>
      <w:sz w:val="28"/>
      <w:szCs w:val="20"/>
    </w:rPr>
  </w:style>
  <w:style w:type="character" w:customStyle="1" w:styleId="TytuZnak">
    <w:name w:val="Tytuł Znak"/>
    <w:basedOn w:val="Domylnaczcionkaakapitu"/>
    <w:link w:val="Tytu"/>
    <w:uiPriority w:val="99"/>
    <w:rsid w:val="00AC3A21"/>
    <w:rPr>
      <w:rFonts w:ascii="Times New Roman" w:eastAsia="Times New Roman" w:hAnsi="Times New Roman" w:cs="Times New Roman"/>
      <w:sz w:val="28"/>
      <w:szCs w:val="20"/>
      <w:lang w:eastAsia="pl-PL"/>
    </w:rPr>
  </w:style>
  <w:style w:type="paragraph" w:styleId="Tekstdymka">
    <w:name w:val="Balloon Text"/>
    <w:basedOn w:val="Normalny"/>
    <w:link w:val="TekstdymkaZnak"/>
    <w:uiPriority w:val="99"/>
    <w:semiHidden/>
    <w:unhideWhenUsed/>
    <w:rsid w:val="00AC3A21"/>
    <w:rPr>
      <w:rFonts w:ascii="Tahoma" w:hAnsi="Tahoma" w:cs="Tahoma"/>
      <w:sz w:val="16"/>
      <w:szCs w:val="16"/>
    </w:rPr>
  </w:style>
  <w:style w:type="character" w:customStyle="1" w:styleId="TekstdymkaZnak">
    <w:name w:val="Tekst dymka Znak"/>
    <w:basedOn w:val="Domylnaczcionkaakapitu"/>
    <w:link w:val="Tekstdymka"/>
    <w:uiPriority w:val="99"/>
    <w:semiHidden/>
    <w:rsid w:val="00AC3A21"/>
    <w:rPr>
      <w:rFonts w:ascii="Tahoma" w:eastAsia="Times New Roman" w:hAnsi="Tahoma" w:cs="Tahoma"/>
      <w:sz w:val="16"/>
      <w:szCs w:val="16"/>
      <w:lang w:eastAsia="pl-PL"/>
    </w:rPr>
  </w:style>
  <w:style w:type="paragraph" w:styleId="Stopka">
    <w:name w:val="footer"/>
    <w:basedOn w:val="Normalny"/>
    <w:link w:val="StopkaZnak"/>
    <w:uiPriority w:val="99"/>
    <w:unhideWhenUsed/>
    <w:rsid w:val="00AC3A21"/>
    <w:pPr>
      <w:tabs>
        <w:tab w:val="center" w:pos="4536"/>
        <w:tab w:val="right" w:pos="9072"/>
      </w:tabs>
    </w:pPr>
  </w:style>
  <w:style w:type="character" w:customStyle="1" w:styleId="StopkaZnak">
    <w:name w:val="Stopka Znak"/>
    <w:basedOn w:val="Domylnaczcionkaakapitu"/>
    <w:link w:val="Stopka"/>
    <w:uiPriority w:val="99"/>
    <w:rsid w:val="00AC3A21"/>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AC3A21"/>
    <w:rPr>
      <w:b/>
      <w:bCs/>
    </w:rPr>
  </w:style>
  <w:style w:type="table" w:customStyle="1" w:styleId="TableNormal">
    <w:name w:val="Table Normal"/>
    <w:uiPriority w:val="2"/>
    <w:semiHidden/>
    <w:unhideWhenUsed/>
    <w:qFormat/>
    <w:rsid w:val="00AC3A2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ekstpodstawowy">
    <w:name w:val="Body Text"/>
    <w:basedOn w:val="Normalny"/>
    <w:link w:val="TekstpodstawowyZnak"/>
    <w:uiPriority w:val="1"/>
    <w:qFormat/>
    <w:rsid w:val="00AC3A21"/>
    <w:pPr>
      <w:widowControl w:val="0"/>
      <w:autoSpaceDE w:val="0"/>
      <w:autoSpaceDN w:val="0"/>
    </w:pPr>
    <w:rPr>
      <w:sz w:val="15"/>
      <w:szCs w:val="15"/>
    </w:rPr>
  </w:style>
  <w:style w:type="character" w:customStyle="1" w:styleId="TekstpodstawowyZnak">
    <w:name w:val="Tekst podstawowy Znak"/>
    <w:basedOn w:val="Domylnaczcionkaakapitu"/>
    <w:link w:val="Tekstpodstawowy"/>
    <w:uiPriority w:val="1"/>
    <w:rsid w:val="00AC3A21"/>
    <w:rPr>
      <w:rFonts w:ascii="Times New Roman" w:eastAsia="Times New Roman" w:hAnsi="Times New Roman" w:cs="Times New Roman"/>
      <w:sz w:val="15"/>
      <w:szCs w:val="15"/>
      <w:lang w:eastAsia="pl-PL"/>
    </w:rPr>
  </w:style>
  <w:style w:type="paragraph" w:customStyle="1" w:styleId="TableParagraph">
    <w:name w:val="Table Paragraph"/>
    <w:basedOn w:val="Normalny"/>
    <w:uiPriority w:val="1"/>
    <w:qFormat/>
    <w:rsid w:val="00AC3A21"/>
    <w:pPr>
      <w:widowControl w:val="0"/>
      <w:autoSpaceDE w:val="0"/>
      <w:autoSpaceDN w:val="0"/>
    </w:pPr>
    <w:rPr>
      <w:sz w:val="22"/>
      <w:szCs w:val="22"/>
    </w:rPr>
  </w:style>
  <w:style w:type="paragraph" w:styleId="Tekstprzypisudolnego">
    <w:name w:val="footnote text"/>
    <w:aliases w:val="Podrozdział"/>
    <w:basedOn w:val="Normalny"/>
    <w:link w:val="TekstprzypisudolnegoZnak"/>
    <w:uiPriority w:val="99"/>
    <w:unhideWhenUsed/>
    <w:rsid w:val="00AC3A21"/>
    <w:rPr>
      <w:sz w:val="20"/>
      <w:szCs w:val="20"/>
    </w:rPr>
  </w:style>
  <w:style w:type="character" w:customStyle="1" w:styleId="TekstprzypisudolnegoZnak">
    <w:name w:val="Tekst przypisu dolnego Znak"/>
    <w:aliases w:val="Podrozdział Znak"/>
    <w:basedOn w:val="Domylnaczcionkaakapitu"/>
    <w:link w:val="Tekstprzypisudolnego"/>
    <w:uiPriority w:val="99"/>
    <w:rsid w:val="00AC3A21"/>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unhideWhenUsed/>
    <w:rsid w:val="00AC3A21"/>
    <w:rPr>
      <w:vertAlign w:val="superscript"/>
    </w:rPr>
  </w:style>
  <w:style w:type="character" w:customStyle="1" w:styleId="Teksttreci">
    <w:name w:val="Tekst treści_"/>
    <w:link w:val="Teksttreci0"/>
    <w:uiPriority w:val="99"/>
    <w:locked/>
    <w:rsid w:val="00AC3A21"/>
    <w:rPr>
      <w:sz w:val="17"/>
      <w:shd w:val="clear" w:color="auto" w:fill="FFFFFF"/>
    </w:rPr>
  </w:style>
  <w:style w:type="paragraph" w:customStyle="1" w:styleId="Teksttreci0">
    <w:name w:val="Tekst treści"/>
    <w:basedOn w:val="Normalny"/>
    <w:link w:val="Teksttreci"/>
    <w:uiPriority w:val="99"/>
    <w:rsid w:val="00AC3A21"/>
    <w:pPr>
      <w:shd w:val="clear" w:color="auto" w:fill="FFFFFF"/>
      <w:spacing w:line="240" w:lineRule="atLeast"/>
    </w:pPr>
    <w:rPr>
      <w:rFonts w:asciiTheme="minorHAnsi" w:eastAsiaTheme="minorHAnsi" w:hAnsiTheme="minorHAnsi" w:cstheme="minorBidi"/>
      <w:sz w:val="17"/>
      <w:szCs w:val="22"/>
      <w:lang w:eastAsia="en-US"/>
    </w:rPr>
  </w:style>
  <w:style w:type="character" w:customStyle="1" w:styleId="TekstprzypisudolnegoZnak1">
    <w:name w:val="Tekst przypisu dolnego Znak1"/>
    <w:aliases w:val="Podrozdział Znak1"/>
    <w:uiPriority w:val="99"/>
    <w:locked/>
    <w:rsid w:val="00AC3A21"/>
    <w:rPr>
      <w:rFonts w:ascii="Times New Roman" w:eastAsia="Times New Roman" w:hAnsi="Times New Roman" w:cs="Times New Roman"/>
      <w:sz w:val="20"/>
      <w:szCs w:val="20"/>
      <w:lang w:eastAsia="pl-PL"/>
    </w:rPr>
  </w:style>
  <w:style w:type="numbering" w:customStyle="1" w:styleId="WW8Num291132">
    <w:name w:val="WW8Num291132"/>
    <w:rsid w:val="00AC3A21"/>
    <w:pPr>
      <w:numPr>
        <w:numId w:val="2"/>
      </w:numPr>
    </w:pPr>
  </w:style>
  <w:style w:type="numbering" w:customStyle="1" w:styleId="WW8Num29132">
    <w:name w:val="WW8Num29132"/>
    <w:rsid w:val="00AC3A21"/>
    <w:pPr>
      <w:numPr>
        <w:numId w:val="3"/>
      </w:numPr>
    </w:pPr>
  </w:style>
  <w:style w:type="character" w:styleId="Hipercze">
    <w:name w:val="Hyperlink"/>
    <w:rsid w:val="00AC3A21"/>
    <w:rPr>
      <w:color w:val="0000FF"/>
      <w:u w:val="single"/>
    </w:rPr>
  </w:style>
  <w:style w:type="character" w:customStyle="1" w:styleId="AkapitzlistZnak">
    <w:name w:val="Akapit z listą Znak"/>
    <w:aliases w:val="Podsis rysunku Znak,BulletC Znak,Bullet Number Znak,List Paragraph1 Znak,List Paragraph2 Znak,ISCG Numerowanie Znak,lp11 Znak,List Paragraph11 Znak,Bullet 1 Znak,Use Case List Paragraph Znak,Body MS Bullet Znak,L1 Znak,Obiekt Znak"/>
    <w:link w:val="Akapitzlist"/>
    <w:uiPriority w:val="34"/>
    <w:qFormat/>
    <w:rsid w:val="00AC3A21"/>
    <w:rPr>
      <w:rFonts w:ascii="Times New Roman" w:eastAsia="Times New Roman" w:hAnsi="Times New Roman" w:cs="Times New Roman"/>
      <w:sz w:val="24"/>
      <w:szCs w:val="24"/>
      <w:lang w:eastAsia="pl-PL"/>
    </w:rPr>
  </w:style>
  <w:style w:type="paragraph" w:customStyle="1" w:styleId="Standard">
    <w:name w:val="Standard"/>
    <w:rsid w:val="00AC3A21"/>
    <w:pPr>
      <w:suppressAutoHyphens/>
      <w:autoSpaceDN w:val="0"/>
      <w:spacing w:after="0" w:line="100" w:lineRule="atLeast"/>
      <w:textAlignment w:val="baseline"/>
    </w:pPr>
    <w:rPr>
      <w:rFonts w:ascii="Times New Roman" w:eastAsia="Lucida Sans Unicode" w:hAnsi="Times New Roman" w:cs="Times New Roman"/>
      <w:color w:val="00000A"/>
      <w:kern w:val="3"/>
      <w:sz w:val="24"/>
      <w:szCs w:val="24"/>
      <w:lang w:eastAsia="hi-IN" w:bidi="hi-IN"/>
    </w:rPr>
  </w:style>
  <w:style w:type="character" w:styleId="Wyrnieniedelikatne">
    <w:name w:val="Subtle Emphasis"/>
    <w:rsid w:val="00AC3A21"/>
    <w:rPr>
      <w:i/>
      <w:iCs/>
      <w:color w:val="404040"/>
    </w:rPr>
  </w:style>
  <w:style w:type="paragraph" w:customStyle="1" w:styleId="Domynie">
    <w:name w:val="Domy徑nie"/>
    <w:rsid w:val="00AC3A21"/>
    <w:pPr>
      <w:widowControl w:val="0"/>
      <w:suppressAutoHyphens/>
      <w:spacing w:after="0" w:line="240" w:lineRule="auto"/>
    </w:pPr>
    <w:rPr>
      <w:rFonts w:ascii="Garamond" w:eastAsia="Arial" w:hAnsi="Garamond" w:cs="Garamond"/>
      <w:kern w:val="1"/>
      <w:sz w:val="24"/>
      <w:szCs w:val="24"/>
      <w:lang w:eastAsia="hi-IN" w:bidi="hi-IN"/>
    </w:rPr>
  </w:style>
  <w:style w:type="paragraph" w:customStyle="1" w:styleId="Default">
    <w:name w:val="Default"/>
    <w:rsid w:val="00AC3A21"/>
    <w:pPr>
      <w:suppressAutoHyphens/>
      <w:autoSpaceDE w:val="0"/>
      <w:spacing w:after="0" w:line="240" w:lineRule="auto"/>
    </w:pPr>
    <w:rPr>
      <w:rFonts w:ascii="Trebuchet MS" w:eastAsia="Calibri" w:hAnsi="Trebuchet MS" w:cs="Trebuchet MS"/>
      <w:color w:val="000000"/>
      <w:sz w:val="24"/>
      <w:szCs w:val="24"/>
      <w:lang w:eastAsia="zh-CN"/>
    </w:rPr>
  </w:style>
  <w:style w:type="table" w:customStyle="1" w:styleId="Tabela-Siatka2">
    <w:name w:val="Tabela - Siatka2"/>
    <w:basedOn w:val="Standardowy"/>
    <w:next w:val="Tabela-Siatka"/>
    <w:uiPriority w:val="59"/>
    <w:rsid w:val="00AC3A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ezodstpw1">
    <w:name w:val="Bez odstępów1"/>
    <w:rsid w:val="00AC3A21"/>
    <w:pPr>
      <w:spacing w:after="0" w:line="240" w:lineRule="auto"/>
    </w:pPr>
    <w:rPr>
      <w:rFonts w:ascii="Calibri" w:eastAsia="Times New Roman" w:hAnsi="Calibri" w:cs="Times New Roman"/>
    </w:rPr>
  </w:style>
  <w:style w:type="paragraph" w:customStyle="1" w:styleId="Tekstkomentarza1">
    <w:name w:val="Tekst komentarza1"/>
    <w:basedOn w:val="Normalny"/>
    <w:rsid w:val="00AC3A21"/>
    <w:pPr>
      <w:suppressAutoHyphens/>
    </w:pPr>
    <w:rPr>
      <w:sz w:val="20"/>
      <w:szCs w:val="20"/>
      <w:lang w:eastAsia="ar-SA"/>
    </w:rPr>
  </w:style>
  <w:style w:type="paragraph" w:customStyle="1" w:styleId="Bezodstpw2">
    <w:name w:val="Bez odstępów2"/>
    <w:rsid w:val="00AC3A21"/>
    <w:pPr>
      <w:spacing w:after="0" w:line="240" w:lineRule="auto"/>
    </w:pPr>
    <w:rPr>
      <w:rFonts w:ascii="Calibri" w:eastAsia="Times New Roman" w:hAnsi="Calibri" w:cs="Times New Roman"/>
    </w:rPr>
  </w:style>
  <w:style w:type="paragraph" w:customStyle="1" w:styleId="Nagwek2">
    <w:name w:val="Nagłówek2"/>
    <w:autoRedefine/>
    <w:qFormat/>
    <w:rsid w:val="00AC3A21"/>
    <w:pPr>
      <w:numPr>
        <w:ilvl w:val="1"/>
        <w:numId w:val="4"/>
      </w:numPr>
      <w:spacing w:after="0" w:line="240" w:lineRule="auto"/>
      <w:ind w:left="924" w:hanging="567"/>
    </w:pPr>
    <w:rPr>
      <w:rFonts w:eastAsiaTheme="majorEastAsia" w:cstheme="minorHAnsi"/>
      <w:color w:val="000000" w:themeColor="text1"/>
      <w:kern w:val="2"/>
      <w:sz w:val="24"/>
      <w:szCs w:val="26"/>
    </w:rPr>
  </w:style>
  <w:style w:type="paragraph" w:customStyle="1" w:styleId="Zawartotabeli">
    <w:name w:val="Zawartość tabeli"/>
    <w:basedOn w:val="Normalny"/>
    <w:rsid w:val="00AC3A21"/>
    <w:pPr>
      <w:suppressLineNumbers/>
      <w:suppressAutoHyphens/>
      <w:spacing w:line="100" w:lineRule="atLeast"/>
    </w:pPr>
    <w:rPr>
      <w:rFonts w:eastAsia="Lucida Sans Unicode" w:cs="Mangal"/>
      <w:kern w:val="1"/>
      <w:lang w:eastAsia="hi-IN" w:bidi="hi-IN"/>
    </w:rPr>
  </w:style>
  <w:style w:type="character" w:styleId="Numerstrony">
    <w:name w:val="page number"/>
    <w:basedOn w:val="Domylnaczcionkaakapitu"/>
    <w:uiPriority w:val="99"/>
    <w:semiHidden/>
    <w:unhideWhenUsed/>
    <w:rsid w:val="00AC3A21"/>
  </w:style>
  <w:style w:type="character" w:styleId="Odwoaniedokomentarza">
    <w:name w:val="annotation reference"/>
    <w:basedOn w:val="Domylnaczcionkaakapitu"/>
    <w:uiPriority w:val="99"/>
    <w:semiHidden/>
    <w:unhideWhenUsed/>
    <w:rsid w:val="00AC3A21"/>
    <w:rPr>
      <w:sz w:val="16"/>
      <w:szCs w:val="16"/>
    </w:rPr>
  </w:style>
  <w:style w:type="paragraph" w:styleId="Tekstkomentarza">
    <w:name w:val="annotation text"/>
    <w:basedOn w:val="Normalny"/>
    <w:link w:val="TekstkomentarzaZnak"/>
    <w:uiPriority w:val="99"/>
    <w:semiHidden/>
    <w:unhideWhenUsed/>
    <w:rsid w:val="00AC3A21"/>
    <w:pPr>
      <w:spacing w:after="200"/>
    </w:pPr>
    <w:rPr>
      <w:rFonts w:asciiTheme="minorHAnsi" w:eastAsiaTheme="minorHAnsi" w:hAnsiTheme="minorHAnsi" w:cstheme="minorBidi"/>
      <w:sz w:val="20"/>
      <w:szCs w:val="20"/>
      <w:lang w:eastAsia="en-US"/>
    </w:rPr>
  </w:style>
  <w:style w:type="character" w:customStyle="1" w:styleId="TekstkomentarzaZnak">
    <w:name w:val="Tekst komentarza Znak"/>
    <w:basedOn w:val="Domylnaczcionkaakapitu"/>
    <w:link w:val="Tekstkomentarza"/>
    <w:uiPriority w:val="99"/>
    <w:semiHidden/>
    <w:rsid w:val="00AC3A21"/>
    <w:rPr>
      <w:sz w:val="20"/>
      <w:szCs w:val="20"/>
    </w:rPr>
  </w:style>
  <w:style w:type="paragraph" w:styleId="Tematkomentarza">
    <w:name w:val="annotation subject"/>
    <w:basedOn w:val="Tekstkomentarza"/>
    <w:next w:val="Tekstkomentarza"/>
    <w:link w:val="TematkomentarzaZnak"/>
    <w:uiPriority w:val="99"/>
    <w:semiHidden/>
    <w:unhideWhenUsed/>
    <w:rsid w:val="00AC3A21"/>
    <w:rPr>
      <w:b/>
      <w:bCs/>
    </w:rPr>
  </w:style>
  <w:style w:type="character" w:customStyle="1" w:styleId="TematkomentarzaZnak">
    <w:name w:val="Temat komentarza Znak"/>
    <w:basedOn w:val="TekstkomentarzaZnak"/>
    <w:link w:val="Tematkomentarza"/>
    <w:uiPriority w:val="99"/>
    <w:semiHidden/>
    <w:rsid w:val="00AC3A2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30</Pages>
  <Words>8793</Words>
  <Characters>52760</Characters>
  <Application>Microsoft Office Word</Application>
  <DocSecurity>0</DocSecurity>
  <Lines>439</Lines>
  <Paragraphs>122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Piotr Strąk</dc:creator>
  <cp:keywords/>
  <dc:description/>
  <cp:lastModifiedBy>Piotr Strąk</cp:lastModifiedBy>
  <cp:revision>4</cp:revision>
  <dcterms:created xsi:type="dcterms:W3CDTF">2025-03-03T14:12:00Z</dcterms:created>
  <dcterms:modified xsi:type="dcterms:W3CDTF">2025-03-06T12:54:00Z</dcterms:modified>
</cp:coreProperties>
</file>