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D1" w:rsidRPr="00585291" w:rsidRDefault="00E84AD1" w:rsidP="00E84AD1">
      <w:pPr>
        <w:suppressAutoHyphens/>
        <w:autoSpaceDN w:val="0"/>
        <w:spacing w:after="200" w:line="276" w:lineRule="auto"/>
        <w:jc w:val="center"/>
        <w:textAlignment w:val="baseline"/>
        <w:outlineLvl w:val="0"/>
        <w:rPr>
          <w:rFonts w:ascii="Arial" w:eastAsia="Calibri" w:hAnsi="Arial" w:cs="Arial"/>
          <w:b/>
          <w:sz w:val="24"/>
          <w:szCs w:val="24"/>
        </w:rPr>
      </w:pPr>
      <w:r w:rsidRPr="00585291">
        <w:rPr>
          <w:rFonts w:ascii="Arial" w:eastAsia="Calibri" w:hAnsi="Arial" w:cs="Arial"/>
          <w:b/>
          <w:sz w:val="24"/>
          <w:szCs w:val="24"/>
        </w:rPr>
        <w:t>JEDNOSTKA WOJSKOWA 1155</w:t>
      </w:r>
    </w:p>
    <w:p w:rsidR="00E84AD1" w:rsidRPr="00585291" w:rsidRDefault="00A214C8" w:rsidP="00E84AD1">
      <w:pPr>
        <w:pBdr>
          <w:between w:val="single" w:sz="4" w:space="1" w:color="auto"/>
        </w:pBdr>
        <w:suppressAutoHyphens/>
        <w:autoSpaceDN w:val="0"/>
        <w:spacing w:after="0" w:line="240" w:lineRule="auto"/>
        <w:jc w:val="center"/>
        <w:textAlignment w:val="baseline"/>
        <w:rPr>
          <w:rFonts w:ascii="Arial" w:eastAsia="Calibri" w:hAnsi="Arial" w:cs="Arial"/>
          <w:bCs/>
          <w:sz w:val="24"/>
          <w:szCs w:val="24"/>
          <w:lang w:eastAsia="ar-SA"/>
        </w:rPr>
      </w:pPr>
      <w:r>
        <w:rPr>
          <w:rFonts w:ascii="Arial" w:eastAsia="Calibri" w:hAnsi="Arial" w:cs="Arial"/>
          <w:bCs/>
          <w:sz w:val="24"/>
          <w:szCs w:val="24"/>
          <w:lang w:eastAsia="ar-SA"/>
        </w:rPr>
        <w:t>SEKCJA</w:t>
      </w:r>
      <w:r w:rsidR="00E84AD1" w:rsidRPr="00585291">
        <w:rPr>
          <w:rFonts w:ascii="Arial" w:eastAsia="Calibri" w:hAnsi="Arial" w:cs="Arial"/>
          <w:bCs/>
          <w:sz w:val="24"/>
          <w:szCs w:val="24"/>
          <w:lang w:eastAsia="ar-SA"/>
        </w:rPr>
        <w:t xml:space="preserve"> OCHRONY INFORMACJI NIEJAWNYCH</w:t>
      </w:r>
    </w:p>
    <w:p w:rsidR="00E84AD1" w:rsidRPr="00585291" w:rsidRDefault="00E84AD1" w:rsidP="00E84AD1">
      <w:pPr>
        <w:suppressAutoHyphens/>
        <w:autoSpaceDN w:val="0"/>
        <w:spacing w:after="0" w:line="240" w:lineRule="auto"/>
        <w:jc w:val="both"/>
        <w:textAlignment w:val="baseline"/>
        <w:rPr>
          <w:rFonts w:ascii="Arial" w:eastAsia="Calibri" w:hAnsi="Arial"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tabs>
          <w:tab w:val="center" w:pos="4702"/>
        </w:tabs>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tabs>
          <w:tab w:val="center" w:pos="4702"/>
        </w:tabs>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tabs>
          <w:tab w:val="left" w:pos="708"/>
        </w:tabs>
        <w:suppressAutoHyphens/>
        <w:autoSpaceDN w:val="0"/>
        <w:spacing w:before="60" w:after="200" w:line="276" w:lineRule="auto"/>
        <w:ind w:firstLine="567"/>
        <w:jc w:val="center"/>
        <w:textAlignment w:val="baseline"/>
        <w:rPr>
          <w:rFonts w:ascii="Arial" w:eastAsia="Calibri" w:hAnsi="Arial" w:cs="Arial"/>
          <w:b/>
          <w:sz w:val="24"/>
          <w:szCs w:val="24"/>
        </w:rPr>
      </w:pPr>
      <w:r w:rsidRPr="00585291">
        <w:rPr>
          <w:rFonts w:ascii="Arial" w:eastAsia="Calibri" w:hAnsi="Arial" w:cs="Arial"/>
          <w:b/>
          <w:sz w:val="24"/>
          <w:szCs w:val="24"/>
        </w:rPr>
        <w:t>INSTRUKCJA</w:t>
      </w:r>
    </w:p>
    <w:p w:rsidR="00E84AD1" w:rsidRPr="00585291" w:rsidRDefault="00E84AD1" w:rsidP="00E84AD1">
      <w:pPr>
        <w:tabs>
          <w:tab w:val="left" w:pos="708"/>
        </w:tabs>
        <w:suppressAutoHyphens/>
        <w:autoSpaceDN w:val="0"/>
        <w:spacing w:before="60" w:after="200" w:line="276" w:lineRule="auto"/>
        <w:ind w:firstLine="567"/>
        <w:jc w:val="center"/>
        <w:textAlignment w:val="baseline"/>
        <w:rPr>
          <w:rFonts w:ascii="Arial" w:eastAsia="Calibri" w:hAnsi="Arial" w:cs="Arial"/>
          <w:b/>
          <w:sz w:val="24"/>
          <w:szCs w:val="24"/>
        </w:rPr>
      </w:pPr>
      <w:r w:rsidRPr="00585291">
        <w:rPr>
          <w:rFonts w:ascii="Arial" w:eastAsia="Calibri" w:hAnsi="Arial" w:cs="Arial"/>
          <w:b/>
          <w:sz w:val="24"/>
          <w:szCs w:val="24"/>
        </w:rPr>
        <w:t>BEZPIECZEŃSTWA PRZEMYSŁOWEGO</w:t>
      </w:r>
    </w:p>
    <w:p w:rsidR="00E84AD1" w:rsidRPr="00585291" w:rsidRDefault="00E84AD1" w:rsidP="00E84AD1">
      <w:pPr>
        <w:tabs>
          <w:tab w:val="left" w:pos="708"/>
        </w:tabs>
        <w:suppressAutoHyphens/>
        <w:autoSpaceDN w:val="0"/>
        <w:spacing w:before="60" w:after="200" w:line="276" w:lineRule="auto"/>
        <w:ind w:firstLine="567"/>
        <w:jc w:val="both"/>
        <w:textAlignment w:val="baseline"/>
        <w:rPr>
          <w:rFonts w:ascii="Arial" w:eastAsia="Calibri" w:hAnsi="Arial" w:cs="Arial"/>
          <w:sz w:val="20"/>
          <w:szCs w:val="20"/>
        </w:rPr>
      </w:pPr>
      <w:r w:rsidRPr="00585291">
        <w:rPr>
          <w:rFonts w:ascii="Arial" w:eastAsia="Calibri" w:hAnsi="Arial" w:cs="Arial"/>
          <w:sz w:val="20"/>
          <w:szCs w:val="20"/>
        </w:rPr>
        <w:t xml:space="preserve">do umowy na realizację świadczenia usługi w tym </w:t>
      </w:r>
      <w:r w:rsidR="00F62B0B">
        <w:rPr>
          <w:rFonts w:ascii="Arial" w:hAnsi="Arial" w:cs="Arial"/>
          <w:sz w:val="20"/>
          <w:szCs w:val="20"/>
        </w:rPr>
        <w:t>n</w:t>
      </w:r>
      <w:r w:rsidR="00F62B0B" w:rsidRPr="002A0F4C">
        <w:rPr>
          <w:rFonts w:ascii="Arial" w:hAnsi="Arial" w:cs="Arial"/>
          <w:sz w:val="20"/>
          <w:szCs w:val="20"/>
        </w:rPr>
        <w:t>apraw, napraw</w:t>
      </w:r>
      <w:r w:rsidR="00F62B0B">
        <w:rPr>
          <w:rFonts w:ascii="Arial" w:hAnsi="Arial" w:cs="Arial"/>
          <w:sz w:val="20"/>
          <w:szCs w:val="20"/>
        </w:rPr>
        <w:t xml:space="preserve"> awaryjnych</w:t>
      </w:r>
      <w:r w:rsidR="00F62B0B" w:rsidRPr="002A0F4C">
        <w:rPr>
          <w:rFonts w:ascii="Arial" w:hAnsi="Arial" w:cs="Arial"/>
          <w:sz w:val="20"/>
          <w:szCs w:val="20"/>
        </w:rPr>
        <w:t xml:space="preserve"> </w:t>
      </w:r>
      <w:r w:rsidR="00F62B0B" w:rsidRPr="002A0F4C">
        <w:rPr>
          <w:rFonts w:ascii="Arial" w:eastAsia="SimSun" w:hAnsi="Arial" w:cs="Arial"/>
          <w:color w:val="000000"/>
          <w:kern w:val="3"/>
          <w:sz w:val="20"/>
          <w:szCs w:val="20"/>
          <w:lang w:eastAsia="zh-CN" w:bidi="hi-IN"/>
        </w:rPr>
        <w:t>oraz utrzymani</w:t>
      </w:r>
      <w:r w:rsidR="00F62B0B">
        <w:rPr>
          <w:rFonts w:ascii="Arial" w:eastAsia="SimSun" w:hAnsi="Arial" w:cs="Arial"/>
          <w:color w:val="000000"/>
          <w:kern w:val="3"/>
          <w:sz w:val="20"/>
          <w:szCs w:val="20"/>
          <w:lang w:eastAsia="zh-CN" w:bidi="hi-IN"/>
        </w:rPr>
        <w:t>a</w:t>
      </w:r>
      <w:r w:rsidR="00F62B0B" w:rsidRPr="002A0F4C">
        <w:rPr>
          <w:rFonts w:ascii="Arial" w:eastAsia="SimSun" w:hAnsi="Arial" w:cs="Arial"/>
          <w:color w:val="000000"/>
          <w:kern w:val="3"/>
          <w:sz w:val="20"/>
          <w:szCs w:val="20"/>
          <w:lang w:eastAsia="zh-CN" w:bidi="hi-IN"/>
        </w:rPr>
        <w:t xml:space="preserve"> w </w:t>
      </w:r>
      <w:r w:rsidR="00F62B0B">
        <w:rPr>
          <w:rFonts w:ascii="Arial" w:eastAsia="SimSun" w:hAnsi="Arial" w:cs="Arial"/>
          <w:color w:val="000000"/>
          <w:kern w:val="3"/>
          <w:sz w:val="20"/>
          <w:szCs w:val="20"/>
          <w:lang w:eastAsia="zh-CN" w:bidi="hi-IN"/>
        </w:rPr>
        <w:t xml:space="preserve">ciągłej sprawności technicznej </w:t>
      </w:r>
      <w:r w:rsidR="00F62B0B" w:rsidRPr="002A0F4C">
        <w:rPr>
          <w:rFonts w:ascii="Arial" w:eastAsia="SimSun" w:hAnsi="Arial" w:cs="Arial"/>
          <w:color w:val="000000"/>
          <w:kern w:val="3"/>
          <w:sz w:val="20"/>
          <w:szCs w:val="20"/>
          <w:lang w:eastAsia="zh-CN" w:bidi="hi-IN"/>
        </w:rPr>
        <w:t xml:space="preserve">i eksploatacyjnej </w:t>
      </w:r>
      <w:r w:rsidR="00F62B0B" w:rsidRPr="002A0F4C">
        <w:rPr>
          <w:rFonts w:ascii="Arial" w:hAnsi="Arial" w:cs="Arial"/>
          <w:sz w:val="20"/>
          <w:szCs w:val="20"/>
        </w:rPr>
        <w:t>systemów zabezpieczeń technicznych zainstalowanych</w:t>
      </w:r>
      <w:r w:rsidRPr="00585291">
        <w:rPr>
          <w:rFonts w:ascii="Arial" w:eastAsia="Calibri" w:hAnsi="Arial" w:cs="Arial"/>
          <w:sz w:val="20"/>
          <w:szCs w:val="20"/>
        </w:rPr>
        <w:t xml:space="preserve"> </w:t>
      </w:r>
      <w:r w:rsidRPr="00585291">
        <w:rPr>
          <w:rFonts w:ascii="Arial" w:eastAsia="Calibri" w:hAnsi="Arial" w:cs="Arial"/>
          <w:sz w:val="20"/>
          <w:szCs w:val="20"/>
        </w:rPr>
        <w:br/>
        <w:t xml:space="preserve">w 8. Bazie Lotnictwa Transportowego w m. Balice, 1. Regionalnym Ośrodku Dowodzenia i Naprowadzania </w:t>
      </w:r>
      <w:r w:rsidR="00F62B0B">
        <w:rPr>
          <w:rFonts w:ascii="Arial" w:eastAsia="Calibri" w:hAnsi="Arial" w:cs="Arial"/>
          <w:sz w:val="20"/>
          <w:szCs w:val="20"/>
        </w:rPr>
        <w:br/>
      </w:r>
      <w:r w:rsidRPr="00585291">
        <w:rPr>
          <w:rFonts w:ascii="Arial" w:eastAsia="Calibri" w:hAnsi="Arial" w:cs="Arial"/>
          <w:sz w:val="20"/>
          <w:szCs w:val="20"/>
        </w:rPr>
        <w:t xml:space="preserve">w m. Balice, Regionalnym Centrum Informatycznym Kraków – Rejon Wsparcia Teleinformatycznego w m. Balice, 3. Batalionie Radiotechnicznym w m. Brzoskwinia:, 8. Bazie Lotnictwa Transportowego w m. Balice obiekcie technicznym nr 208, WKU </w:t>
      </w:r>
      <w:r w:rsidR="0053747D">
        <w:rPr>
          <w:rFonts w:ascii="Arial" w:eastAsia="Calibri" w:hAnsi="Arial" w:cs="Arial"/>
          <w:sz w:val="20"/>
          <w:szCs w:val="20"/>
        </w:rPr>
        <w:t xml:space="preserve">Oświęcim, </w:t>
      </w:r>
      <w:r w:rsidRPr="00585291">
        <w:rPr>
          <w:rFonts w:ascii="Arial" w:eastAsia="Calibri" w:hAnsi="Arial" w:cs="Arial"/>
          <w:sz w:val="20"/>
          <w:szCs w:val="20"/>
        </w:rPr>
        <w:t>WKU Nowy Targ</w:t>
      </w:r>
      <w:r w:rsidR="0053747D">
        <w:rPr>
          <w:rFonts w:ascii="Arial" w:eastAsia="Calibri" w:hAnsi="Arial" w:cs="Arial"/>
          <w:sz w:val="20"/>
          <w:szCs w:val="20"/>
        </w:rPr>
        <w:t xml:space="preserve"> oraz 112 batalionie obrony terytorialnej </w:t>
      </w:r>
      <w:r w:rsidR="00F62B0B">
        <w:rPr>
          <w:rFonts w:ascii="Arial" w:eastAsia="Calibri" w:hAnsi="Arial" w:cs="Arial"/>
          <w:sz w:val="20"/>
          <w:szCs w:val="20"/>
        </w:rPr>
        <w:br/>
      </w:r>
      <w:r w:rsidR="0053747D">
        <w:rPr>
          <w:rFonts w:ascii="Arial" w:eastAsia="Calibri" w:hAnsi="Arial" w:cs="Arial"/>
          <w:sz w:val="20"/>
          <w:szCs w:val="20"/>
        </w:rPr>
        <w:t>w m. Oświecim.</w:t>
      </w:r>
    </w:p>
    <w:p w:rsidR="00E84AD1" w:rsidRPr="00585291" w:rsidRDefault="00E84AD1" w:rsidP="00E84AD1">
      <w:pPr>
        <w:tabs>
          <w:tab w:val="left" w:pos="708"/>
        </w:tabs>
        <w:suppressAutoHyphens/>
        <w:autoSpaceDN w:val="0"/>
        <w:spacing w:before="60" w:after="200" w:line="276" w:lineRule="auto"/>
        <w:ind w:firstLine="567"/>
        <w:jc w:val="both"/>
        <w:textAlignment w:val="baseline"/>
        <w:rPr>
          <w:rFonts w:ascii="Times New Roman" w:eastAsia="Calibri" w:hAnsi="Times New Roman" w:cs="Times New Roman"/>
          <w:sz w:val="24"/>
          <w:szCs w:val="24"/>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200" w:line="276" w:lineRule="auto"/>
        <w:jc w:val="both"/>
        <w:textAlignment w:val="baseline"/>
        <w:rPr>
          <w:rFonts w:ascii="Calibri" w:eastAsia="Calibri" w:hAnsi="Calibri" w:cs="Times New Roman"/>
          <w:sz w:val="24"/>
          <w:szCs w:val="24"/>
          <w:lang w:eastAsia="ar-SA"/>
        </w:rPr>
      </w:pPr>
    </w:p>
    <w:p w:rsidR="00E84AD1" w:rsidRPr="00585291" w:rsidRDefault="00E84AD1" w:rsidP="00E84AD1">
      <w:pPr>
        <w:suppressAutoHyphens/>
        <w:autoSpaceDN w:val="0"/>
        <w:spacing w:after="200" w:line="276" w:lineRule="auto"/>
        <w:jc w:val="both"/>
        <w:textAlignment w:val="baseline"/>
        <w:rPr>
          <w:rFonts w:ascii="Calibri" w:eastAsia="Calibri" w:hAnsi="Calibri" w:cs="Times New Roman"/>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0" w:line="240" w:lineRule="auto"/>
        <w:jc w:val="both"/>
        <w:textAlignment w:val="baseline"/>
        <w:rPr>
          <w:rFonts w:ascii="Times New Roman" w:eastAsia="Calibri" w:hAnsi="Times New Roman" w:cs="Arial"/>
          <w:b/>
          <w:sz w:val="24"/>
          <w:szCs w:val="24"/>
          <w:lang w:eastAsia="ar-SA"/>
        </w:rPr>
      </w:pPr>
    </w:p>
    <w:p w:rsidR="00E84AD1" w:rsidRPr="00585291" w:rsidRDefault="00E84AD1" w:rsidP="00E84AD1">
      <w:pPr>
        <w:suppressAutoHyphens/>
        <w:autoSpaceDN w:val="0"/>
        <w:spacing w:after="200" w:line="276" w:lineRule="auto"/>
        <w:textAlignment w:val="baseline"/>
        <w:rPr>
          <w:rFonts w:ascii="Cambria" w:eastAsia="Times New Roman" w:hAnsi="Cambria" w:cs="Times New Roman"/>
          <w:i/>
          <w:iCs/>
          <w:color w:val="4F81BD"/>
          <w:spacing w:val="15"/>
          <w:sz w:val="24"/>
          <w:szCs w:val="24"/>
          <w:lang w:eastAsia="ar-SA"/>
        </w:rPr>
      </w:pPr>
    </w:p>
    <w:p w:rsidR="00E84AD1" w:rsidRPr="00585291" w:rsidRDefault="00E84AD1" w:rsidP="00E84AD1">
      <w:pPr>
        <w:suppressAutoHyphens/>
        <w:autoSpaceDN w:val="0"/>
        <w:spacing w:after="200" w:line="276" w:lineRule="auto"/>
        <w:textAlignment w:val="baseline"/>
        <w:rPr>
          <w:rFonts w:ascii="Calibri" w:eastAsia="Calibri" w:hAnsi="Calibri" w:cs="Times New Roman"/>
          <w:lang w:eastAsia="ar-SA"/>
        </w:rPr>
      </w:pPr>
    </w:p>
    <w:p w:rsidR="00E84AD1" w:rsidRPr="00585291" w:rsidRDefault="00E84AD1" w:rsidP="00E84AD1">
      <w:pPr>
        <w:suppressAutoHyphens/>
        <w:autoSpaceDN w:val="0"/>
        <w:spacing w:after="0" w:line="240" w:lineRule="auto"/>
        <w:jc w:val="both"/>
        <w:textAlignment w:val="baseline"/>
        <w:rPr>
          <w:rFonts w:ascii="Arial" w:eastAsia="Calibri" w:hAnsi="Arial" w:cs="Arial"/>
          <w:b/>
          <w:sz w:val="24"/>
          <w:szCs w:val="24"/>
          <w:lang w:eastAsia="ar-SA"/>
        </w:rPr>
      </w:pPr>
    </w:p>
    <w:p w:rsidR="00E84AD1" w:rsidRPr="00585291" w:rsidRDefault="00E84AD1" w:rsidP="00E84AD1">
      <w:pPr>
        <w:suppressAutoHyphens/>
        <w:autoSpaceDN w:val="0"/>
        <w:spacing w:after="0" w:line="240" w:lineRule="auto"/>
        <w:ind w:firstLine="708"/>
        <w:jc w:val="center"/>
        <w:textAlignment w:val="baseline"/>
        <w:rPr>
          <w:rFonts w:ascii="Arial" w:eastAsia="Calibri" w:hAnsi="Arial" w:cs="Arial"/>
          <w:sz w:val="24"/>
          <w:szCs w:val="24"/>
          <w:lang w:eastAsia="ar-SA"/>
        </w:rPr>
      </w:pPr>
      <w:r w:rsidRPr="00585291">
        <w:rPr>
          <w:rFonts w:ascii="Arial" w:eastAsia="Calibri" w:hAnsi="Arial" w:cs="Arial"/>
          <w:sz w:val="24"/>
          <w:szCs w:val="24"/>
          <w:lang w:eastAsia="ar-SA"/>
        </w:rPr>
        <w:t>Kraków-Balice</w:t>
      </w:r>
    </w:p>
    <w:p w:rsidR="00E84AD1" w:rsidRPr="00585291" w:rsidRDefault="00E84AD1" w:rsidP="00E84AD1">
      <w:pPr>
        <w:spacing w:after="0" w:line="240" w:lineRule="auto"/>
        <w:ind w:left="709"/>
        <w:jc w:val="center"/>
        <w:rPr>
          <w:rFonts w:ascii="Arial" w:eastAsia="Calibri" w:hAnsi="Arial" w:cs="Arial"/>
          <w:sz w:val="24"/>
          <w:szCs w:val="24"/>
        </w:rPr>
      </w:pPr>
      <w:r w:rsidRPr="00585291">
        <w:rPr>
          <w:rFonts w:ascii="Arial" w:eastAsia="Calibri" w:hAnsi="Arial" w:cs="Arial"/>
          <w:b/>
          <w:sz w:val="24"/>
          <w:szCs w:val="24"/>
        </w:rPr>
        <w:t>202</w:t>
      </w:r>
      <w:r w:rsidR="003542F2">
        <w:rPr>
          <w:rFonts w:ascii="Arial" w:eastAsia="Calibri" w:hAnsi="Arial" w:cs="Arial"/>
          <w:b/>
          <w:sz w:val="24"/>
          <w:szCs w:val="24"/>
        </w:rPr>
        <w:t>4</w:t>
      </w:r>
    </w:p>
    <w:p w:rsidR="00E84AD1" w:rsidRPr="00585291" w:rsidRDefault="00E84AD1" w:rsidP="00E84AD1">
      <w:pPr>
        <w:suppressAutoHyphens/>
        <w:autoSpaceDN w:val="0"/>
        <w:spacing w:after="200" w:line="276" w:lineRule="auto"/>
        <w:jc w:val="both"/>
        <w:textAlignment w:val="baseline"/>
        <w:rPr>
          <w:rFonts w:ascii="Calibri" w:eastAsia="Calibri" w:hAnsi="Calibri" w:cs="Times New Roman"/>
          <w:sz w:val="24"/>
          <w:szCs w:val="24"/>
          <w:lang w:eastAsia="ar-SA"/>
        </w:rPr>
      </w:pPr>
    </w:p>
    <w:p w:rsidR="007B6F66" w:rsidRPr="00585291" w:rsidRDefault="007B6F66" w:rsidP="00E84AD1">
      <w:pPr>
        <w:suppressAutoHyphens/>
        <w:autoSpaceDN w:val="0"/>
        <w:spacing w:after="200" w:line="276" w:lineRule="auto"/>
        <w:jc w:val="both"/>
        <w:textAlignment w:val="baseline"/>
        <w:rPr>
          <w:rFonts w:ascii="Calibri" w:eastAsia="Calibri" w:hAnsi="Calibri" w:cs="Times New Roman"/>
          <w:sz w:val="24"/>
          <w:szCs w:val="24"/>
          <w:lang w:eastAsia="ar-SA"/>
        </w:rPr>
      </w:pPr>
    </w:p>
    <w:p w:rsidR="007B6F66" w:rsidRPr="00585291" w:rsidRDefault="007B6F66" w:rsidP="00E84AD1">
      <w:pPr>
        <w:suppressAutoHyphens/>
        <w:autoSpaceDN w:val="0"/>
        <w:spacing w:after="200" w:line="276" w:lineRule="auto"/>
        <w:jc w:val="both"/>
        <w:textAlignment w:val="baseline"/>
        <w:rPr>
          <w:rFonts w:ascii="Calibri" w:eastAsia="Calibri" w:hAnsi="Calibri" w:cs="Times New Roman"/>
          <w:sz w:val="24"/>
          <w:szCs w:val="24"/>
          <w:lang w:eastAsia="ar-SA"/>
        </w:rPr>
      </w:pPr>
    </w:p>
    <w:p w:rsidR="00E84AD1" w:rsidRPr="00585291" w:rsidRDefault="00E84AD1" w:rsidP="00E84AD1">
      <w:pPr>
        <w:suppressAutoHyphens/>
        <w:autoSpaceDN w:val="0"/>
        <w:spacing w:after="200" w:line="240" w:lineRule="auto"/>
        <w:ind w:firstLine="708"/>
        <w:jc w:val="both"/>
        <w:textAlignment w:val="baseline"/>
        <w:rPr>
          <w:rFonts w:ascii="Arial" w:eastAsia="Calibri" w:hAnsi="Arial" w:cs="Arial"/>
          <w:sz w:val="20"/>
          <w:szCs w:val="20"/>
        </w:rPr>
      </w:pPr>
      <w:r w:rsidRPr="00585291">
        <w:rPr>
          <w:rFonts w:ascii="Arial" w:eastAsia="Calibri" w:hAnsi="Arial" w:cs="Arial"/>
          <w:sz w:val="20"/>
          <w:szCs w:val="20"/>
        </w:rPr>
        <w:t>Niniejsza instrukcja bezpieczeństwa przemysłowego została opracowana na podstawie art. 71 ust. 1 ustawy z dnia 5 sierpnia 2010 r. o ochronie info</w:t>
      </w:r>
      <w:r w:rsidR="00A214C8">
        <w:rPr>
          <w:rFonts w:ascii="Arial" w:eastAsia="Calibri" w:hAnsi="Arial" w:cs="Arial"/>
          <w:sz w:val="20"/>
          <w:szCs w:val="20"/>
        </w:rPr>
        <w:t>rmacji niejawnych (Dz. U. z 2024 poz. 632</w:t>
      </w:r>
      <w:r w:rsidRPr="00585291">
        <w:rPr>
          <w:rFonts w:ascii="Arial" w:eastAsia="Calibri" w:hAnsi="Arial" w:cs="Arial"/>
          <w:sz w:val="20"/>
          <w:szCs w:val="20"/>
        </w:rPr>
        <w:t xml:space="preserve"> t.j.) zawiera wymagania dotyczące ochrony informacji niejawnych związanych z realizacją Umowy i jest załącznikiem stanowiącym jej integralną część. </w:t>
      </w:r>
    </w:p>
    <w:p w:rsidR="00E84AD1" w:rsidRPr="00585291" w:rsidRDefault="00E84AD1" w:rsidP="00E84AD1">
      <w:pPr>
        <w:numPr>
          <w:ilvl w:val="0"/>
          <w:numId w:val="5"/>
        </w:numPr>
        <w:suppressAutoHyphens/>
        <w:autoSpaceDN w:val="0"/>
        <w:spacing w:after="200" w:line="276" w:lineRule="auto"/>
        <w:ind w:left="426" w:hanging="426"/>
        <w:jc w:val="both"/>
        <w:textAlignment w:val="baseline"/>
        <w:rPr>
          <w:rFonts w:ascii="Arial" w:eastAsia="Calibri" w:hAnsi="Arial" w:cs="Arial"/>
          <w:sz w:val="20"/>
          <w:szCs w:val="20"/>
        </w:rPr>
      </w:pPr>
      <w:r w:rsidRPr="00585291">
        <w:rPr>
          <w:rFonts w:ascii="Arial" w:eastAsia="Calibri" w:hAnsi="Arial" w:cs="Arial"/>
          <w:sz w:val="20"/>
          <w:szCs w:val="20"/>
        </w:rPr>
        <w:t xml:space="preserve">Użyte w Instrukcji określenia oznaczają: </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Zamawiający – 8. Baza Lotnictwa Transportowego;</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 xml:space="preserve">Użytkownik – 8. Baza Lotnictwa Transportowego, 8. Baza Lotnictwa Transportowego obiekcie technicznym nr 208, 1 Regionalny Ośrodek Dowodzenia i Naprowadzania, </w:t>
      </w:r>
      <w:r w:rsidRPr="00585291">
        <w:rPr>
          <w:rFonts w:ascii="Arial" w:eastAsia="Calibri" w:hAnsi="Arial" w:cs="Arial"/>
          <w:sz w:val="20"/>
          <w:szCs w:val="20"/>
        </w:rPr>
        <w:br/>
        <w:t>3. Rejon Wsparcia Teleinformatycznego, 3. Batalion Radiotechniczny położony w m. Brzoskwinia, WKU Oświęcim, WKU Nowy Targ</w:t>
      </w:r>
      <w:r w:rsidR="0053747D">
        <w:rPr>
          <w:rFonts w:ascii="Arial" w:eastAsia="Calibri" w:hAnsi="Arial" w:cs="Arial"/>
          <w:sz w:val="20"/>
          <w:szCs w:val="20"/>
        </w:rPr>
        <w:t xml:space="preserve"> oraz 112 batalionie obrony terytorialnej w m. Oświecim</w:t>
      </w:r>
      <w:r w:rsidRPr="00585291">
        <w:rPr>
          <w:rFonts w:ascii="Arial" w:eastAsia="Calibri" w:hAnsi="Arial" w:cs="Arial"/>
          <w:sz w:val="20"/>
          <w:szCs w:val="20"/>
        </w:rPr>
        <w:t xml:space="preserve">; </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Wykonawca - ………………………….</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Ustawa -  ustawa z dnia 5 sierpnia 2010 r.  o ochronie infor</w:t>
      </w:r>
      <w:r w:rsidR="00A214C8">
        <w:rPr>
          <w:rFonts w:ascii="Arial" w:eastAsia="Calibri" w:hAnsi="Arial" w:cs="Arial"/>
          <w:sz w:val="20"/>
          <w:szCs w:val="20"/>
        </w:rPr>
        <w:t xml:space="preserve">macji niejawnych </w:t>
      </w:r>
      <w:r w:rsidR="00A214C8">
        <w:rPr>
          <w:rFonts w:ascii="Arial" w:eastAsia="Calibri" w:hAnsi="Arial" w:cs="Arial"/>
          <w:sz w:val="20"/>
          <w:szCs w:val="20"/>
        </w:rPr>
        <w:br/>
        <w:t>(Dz. U. z 2024 poz. 632</w:t>
      </w:r>
      <w:r w:rsidRPr="00585291">
        <w:rPr>
          <w:rFonts w:ascii="Arial" w:eastAsia="Calibri" w:hAnsi="Arial" w:cs="Arial"/>
          <w:sz w:val="20"/>
          <w:szCs w:val="20"/>
        </w:rPr>
        <w:t xml:space="preserve"> t.j.);</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 xml:space="preserve">Instrukcja -  Instrukcja bezpieczeństwa przemysłowego. </w:t>
      </w:r>
    </w:p>
    <w:p w:rsidR="00E84AD1" w:rsidRPr="00585291" w:rsidRDefault="00E84AD1" w:rsidP="00E84AD1">
      <w:pPr>
        <w:numPr>
          <w:ilvl w:val="1"/>
          <w:numId w:val="2"/>
        </w:numPr>
        <w:suppressAutoHyphens/>
        <w:autoSpaceDN w:val="0"/>
        <w:spacing w:after="200" w:line="276" w:lineRule="auto"/>
        <w:ind w:left="709" w:hanging="425"/>
        <w:contextualSpacing/>
        <w:jc w:val="both"/>
        <w:textAlignment w:val="baseline"/>
        <w:rPr>
          <w:rFonts w:ascii="Arial" w:eastAsia="Calibri" w:hAnsi="Arial" w:cs="Arial"/>
          <w:sz w:val="20"/>
          <w:szCs w:val="20"/>
        </w:rPr>
      </w:pPr>
      <w:r w:rsidRPr="00585291">
        <w:rPr>
          <w:rFonts w:ascii="Arial" w:eastAsia="Calibri" w:hAnsi="Arial" w:cs="Arial"/>
          <w:sz w:val="20"/>
          <w:szCs w:val="20"/>
        </w:rPr>
        <w:t>Umowa – umowa zawarta pomiędzy Wykonawcą a Zamawiającym.</w:t>
      </w:r>
    </w:p>
    <w:p w:rsidR="00E84AD1" w:rsidRPr="00585291" w:rsidRDefault="00E84AD1" w:rsidP="00E84AD1">
      <w:pPr>
        <w:numPr>
          <w:ilvl w:val="2"/>
          <w:numId w:val="2"/>
        </w:numPr>
        <w:suppressAutoHyphens/>
        <w:autoSpaceDN w:val="0"/>
        <w:spacing w:after="12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 xml:space="preserve">Wykonanie Umowy, której załącznikiem jest niniejsza Instrukcja wiąże się z dostępem do informacji niejawnych oznaczonych klauzulą „POUFNE” w odniesieniu do zadania nr 1,3,4 oraz </w:t>
      </w:r>
      <w:r w:rsidRPr="00585291">
        <w:rPr>
          <w:rFonts w:ascii="Arial" w:eastAsia="Times New Roman" w:hAnsi="Arial" w:cs="Arial"/>
          <w:sz w:val="20"/>
          <w:szCs w:val="20"/>
        </w:rPr>
        <w:t>, „NATO SECRET” w odniesieniu do zadania nr 2</w:t>
      </w:r>
      <w:r w:rsidRPr="00585291">
        <w:rPr>
          <w:rFonts w:ascii="Arial" w:eastAsia="TimesNewRoman" w:hAnsi="Arial" w:cs="Arial"/>
          <w:sz w:val="20"/>
          <w:szCs w:val="20"/>
          <w:lang w:eastAsia="pl-PL"/>
        </w:rPr>
        <w:t>, które mogą być udostępniane Wykonawcy w zakresie niezbędnym do realizacji umowy, serwisowania, naprawy zgodnie z art.4 ust.1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Szczególnej ochronie podlegają:</w:t>
      </w:r>
    </w:p>
    <w:p w:rsidR="00E84AD1" w:rsidRPr="00585291" w:rsidRDefault="00E84AD1" w:rsidP="00E84AD1">
      <w:pPr>
        <w:suppressAutoHyphens/>
        <w:autoSpaceDE w:val="0"/>
        <w:autoSpaceDN w:val="0"/>
        <w:adjustRightInd w:val="0"/>
        <w:spacing w:after="0" w:line="240" w:lineRule="auto"/>
        <w:ind w:left="567" w:hanging="283"/>
        <w:jc w:val="both"/>
        <w:textAlignment w:val="baseline"/>
        <w:rPr>
          <w:rFonts w:ascii="Arial" w:eastAsia="TimesNewRoman" w:hAnsi="Arial" w:cs="Arial"/>
          <w:sz w:val="20"/>
          <w:szCs w:val="20"/>
          <w:lang w:eastAsia="pl-PL"/>
        </w:rPr>
      </w:pPr>
      <w:r w:rsidRPr="00585291">
        <w:rPr>
          <w:rFonts w:ascii="Arial" w:eastAsia="TimesNewRoman" w:hAnsi="Arial" w:cs="Arial"/>
          <w:sz w:val="20"/>
          <w:szCs w:val="20"/>
          <w:lang w:eastAsia="pl-PL"/>
        </w:rPr>
        <w:t xml:space="preserve">a)  informacje niejawne udostępnione w trakcie prac </w:t>
      </w:r>
      <w:r w:rsidR="007A45E8">
        <w:rPr>
          <w:rFonts w:ascii="Arial" w:eastAsia="TimesNewRoman" w:hAnsi="Arial" w:cs="Arial"/>
          <w:sz w:val="20"/>
          <w:szCs w:val="20"/>
          <w:lang w:eastAsia="pl-PL"/>
        </w:rPr>
        <w:t xml:space="preserve">napraw, </w:t>
      </w:r>
      <w:r w:rsidR="007A45E8" w:rsidRPr="002A0F4C">
        <w:rPr>
          <w:rFonts w:ascii="Arial" w:hAnsi="Arial" w:cs="Arial"/>
          <w:sz w:val="20"/>
          <w:szCs w:val="20"/>
        </w:rPr>
        <w:t>napraw</w:t>
      </w:r>
      <w:r w:rsidR="007A45E8">
        <w:rPr>
          <w:rFonts w:ascii="Arial" w:hAnsi="Arial" w:cs="Arial"/>
          <w:sz w:val="20"/>
          <w:szCs w:val="20"/>
        </w:rPr>
        <w:t xml:space="preserve"> awaryjnych</w:t>
      </w:r>
      <w:r w:rsidR="007A45E8" w:rsidRPr="002A0F4C">
        <w:rPr>
          <w:rFonts w:ascii="Arial" w:hAnsi="Arial" w:cs="Arial"/>
          <w:sz w:val="20"/>
          <w:szCs w:val="20"/>
        </w:rPr>
        <w:t xml:space="preserve"> </w:t>
      </w:r>
      <w:r w:rsidR="007A45E8" w:rsidRPr="002A0F4C">
        <w:rPr>
          <w:rFonts w:ascii="Arial" w:eastAsia="SimSun" w:hAnsi="Arial" w:cs="Arial"/>
          <w:color w:val="000000"/>
          <w:kern w:val="3"/>
          <w:sz w:val="20"/>
          <w:szCs w:val="20"/>
          <w:lang w:eastAsia="zh-CN" w:bidi="hi-IN"/>
        </w:rPr>
        <w:t>oraz utrzymani</w:t>
      </w:r>
      <w:r w:rsidR="007A45E8">
        <w:rPr>
          <w:rFonts w:ascii="Arial" w:eastAsia="SimSun" w:hAnsi="Arial" w:cs="Arial"/>
          <w:color w:val="000000"/>
          <w:kern w:val="3"/>
          <w:sz w:val="20"/>
          <w:szCs w:val="20"/>
          <w:lang w:eastAsia="zh-CN" w:bidi="hi-IN"/>
        </w:rPr>
        <w:t>a</w:t>
      </w:r>
      <w:r w:rsidR="007A45E8" w:rsidRPr="002A0F4C">
        <w:rPr>
          <w:rFonts w:ascii="Arial" w:eastAsia="SimSun" w:hAnsi="Arial" w:cs="Arial"/>
          <w:color w:val="000000"/>
          <w:kern w:val="3"/>
          <w:sz w:val="20"/>
          <w:szCs w:val="20"/>
          <w:lang w:eastAsia="zh-CN" w:bidi="hi-IN"/>
        </w:rPr>
        <w:t xml:space="preserve"> w </w:t>
      </w:r>
      <w:r w:rsidR="007A45E8">
        <w:rPr>
          <w:rFonts w:ascii="Arial" w:eastAsia="SimSun" w:hAnsi="Arial" w:cs="Arial"/>
          <w:color w:val="000000"/>
          <w:kern w:val="3"/>
          <w:sz w:val="20"/>
          <w:szCs w:val="20"/>
          <w:lang w:eastAsia="zh-CN" w:bidi="hi-IN"/>
        </w:rPr>
        <w:t xml:space="preserve">ciągłej sprawności technicznej </w:t>
      </w:r>
      <w:r w:rsidR="007A45E8" w:rsidRPr="002A0F4C">
        <w:rPr>
          <w:rFonts w:ascii="Arial" w:eastAsia="SimSun" w:hAnsi="Arial" w:cs="Arial"/>
          <w:color w:val="000000"/>
          <w:kern w:val="3"/>
          <w:sz w:val="20"/>
          <w:szCs w:val="20"/>
          <w:lang w:eastAsia="zh-CN" w:bidi="hi-IN"/>
        </w:rPr>
        <w:t xml:space="preserve">i eksploatacyjnej </w:t>
      </w:r>
      <w:r w:rsidR="007A45E8" w:rsidRPr="002A0F4C">
        <w:rPr>
          <w:rFonts w:ascii="Arial" w:hAnsi="Arial" w:cs="Arial"/>
          <w:sz w:val="20"/>
          <w:szCs w:val="20"/>
        </w:rPr>
        <w:t>systemów zabezpieczeń technicznych</w:t>
      </w:r>
      <w:r w:rsidRPr="00585291">
        <w:rPr>
          <w:rFonts w:ascii="Arial" w:eastAsia="TimesNewRoman" w:hAnsi="Arial" w:cs="Arial"/>
          <w:sz w:val="20"/>
          <w:szCs w:val="20"/>
          <w:lang w:eastAsia="pl-PL"/>
        </w:rPr>
        <w:t xml:space="preserve"> przedmiotu Umowy;</w:t>
      </w:r>
    </w:p>
    <w:p w:rsidR="00E84AD1" w:rsidRPr="00585291" w:rsidRDefault="00E84AD1" w:rsidP="00E84AD1">
      <w:pPr>
        <w:suppressAutoHyphens/>
        <w:autoSpaceDE w:val="0"/>
        <w:autoSpaceDN w:val="0"/>
        <w:adjustRightInd w:val="0"/>
        <w:spacing w:after="0" w:line="240" w:lineRule="auto"/>
        <w:ind w:left="567" w:hanging="283"/>
        <w:jc w:val="both"/>
        <w:textAlignment w:val="baseline"/>
        <w:rPr>
          <w:rFonts w:ascii="Arial" w:eastAsia="Calibri" w:hAnsi="Arial" w:cs="Arial"/>
          <w:sz w:val="20"/>
          <w:szCs w:val="20"/>
        </w:rPr>
      </w:pPr>
      <w:r w:rsidRPr="00585291">
        <w:rPr>
          <w:rFonts w:ascii="Arial" w:eastAsia="TimesNewRoman" w:hAnsi="Arial" w:cs="Arial"/>
          <w:sz w:val="20"/>
          <w:szCs w:val="20"/>
          <w:lang w:eastAsia="pl-PL"/>
        </w:rPr>
        <w:t xml:space="preserve">b) informacje dotyczące miejsc dyslokacji </w:t>
      </w:r>
      <w:r w:rsidR="00A214C8">
        <w:rPr>
          <w:rFonts w:ascii="Arial" w:eastAsia="TimesNewRoman" w:hAnsi="Arial" w:cs="Arial"/>
          <w:sz w:val="20"/>
          <w:szCs w:val="20"/>
          <w:lang w:eastAsia="pl-PL"/>
        </w:rPr>
        <w:t xml:space="preserve">obiektów oraz </w:t>
      </w:r>
      <w:r w:rsidRPr="00585291">
        <w:rPr>
          <w:rFonts w:ascii="Arial" w:eastAsia="TimesNewRoman" w:hAnsi="Arial" w:cs="Arial"/>
          <w:sz w:val="20"/>
          <w:szCs w:val="20"/>
          <w:lang w:eastAsia="pl-PL"/>
        </w:rPr>
        <w:t>zainstalowanych urządze</w:t>
      </w:r>
      <w:r w:rsidR="00A214C8">
        <w:rPr>
          <w:rFonts w:ascii="Arial" w:eastAsia="TimesNewRoman" w:hAnsi="Arial" w:cs="Arial"/>
          <w:sz w:val="20"/>
          <w:szCs w:val="20"/>
          <w:lang w:eastAsia="pl-PL"/>
        </w:rPr>
        <w:t xml:space="preserve">ń wchodzących w skład systemów </w:t>
      </w:r>
      <w:r w:rsidRPr="00585291">
        <w:rPr>
          <w:rFonts w:ascii="Arial" w:eastAsia="TimesNewRoman" w:hAnsi="Arial" w:cs="Arial"/>
          <w:sz w:val="20"/>
          <w:szCs w:val="20"/>
          <w:lang w:eastAsia="pl-PL"/>
        </w:rPr>
        <w:t>i sieci stanowiących własność Zamawiającego, uzyskane podczas wykonywania prac serwisowych lub naprawczych urządzeń objętych umową.</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Informacje niejawne i urządzenia którym przyznano klauzulę tajności „POUFNE” w </w:t>
      </w:r>
      <w:r w:rsidR="0053747D">
        <w:rPr>
          <w:rFonts w:ascii="Arial" w:eastAsia="TimesNewRoman" w:hAnsi="Arial" w:cs="Arial"/>
          <w:sz w:val="20"/>
          <w:szCs w:val="20"/>
          <w:lang w:eastAsia="pl-PL"/>
        </w:rPr>
        <w:t xml:space="preserve">odniesieniu do zadania nr 1,3,4, 5 </w:t>
      </w:r>
      <w:r w:rsidR="00A214C8">
        <w:rPr>
          <w:rFonts w:ascii="Arial" w:eastAsia="TimesNewRoman" w:hAnsi="Arial" w:cs="Arial"/>
          <w:sz w:val="20"/>
          <w:szCs w:val="20"/>
          <w:lang w:eastAsia="pl-PL"/>
        </w:rPr>
        <w:t>oraz</w:t>
      </w:r>
      <w:r w:rsidRPr="00585291">
        <w:rPr>
          <w:rFonts w:ascii="Arial" w:eastAsia="TimesNewRoman" w:hAnsi="Arial" w:cs="Arial"/>
          <w:sz w:val="20"/>
          <w:szCs w:val="20"/>
          <w:lang w:eastAsia="pl-PL"/>
        </w:rPr>
        <w:t xml:space="preserve"> </w:t>
      </w:r>
      <w:r w:rsidRPr="00585291">
        <w:rPr>
          <w:rFonts w:ascii="Arial" w:eastAsia="Times New Roman" w:hAnsi="Arial" w:cs="Arial"/>
          <w:sz w:val="20"/>
          <w:szCs w:val="20"/>
        </w:rPr>
        <w:t xml:space="preserve">„NATO SECRET” w odniesieniu do zadania nr 2 </w:t>
      </w:r>
      <w:r w:rsidRPr="00585291">
        <w:rPr>
          <w:rFonts w:ascii="Arial" w:eastAsia="TimesNewRoman" w:hAnsi="Arial" w:cs="Arial"/>
          <w:sz w:val="20"/>
          <w:szCs w:val="20"/>
          <w:lang w:eastAsia="pl-PL"/>
        </w:rPr>
        <w:t xml:space="preserve">mogą być udostępniane, wyłącznie w zakresie niezbędnym do wykonania Umowy pracownikom Wykonawcy, posiadającym odpowiednie poświadczenie bezpieczeństwa, legitymującym się zaświadczeniem stwierdzającym odbycie szkolenia </w:t>
      </w:r>
      <w:r w:rsidRPr="00585291">
        <w:rPr>
          <w:rFonts w:ascii="Arial" w:eastAsia="TimesNewRoman" w:hAnsi="Arial" w:cs="Arial"/>
          <w:sz w:val="20"/>
          <w:szCs w:val="20"/>
          <w:lang w:eastAsia="pl-PL"/>
        </w:rPr>
        <w:br/>
        <w:t>w zakresie ochrony informacji niejawnych.</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Ustalenia zawarte w niniejszej Instrukcji dotyczą wszystkich osób, które w imieniu Wykonawcy będą realizowały umowę, w tym także podwykonawców. Wykonawca zobowiązuje się zawrzeć analogiczne postanowienia w umowach zawieranych z podwykonawcami, zgodnie z art.54 ust.6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 xml:space="preserve">Warunkiem dostępu Wykonawcy do informacji niejawnych </w:t>
      </w:r>
      <w:r w:rsidRPr="00585291">
        <w:rPr>
          <w:rFonts w:ascii="Arial" w:eastAsia="Times New Roman" w:hAnsi="Arial" w:cs="Arial"/>
          <w:sz w:val="20"/>
          <w:szCs w:val="20"/>
        </w:rPr>
        <w:t>o klauzuli „POUFNE” w odniesieniu do zadania nr 1, nr</w:t>
      </w:r>
      <w:r w:rsidR="0053747D">
        <w:rPr>
          <w:rFonts w:ascii="Arial" w:eastAsia="Times New Roman" w:hAnsi="Arial" w:cs="Arial"/>
          <w:sz w:val="20"/>
          <w:szCs w:val="20"/>
        </w:rPr>
        <w:t xml:space="preserve"> 3, </w:t>
      </w:r>
      <w:r w:rsidRPr="00585291">
        <w:rPr>
          <w:rFonts w:ascii="Arial" w:eastAsia="Times New Roman" w:hAnsi="Arial" w:cs="Arial"/>
          <w:sz w:val="20"/>
          <w:szCs w:val="20"/>
        </w:rPr>
        <w:t xml:space="preserve">nr 4 </w:t>
      </w:r>
      <w:r w:rsidR="0053747D">
        <w:rPr>
          <w:rFonts w:ascii="Arial" w:eastAsia="Times New Roman" w:hAnsi="Arial" w:cs="Arial"/>
          <w:sz w:val="20"/>
          <w:szCs w:val="20"/>
        </w:rPr>
        <w:t xml:space="preserve">oraz nr 5 </w:t>
      </w:r>
      <w:r w:rsidRPr="00585291">
        <w:rPr>
          <w:rFonts w:ascii="Arial" w:eastAsia="TimesNewRoman" w:hAnsi="Arial" w:cs="Arial"/>
          <w:sz w:val="20"/>
          <w:szCs w:val="20"/>
          <w:lang w:eastAsia="pl-PL"/>
        </w:rPr>
        <w:t>w związku z wykonywaniem umowy</w:t>
      </w:r>
      <w:r w:rsidRPr="00585291">
        <w:rPr>
          <w:rFonts w:ascii="Arial" w:eastAsia="Times New Roman" w:hAnsi="Arial" w:cs="Arial"/>
          <w:sz w:val="20"/>
          <w:szCs w:val="20"/>
        </w:rPr>
        <w:t xml:space="preserve"> jest posiadanie przez Wykonawcę: </w:t>
      </w:r>
    </w:p>
    <w:p w:rsidR="00E84AD1" w:rsidRPr="00585291" w:rsidRDefault="00E84AD1" w:rsidP="00E84AD1">
      <w:pPr>
        <w:numPr>
          <w:ilvl w:val="1"/>
          <w:numId w:val="1"/>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zgodnie z art. 54 ust. 2, art. 55 ust. 1 ppkt. 3 oraz art. 55 ust. 2 ppkt. 3 Ustawy -– przez cały okres obowiązywania umowy aktualnego świadectwa bezpieczeństwa przemysłowego trzeciego stopnia potwierdzającego zdolność do ochrony informacji niejawnych o klauzuli „POUFNE” lub wyższej. Przed podpisaniem Umowy Wykonawca zobowiązany jest przedstawić do wglądu oryginał świadectwa bezpieczeństwa przemysłowego;</w:t>
      </w:r>
    </w:p>
    <w:p w:rsidR="00E84AD1" w:rsidRPr="00585291" w:rsidRDefault="00E84AD1" w:rsidP="00E84AD1">
      <w:pPr>
        <w:numPr>
          <w:ilvl w:val="1"/>
          <w:numId w:val="1"/>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pracowników realizujących przedmiot Umowy, posiadających aktualne poświadczenia bezpieczeństwa upoważniające do dostępu do informacji niejawnych o klauzuli „POUFNE”, wydane zgodnie z art. 29 ust. 1 Ustawy i przeszkolonych w zakresie ochrony informacji niejawnych, zgodnie z art. 19 Ustawy oraz posiadających aktualne zaświadczania stwierdzające odbycie tych szkoleń wydane zgodnie z art. 20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 xml:space="preserve">Warunkiem dostępu Wykonawcy do informacji niejawnych </w:t>
      </w:r>
      <w:r w:rsidRPr="00585291">
        <w:rPr>
          <w:rFonts w:ascii="Arial" w:eastAsia="Times New Roman" w:hAnsi="Arial" w:cs="Arial"/>
          <w:sz w:val="20"/>
          <w:szCs w:val="20"/>
        </w:rPr>
        <w:t xml:space="preserve">o klauzuli „NATO SECRET” w odniesieniu do zadania nr 2 </w:t>
      </w:r>
      <w:r w:rsidRPr="00585291">
        <w:rPr>
          <w:rFonts w:ascii="Arial" w:eastAsia="TimesNewRoman" w:hAnsi="Arial" w:cs="Arial"/>
          <w:sz w:val="20"/>
          <w:szCs w:val="20"/>
          <w:lang w:eastAsia="pl-PL"/>
        </w:rPr>
        <w:t>w związku z wykonywaniem umowy</w:t>
      </w:r>
      <w:r w:rsidRPr="00585291">
        <w:rPr>
          <w:rFonts w:ascii="Arial" w:eastAsia="Times New Roman" w:hAnsi="Arial" w:cs="Arial"/>
          <w:sz w:val="20"/>
          <w:szCs w:val="20"/>
        </w:rPr>
        <w:t xml:space="preserve"> jest posiadanie przez Wykonawcę: </w:t>
      </w:r>
    </w:p>
    <w:p w:rsidR="00E84AD1" w:rsidRPr="00585291" w:rsidRDefault="00E84AD1" w:rsidP="00E84AD1">
      <w:pPr>
        <w:numPr>
          <w:ilvl w:val="0"/>
          <w:numId w:val="6"/>
        </w:numPr>
        <w:suppressAutoHyphens/>
        <w:autoSpaceDN w:val="0"/>
        <w:spacing w:after="200" w:line="276" w:lineRule="auto"/>
        <w:ind w:hanging="28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lastRenderedPageBreak/>
        <w:t>zgodnie z art. 54 ust. 2, art. 55 ust. 1 ppkt. 3 oraz art. 55 ust. 2 ppkt. 3 Ustawy - przez cały okres obowiązywania umowy aktualnego świadectwa bezpieczeństwa przemysłowego trzeciego stopnia potwierdzającego zdolność do ochrony informacji niejawnych o klauzuli, ,,NATO SECRET” lub wyższej. Przed podpisaniem Umowy Wykonawca zobowiązany jest przedstawić do wglądu oryginał świadectwa bezpieczeństwa przemysłowego;</w:t>
      </w:r>
    </w:p>
    <w:p w:rsidR="00E84AD1" w:rsidRPr="00585291" w:rsidRDefault="00E84AD1" w:rsidP="00E84AD1">
      <w:pPr>
        <w:numPr>
          <w:ilvl w:val="0"/>
          <w:numId w:val="6"/>
        </w:numPr>
        <w:suppressAutoHyphens/>
        <w:autoSpaceDN w:val="0"/>
        <w:spacing w:after="200" w:line="276" w:lineRule="auto"/>
        <w:ind w:hanging="28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pracowników realizujących przedmiot Umowy, posiadających aktualne poświadczenia bezpieczeństwa upoważniające do dostępu do informacji niejawnych o klauzuli „NATO SECRET”, wydane zgodnie z art. 29 ust. 1 Ustawy i przeszkolonych w zakresie ochrony informacji niejawnych, zgodnie z art. 19 Ustawy oraz posiadających aktualne zaświadczania stwierdzające odbycie tych szkoleń wydane zgodnie z art. 20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Wykonawca najpóźniej w dniu podpisania Umowy przekaże Zamawiającemu  „W</w:t>
      </w:r>
      <w:r w:rsidRPr="00585291">
        <w:rPr>
          <w:rFonts w:ascii="Arial" w:eastAsia="Times New Roman" w:hAnsi="Arial" w:cs="Arial"/>
          <w:iCs/>
          <w:sz w:val="20"/>
          <w:szCs w:val="20"/>
        </w:rPr>
        <w:t xml:space="preserve">ykaz osób związanych z realizacją umowy ze strony wykonawcy </w:t>
      </w:r>
      <w:r w:rsidRPr="00585291">
        <w:rPr>
          <w:rFonts w:ascii="Arial" w:eastAsia="Times New Roman" w:hAnsi="Arial" w:cs="Arial"/>
          <w:sz w:val="20"/>
          <w:szCs w:val="20"/>
        </w:rPr>
        <w:t>(zwany dalej „Wykazem”), który musi zawierać dane określone w art. 15 ust 1 pkt. 8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Do wykazu Wykonawca dołączy poświadczone za zgodność z oryginałem kopie poświadczeń i zaświadczenia stwierdzające odbycie przeszkolenia w zakresie ochrony informacji niejawnych dla wszystkich osób wymienionych w wykazie.</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 przypadku konieczności wprowadzenia zmian do Wykazu, o którym mowa wyżej, Wykonawca zobowiązany jest powiadomić Zamawiającego co najmniej na 7 dni przed podjęciem pracy przez te osoby i uzyskać jego zgodę na dokonanie tych zmian. Wykonawca nie może cedować swoich uprawnień nadanych mocą umowy między Stronami na podwykonawców lub „osoby trzecie” bez pisemnej akceptacji Zamawiającego. Jednocześnie Wykonawca po uzyskania zgody Zamawiającego zobowiązany jest do przesłania zaktualizowanego Wykazu nie później niż na 3 dni robocze przed przewidywanym przez Wykonawcę ich wejściem do obiektu w którym będzie realizowana Umowa.</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Informacjami podlegającymi ochronie w zakresie realizacji przedmiotu zamówienia przez Wykonawcę są wszystkie informacje związane z realizacją Umowy.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Pracownicy Wykonawcy wykonujący zadania w ramach przedmiotu Umowy muszą posiadać poświadczenia bezpieczeństwa upoważniające do dostępu do informacji niejawnych o klauzuli „POUFNE” </w:t>
      </w:r>
      <w:r w:rsidR="0053747D">
        <w:rPr>
          <w:rFonts w:ascii="Arial" w:eastAsia="Times New Roman" w:hAnsi="Arial" w:cs="Arial"/>
          <w:sz w:val="20"/>
          <w:szCs w:val="20"/>
        </w:rPr>
        <w:t xml:space="preserve">w zakresie zadania nr 1, nr 3, </w:t>
      </w:r>
      <w:r w:rsidRPr="00585291">
        <w:rPr>
          <w:rFonts w:ascii="Arial" w:eastAsia="Times New Roman" w:hAnsi="Arial" w:cs="Arial"/>
          <w:sz w:val="20"/>
          <w:szCs w:val="20"/>
        </w:rPr>
        <w:t xml:space="preserve">nr 4 </w:t>
      </w:r>
      <w:r w:rsidR="0053747D">
        <w:rPr>
          <w:rFonts w:ascii="Arial" w:eastAsia="Times New Roman" w:hAnsi="Arial" w:cs="Arial"/>
          <w:sz w:val="20"/>
          <w:szCs w:val="20"/>
        </w:rPr>
        <w:t xml:space="preserve">i nr 5 </w:t>
      </w:r>
      <w:r w:rsidRPr="00585291">
        <w:rPr>
          <w:rFonts w:ascii="Arial" w:eastAsia="Times New Roman" w:hAnsi="Arial" w:cs="Arial"/>
          <w:sz w:val="20"/>
          <w:szCs w:val="20"/>
        </w:rPr>
        <w:t xml:space="preserve">oraz poświadczenia bezpieczeństwa upoważniające do dostępu do informacji niejawnych o klauzuli „NATO SECRET” w zakresie zadania nr 2, oraz analogicznie stosowane </w:t>
      </w:r>
      <w:r w:rsidRPr="00585291">
        <w:rPr>
          <w:rFonts w:ascii="Arial" w:eastAsia="TimesNewRoman" w:hAnsi="Arial" w:cs="Arial"/>
          <w:sz w:val="20"/>
          <w:szCs w:val="20"/>
          <w:lang w:eastAsia="pl-PL"/>
        </w:rPr>
        <w:t>zaświadczeniem stwierdzające odbycie szkolenia w zakresie ochrony informacji niejawnych.</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Zamawiający wyznacza Pełnomocnika ds. Ochrony Informacji Niejawnych  8. Baza Lotnictwa Transportowego do realizacji zadań wynikających z art. 71 ust. 3 Ustawy.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Nadzór kontrolę i doradztwo nad wykonywaniem przez Wykonawcę obowiązku ochrony informacji niejawnych realizuje Pełnomocnik ds. ochrony Informacji niejawnych 8. Baza Lotnictwa Transportowego realizuje w porozumieniu z Pełnomocnikami ds. ochrony Informacji Niejawnych 1 Regionalnego Ośrodka Dowodzenia i Naprowadzania, 3. Rejonu Wsparcia Teleinformatycznego, 3. Batalionu Radiotechnicznego, WKU Oświęcim</w:t>
      </w:r>
      <w:r w:rsidR="0053747D">
        <w:rPr>
          <w:rFonts w:ascii="Arial" w:eastAsia="Times New Roman" w:hAnsi="Arial" w:cs="Arial"/>
          <w:sz w:val="20"/>
          <w:szCs w:val="20"/>
        </w:rPr>
        <w:t xml:space="preserve">, </w:t>
      </w:r>
      <w:r w:rsidRPr="00585291">
        <w:rPr>
          <w:rFonts w:ascii="Arial" w:eastAsia="Times New Roman" w:hAnsi="Arial" w:cs="Arial"/>
          <w:sz w:val="20"/>
          <w:szCs w:val="20"/>
        </w:rPr>
        <w:t>WKU Nowy Targ</w:t>
      </w:r>
      <w:r w:rsidR="0053747D">
        <w:rPr>
          <w:rFonts w:ascii="Arial" w:eastAsia="Times New Roman" w:hAnsi="Arial" w:cs="Arial"/>
          <w:sz w:val="20"/>
          <w:szCs w:val="20"/>
        </w:rPr>
        <w:t xml:space="preserve"> oraz </w:t>
      </w:r>
      <w:r w:rsidR="0053747D">
        <w:rPr>
          <w:rFonts w:ascii="Arial" w:eastAsia="Calibri" w:hAnsi="Arial" w:cs="Arial"/>
          <w:sz w:val="20"/>
          <w:szCs w:val="20"/>
        </w:rPr>
        <w:t>112 batalionie obrony terytorialnej w m. Oświecim</w:t>
      </w:r>
      <w:r w:rsidRPr="00585291">
        <w:rPr>
          <w:rFonts w:ascii="Arial" w:eastAsia="Times New Roman" w:hAnsi="Arial" w:cs="Arial"/>
          <w:sz w:val="20"/>
          <w:szCs w:val="20"/>
        </w:rPr>
        <w:t>.</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Wszelkie informacje, materiały i dokumenty podlegające ochronie w ramach realizacji przedmiotu umowy, mogą być stosownie do ich klauzuli tajności przekazane lub udostępnione Wykonawcy wyłącznie w miejscu wykonywania zadań określonych w Umowie pod nadzorem osób do tego celu upoważnionych ze strony Zamawiającego.</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Prawo dostępu do przedmiotu Umowy oraz informacji i materiałów podlegających ochronie, mają wyłącznie osoby, które są objęte Wykazem określonym w pkt. 8 Instrukcji.</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Osoby mające dostęp do przedmiotu Umowy zobowiązane są w szczególności do: </w:t>
      </w:r>
    </w:p>
    <w:p w:rsidR="00E84AD1" w:rsidRPr="00585291" w:rsidRDefault="00E84AD1" w:rsidP="00E84AD1">
      <w:pPr>
        <w:numPr>
          <w:ilvl w:val="1"/>
          <w:numId w:val="3"/>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ścisłego przestrzegania zasad i sposobów postępowania z wiadomościami niejawnymi określonymi przepisami o ochronie informacji niejawnych, </w:t>
      </w:r>
    </w:p>
    <w:p w:rsidR="00E84AD1" w:rsidRPr="00585291" w:rsidRDefault="00E84AD1" w:rsidP="00E84AD1">
      <w:pPr>
        <w:numPr>
          <w:ilvl w:val="1"/>
          <w:numId w:val="3"/>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nie ujawniania wiadomości związanych z realizacją Umowy osobom nieupoważnionym. </w:t>
      </w:r>
    </w:p>
    <w:p w:rsidR="00E84AD1" w:rsidRPr="00585291" w:rsidRDefault="00E84AD1" w:rsidP="00E84AD1">
      <w:pPr>
        <w:numPr>
          <w:ilvl w:val="2"/>
          <w:numId w:val="2"/>
        </w:numPr>
        <w:suppressAutoHyphens/>
        <w:autoSpaceDN w:val="0"/>
        <w:spacing w:after="0" w:line="276" w:lineRule="auto"/>
        <w:ind w:left="425" w:hanging="425"/>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Wykonawca jest zobowiązany do: </w:t>
      </w:r>
    </w:p>
    <w:p w:rsidR="00E84AD1" w:rsidRPr="00585291" w:rsidRDefault="00E84AD1" w:rsidP="00E84AD1">
      <w:pPr>
        <w:numPr>
          <w:ilvl w:val="1"/>
          <w:numId w:val="7"/>
        </w:numPr>
        <w:tabs>
          <w:tab w:val="left" w:pos="709"/>
        </w:tabs>
        <w:spacing w:after="20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t xml:space="preserve">ścisłego przestrzegania przepisów Ustawy i wymagań zawartych w Instrukcji pod rygorem zerwania Umowy z winy Wykonawcy i odpowiedzialności karnej za ujawnienie informacji, podlegających ochronie, zarówno w trakcie wykonywania Umowy jak i po jej zakończeniu; </w:t>
      </w:r>
    </w:p>
    <w:p w:rsidR="00E84AD1" w:rsidRPr="00585291" w:rsidRDefault="00E84AD1" w:rsidP="00E84AD1">
      <w:pPr>
        <w:numPr>
          <w:ilvl w:val="1"/>
          <w:numId w:val="7"/>
        </w:numPr>
        <w:tabs>
          <w:tab w:val="left" w:pos="709"/>
        </w:tabs>
        <w:spacing w:after="20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lastRenderedPageBreak/>
        <w:t>niezwłocznego informowania osoby, o której mowa w pkt 13 o zmianach we własnym systemie ochrony informacji niejawnych;</w:t>
      </w:r>
    </w:p>
    <w:p w:rsidR="00E84AD1" w:rsidRPr="00585291" w:rsidRDefault="00E84AD1" w:rsidP="00E84AD1">
      <w:pPr>
        <w:numPr>
          <w:ilvl w:val="1"/>
          <w:numId w:val="7"/>
        </w:numPr>
        <w:tabs>
          <w:tab w:val="left" w:pos="709"/>
        </w:tabs>
        <w:spacing w:after="20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t>niezwłocznego informowania osoby, o której mowa w pkt 13 o zmianach osób realizujących Umowę;</w:t>
      </w:r>
    </w:p>
    <w:p w:rsidR="00E84AD1" w:rsidRPr="00585291" w:rsidRDefault="00E84AD1" w:rsidP="00E84AD1">
      <w:pPr>
        <w:numPr>
          <w:ilvl w:val="1"/>
          <w:numId w:val="7"/>
        </w:numPr>
        <w:tabs>
          <w:tab w:val="left" w:pos="709"/>
        </w:tabs>
        <w:spacing w:after="20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t xml:space="preserve">niezwłocznego informowania osoby, o której mowa w pkt 13 o potrzebie zawarcia </w:t>
      </w:r>
      <w:r w:rsidRPr="00585291">
        <w:rPr>
          <w:rFonts w:ascii="Arial" w:eastAsia="Calibri" w:hAnsi="Arial" w:cs="Arial"/>
          <w:sz w:val="20"/>
          <w:szCs w:val="20"/>
        </w:rPr>
        <w:br/>
        <w:t>z podwykonawcą umowy związanej z dostępem do informacji niejawnych;</w:t>
      </w:r>
    </w:p>
    <w:p w:rsidR="00E84AD1" w:rsidRPr="00585291" w:rsidRDefault="00E84AD1" w:rsidP="00E84AD1">
      <w:pPr>
        <w:numPr>
          <w:ilvl w:val="1"/>
          <w:numId w:val="7"/>
        </w:numPr>
        <w:tabs>
          <w:tab w:val="left" w:pos="709"/>
        </w:tabs>
        <w:spacing w:after="20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t>niezwłocznego informowania osoby, o której mowa w pkt 13 o okolicznościach wygaśnięcia świadectwa bezpieczeństwa, o których mowa w art. 55 ust. 4 Ustawy;</w:t>
      </w:r>
    </w:p>
    <w:p w:rsidR="00E84AD1" w:rsidRPr="00585291" w:rsidRDefault="00E84AD1" w:rsidP="00E84AD1">
      <w:pPr>
        <w:numPr>
          <w:ilvl w:val="1"/>
          <w:numId w:val="7"/>
        </w:numPr>
        <w:tabs>
          <w:tab w:val="left" w:pos="709"/>
        </w:tabs>
        <w:spacing w:after="40" w:line="276" w:lineRule="auto"/>
        <w:ind w:left="709" w:hanging="283"/>
        <w:contextualSpacing/>
        <w:jc w:val="both"/>
        <w:rPr>
          <w:rFonts w:ascii="Arial" w:eastAsia="Calibri" w:hAnsi="Arial" w:cs="Arial"/>
          <w:sz w:val="20"/>
          <w:szCs w:val="20"/>
        </w:rPr>
      </w:pPr>
      <w:r w:rsidRPr="00585291">
        <w:rPr>
          <w:rFonts w:ascii="Arial" w:eastAsia="Calibri" w:hAnsi="Arial" w:cs="Arial"/>
          <w:sz w:val="20"/>
          <w:szCs w:val="20"/>
        </w:rPr>
        <w:t xml:space="preserve">niezwłocznego informowania osoby, o której mowa w pkt 13 o niezłożeniu wniosku </w:t>
      </w:r>
      <w:r w:rsidRPr="00585291">
        <w:rPr>
          <w:rFonts w:ascii="Arial" w:eastAsia="Calibri" w:hAnsi="Arial" w:cs="Arial"/>
          <w:sz w:val="20"/>
          <w:szCs w:val="20"/>
        </w:rPr>
        <w:br/>
        <w:t>o ponowne wydanie świadectwa bezpieczeństwa przemysłowego w związku z upływem jego ważności, jak również niezachowaniu ustawowego terminu jego złożenia;</w:t>
      </w:r>
    </w:p>
    <w:p w:rsidR="00E84AD1" w:rsidRPr="00585291" w:rsidRDefault="00E84AD1" w:rsidP="00E84AD1">
      <w:pPr>
        <w:numPr>
          <w:ilvl w:val="1"/>
          <w:numId w:val="7"/>
        </w:numPr>
        <w:tabs>
          <w:tab w:val="left" w:pos="709"/>
          <w:tab w:val="num" w:pos="851"/>
        </w:tabs>
        <w:spacing w:after="200" w:line="276" w:lineRule="auto"/>
        <w:ind w:left="709" w:hanging="283"/>
        <w:contextualSpacing/>
        <w:jc w:val="both"/>
        <w:rPr>
          <w:rFonts w:ascii="Arial" w:eastAsia="Times New Roman" w:hAnsi="Arial" w:cs="Arial"/>
          <w:sz w:val="20"/>
          <w:szCs w:val="20"/>
        </w:rPr>
      </w:pPr>
      <w:r w:rsidRPr="00585291">
        <w:rPr>
          <w:rFonts w:ascii="Arial" w:eastAsia="Times New Roman" w:hAnsi="Arial" w:cs="Arial"/>
          <w:sz w:val="20"/>
          <w:szCs w:val="20"/>
        </w:rPr>
        <w:t xml:space="preserve">niezwłocznego informowania osób, o których mowa w pkt 13 o toczącym się postępowaniu </w:t>
      </w:r>
      <w:r w:rsidRPr="00585291">
        <w:rPr>
          <w:rFonts w:ascii="Arial" w:eastAsia="Times New Roman" w:hAnsi="Arial" w:cs="Arial"/>
          <w:sz w:val="20"/>
          <w:szCs w:val="20"/>
        </w:rPr>
        <w:br/>
        <w:t>z wniosku o ogłoszenie upadłości lub przejęciu przez innego przedsiębiorcę;</w:t>
      </w:r>
    </w:p>
    <w:p w:rsidR="00E84AD1" w:rsidRPr="00585291" w:rsidRDefault="00E84AD1" w:rsidP="00E84AD1">
      <w:pPr>
        <w:numPr>
          <w:ilvl w:val="1"/>
          <w:numId w:val="7"/>
        </w:numPr>
        <w:tabs>
          <w:tab w:val="left" w:pos="709"/>
          <w:tab w:val="num" w:pos="851"/>
        </w:tabs>
        <w:spacing w:after="40" w:line="276" w:lineRule="auto"/>
        <w:ind w:left="709" w:hanging="283"/>
        <w:contextualSpacing/>
        <w:jc w:val="both"/>
        <w:rPr>
          <w:rFonts w:ascii="Arial" w:eastAsia="Times New Roman" w:hAnsi="Arial" w:cs="Arial"/>
          <w:sz w:val="20"/>
          <w:szCs w:val="20"/>
        </w:rPr>
      </w:pPr>
      <w:r w:rsidRPr="00585291">
        <w:rPr>
          <w:rFonts w:ascii="Arial" w:eastAsia="Times New Roman" w:hAnsi="Arial" w:cs="Arial"/>
          <w:sz w:val="20"/>
          <w:szCs w:val="20"/>
        </w:rPr>
        <w:t xml:space="preserve">niezwłocznego informowania osób, o których mowa w pkt 13 o zmianie danych wchodzących </w:t>
      </w:r>
      <w:r w:rsidRPr="00585291">
        <w:rPr>
          <w:rFonts w:ascii="Arial" w:eastAsia="Times New Roman" w:hAnsi="Arial" w:cs="Arial"/>
          <w:sz w:val="20"/>
          <w:szCs w:val="20"/>
        </w:rPr>
        <w:br/>
        <w:t>w skład organów przedsiębiorcy (zarządzających).</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Sprawdzenie, w celu ustalenia czy Wykonawca nie utracił zdolności do ochrony informacji niejawnych przed nieuprawnionym ujawnieniem może prowadzić SKW lub ABW na zasadach określonych w art. 65 Ustawy.</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 przypadku ustalenia, że Wykonawca nie realizuje określonych w Instrukcji wymagań w zakresie ochrony informacji niejawnych, Zamawiającemu przysługuje prawo odstąpienia od Umowy oraz dochodzenia odszkodowania z tytułu powstałej szkody na zasadach ogólnych, przy czym Wykonawca zobowiązany jest do protokolarnego przekazania Zamawiającemu wszystkich materiałów zawierających informacje niejawne związane z realizacją Umowy.</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Zabrania się pracownikom Wykonawcy samodzielnego poruszania po obiektach wyszczególnionych w zakresie zadań nr 1, nr 2, nr 3, nr 4</w:t>
      </w:r>
      <w:r w:rsidR="0053747D">
        <w:rPr>
          <w:rFonts w:ascii="Arial" w:eastAsia="Times New Roman" w:hAnsi="Arial" w:cs="Arial"/>
          <w:sz w:val="20"/>
          <w:szCs w:val="20"/>
        </w:rPr>
        <w:t xml:space="preserve"> oraz nr 5</w:t>
      </w:r>
      <w:r w:rsidRPr="00585291">
        <w:rPr>
          <w:rFonts w:ascii="Arial" w:eastAsia="Times New Roman" w:hAnsi="Arial" w:cs="Arial"/>
          <w:sz w:val="20"/>
          <w:szCs w:val="20"/>
        </w:rPr>
        <w:t>. Przebywanie i poruszanie się pracowników Wykonawcy po obiektach odbywać się będzie pod nadzorem uprawnionej osoby ze strony Zamawiającego lub Użytkownika.</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Przedmiot umowy nie może być wykorzystany do żadnego rodzaju materiałów propagandowych lub reklamowych, ani też prezentowany w jakichkolwiek publikatorach.</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Wykonawca pod rygorem zerwania Umowy z winy Wykonawcy i pod rygorem odpowiedzialności karnej za ujawnienie informacji podlegających ochronie, zobowiązuje się do przestrzegania wymagań określonych w niniejszej Instrukcji, Ustawy oraz przepisów wydanych na jej podstawie.</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Fakt realizowania Umowy nie może być wykorzystany przez Wykonawcę do żadnego rodzaju materiałów marketingowych, ani też być prezentowany w środkach masowego przekazu (tj.: prasie, radiu, telewizji, filmie, Internecie itp.).</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 przypadku stwierdzenia naruszenia lub próby naruszenia przez Wykonawcę postanowień niniejszej Instrukcji podczas wykonywania w obiekcie prac objętych Umową Zamawiający powiadomi o tym fakcie Pełnomocnika ds. Ochrony Informacji Niejawnych, Użytkownika oraz Służbę Kontrwywiadu Wojskowego i spowoduje, w przypadku konieczności, właściwe zabezpieczenie materialnych śladów działania lub jego zaniechania, które były związane ze zdarzeniem naruszenia lub próby naruszenia przez Wykonawcę postanowień niniejszej Instrukcji.</w:t>
      </w:r>
    </w:p>
    <w:p w:rsidR="00E84AD1" w:rsidRPr="00585291" w:rsidRDefault="00E84AD1" w:rsidP="00E84AD1">
      <w:pPr>
        <w:numPr>
          <w:ilvl w:val="2"/>
          <w:numId w:val="2"/>
        </w:numPr>
        <w:suppressAutoHyphens/>
        <w:autoSpaceDN w:val="0"/>
        <w:spacing w:after="200" w:line="276" w:lineRule="auto"/>
        <w:ind w:left="426" w:hanging="384"/>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Naruszenia postanowień Ustawy skutkują: </w:t>
      </w:r>
    </w:p>
    <w:p w:rsidR="00E84AD1" w:rsidRPr="00585291" w:rsidRDefault="00E84AD1" w:rsidP="00E84AD1">
      <w:pPr>
        <w:numPr>
          <w:ilvl w:val="1"/>
          <w:numId w:val="4"/>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odpowiedzialnością kamą wynikająca z rozdziału XXXIII ustawy z dnia 6 czerwca 1997r. Kodeks karny (Dz.U. z 1997 r., Nr 88, poz. 553, z późn. zm.);</w:t>
      </w:r>
    </w:p>
    <w:p w:rsidR="00E84AD1" w:rsidRPr="00585291" w:rsidRDefault="00E84AD1" w:rsidP="00E84AD1">
      <w:pPr>
        <w:numPr>
          <w:ilvl w:val="1"/>
          <w:numId w:val="4"/>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natychmiastowym zerwaniem Umowy z winy Wykonawcy; </w:t>
      </w:r>
    </w:p>
    <w:p w:rsidR="00E84AD1" w:rsidRPr="00585291" w:rsidRDefault="00E84AD1" w:rsidP="00E84AD1">
      <w:pPr>
        <w:numPr>
          <w:ilvl w:val="1"/>
          <w:numId w:val="4"/>
        </w:numPr>
        <w:suppressAutoHyphens/>
        <w:autoSpaceDN w:val="0"/>
        <w:spacing w:after="200" w:line="276" w:lineRule="auto"/>
        <w:ind w:left="709" w:hanging="283"/>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wynagrodzeniem Zamawiającemu poniesionych szkód/strat związanych z opóźnieniem realizacji usług.</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Zgodnie z art. 14 ust. 1 Ustawy za ochronę informacji niejawnych przekazanych Wykonawcy odpowiada kierownik jednostki organizacyjnej, której informacje niejawne zostały przekazane.</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Wstęp</w:t>
      </w:r>
      <w:r w:rsidR="00A214C8">
        <w:rPr>
          <w:rFonts w:ascii="Arial" w:eastAsia="Times New Roman" w:hAnsi="Arial" w:cs="Arial"/>
          <w:sz w:val="20"/>
          <w:szCs w:val="20"/>
        </w:rPr>
        <w:t>/wjazd</w:t>
      </w:r>
      <w:bookmarkStart w:id="0" w:name="_GoBack"/>
      <w:bookmarkEnd w:id="0"/>
      <w:r w:rsidRPr="00585291">
        <w:rPr>
          <w:rFonts w:ascii="Arial" w:eastAsia="Times New Roman" w:hAnsi="Arial" w:cs="Arial"/>
          <w:sz w:val="20"/>
          <w:szCs w:val="20"/>
        </w:rPr>
        <w:t xml:space="preserve"> na teren kompleksu koszarowego JW 1155 Kraków-Balice oraz JW 3533 w m. Brzoskwinia odbywa się na podstawie przepustki osobowej/samochodowej wydawanej na podstawie wniosku zatwierdzonego przez Dowódcę JW 1155.</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lastRenderedPageBreak/>
        <w:t>Wstęp na teren 1. Regionalnego Ośrodka Dowodzenia i Naprowadzania odbywa się na podstawie przepustki osobowej/karty dostępu wydawanej na podstawie wniosku zatwierdzonego przez Dowódcę 1. Regionalnego Ośrodka Dowodzenia i Naprowadzania.</w:t>
      </w:r>
    </w:p>
    <w:p w:rsidR="00E84AD1" w:rsidRDefault="00E84AD1" w:rsidP="00E84AD1">
      <w:pPr>
        <w:numPr>
          <w:ilvl w:val="2"/>
          <w:numId w:val="2"/>
        </w:numPr>
        <w:tabs>
          <w:tab w:val="num" w:pos="426"/>
        </w:tabs>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Wstęp na teren RCI Kraków odbywa się na podstawie przepustki osobowej/karty dostępu wydawanej na podstawie wniosku zatwierdzonego przez Komendanta RCI Kraków.</w:t>
      </w:r>
    </w:p>
    <w:p w:rsidR="0053747D" w:rsidRPr="00585291" w:rsidRDefault="0053747D" w:rsidP="00E84AD1">
      <w:pPr>
        <w:numPr>
          <w:ilvl w:val="2"/>
          <w:numId w:val="2"/>
        </w:numPr>
        <w:tabs>
          <w:tab w:val="num" w:pos="426"/>
        </w:tabs>
        <w:suppressAutoHyphens/>
        <w:autoSpaceDN w:val="0"/>
        <w:spacing w:after="200" w:line="276" w:lineRule="auto"/>
        <w:ind w:left="426" w:hanging="426"/>
        <w:contextualSpacing/>
        <w:jc w:val="both"/>
        <w:textAlignment w:val="baseline"/>
        <w:rPr>
          <w:rFonts w:ascii="Arial" w:eastAsia="Times New Roman" w:hAnsi="Arial" w:cs="Arial"/>
          <w:sz w:val="20"/>
          <w:szCs w:val="20"/>
        </w:rPr>
      </w:pPr>
      <w:r>
        <w:rPr>
          <w:rFonts w:ascii="Arial" w:eastAsia="Calibri" w:hAnsi="Arial" w:cs="Arial"/>
          <w:sz w:val="20"/>
          <w:szCs w:val="20"/>
        </w:rPr>
        <w:t>Wstęp na teren 112 batalionu obrony terytorialnej w m. Oświecim</w:t>
      </w:r>
      <w:r w:rsidRPr="0053747D">
        <w:rPr>
          <w:rFonts w:ascii="Arial" w:eastAsia="Times New Roman" w:hAnsi="Arial" w:cs="Arial"/>
          <w:sz w:val="20"/>
          <w:szCs w:val="20"/>
        </w:rPr>
        <w:t xml:space="preserve"> </w:t>
      </w:r>
      <w:r w:rsidRPr="00585291">
        <w:rPr>
          <w:rFonts w:ascii="Arial" w:eastAsia="Times New Roman" w:hAnsi="Arial" w:cs="Arial"/>
          <w:sz w:val="20"/>
          <w:szCs w:val="20"/>
        </w:rPr>
        <w:t xml:space="preserve">odbywa się na podstawie przepustki osobowej/karty dostępu wydawanej na podstawie wniosku zatwierdzonego przez Dowódcę </w:t>
      </w:r>
      <w:r>
        <w:rPr>
          <w:rFonts w:ascii="Arial" w:eastAsia="Calibri" w:hAnsi="Arial" w:cs="Arial"/>
          <w:sz w:val="20"/>
          <w:szCs w:val="20"/>
        </w:rPr>
        <w:t>112 batalionu obrony terytorialnej w m. Oświecim.</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Wydanie przepustek poprzedza się spisaniem notatki pomiędzy Zamawiającym a Wykonawcą w sprawie przestrzegania zasad systemu przepustkowego na terenie kompleksu. Zasadniczym terminem spisania notatki jest dzień podpisania umowy.</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 New Roman" w:hAnsi="Arial" w:cs="Arial"/>
          <w:sz w:val="20"/>
          <w:szCs w:val="20"/>
        </w:rPr>
        <w:t xml:space="preserve">W miejscach realizacji usługi zabrania się, bez zgody Użytkownika, używania urządzeń do przetwarzania obrazu i dźwięku oraz innych środków łączności i urządzeń nie ujętych na ewidencji Wykonawcy i nie zaakceptowanych przez Zamawiającego zgodnie z Decyzją Nr 77/MON Ministra Obrony Narodowej </w:t>
      </w:r>
      <w:r w:rsidRPr="00585291">
        <w:rPr>
          <w:rFonts w:ascii="Arial" w:eastAsia="Times New Roman" w:hAnsi="Arial" w:cs="Arial"/>
          <w:sz w:val="20"/>
          <w:szCs w:val="20"/>
        </w:rPr>
        <w:br/>
        <w:t xml:space="preserve">z dnia 9 czerwca 2020 r. w sprawie zasad używania urządzeń do przetwarzania obrazu i dźwięku oraz organizacji ochrony informacji niejawnych podczas przedsięwzięć realizowanych w komórkach </w:t>
      </w:r>
      <w:r w:rsidRPr="00585291">
        <w:rPr>
          <w:rFonts w:ascii="Arial" w:eastAsia="Times New Roman" w:hAnsi="Arial" w:cs="Arial"/>
          <w:sz w:val="20"/>
          <w:szCs w:val="20"/>
        </w:rPr>
        <w:br/>
        <w:t>i jednostkach organizacyjnych podległych Ministrowi Obrony Narodowej lub przez niego nadzorowanych (Dz.U z 2020 r., poz. 94).</w:t>
      </w:r>
    </w:p>
    <w:p w:rsidR="00E84AD1" w:rsidRPr="00585291" w:rsidRDefault="00E84AD1" w:rsidP="00E84AD1">
      <w:pPr>
        <w:numPr>
          <w:ilvl w:val="2"/>
          <w:numId w:val="2"/>
        </w:numPr>
        <w:suppressAutoHyphens/>
        <w:autoSpaceDN w:val="0"/>
        <w:spacing w:after="200" w:line="276" w:lineRule="auto"/>
        <w:ind w:left="426" w:hanging="426"/>
        <w:contextualSpacing/>
        <w:jc w:val="both"/>
        <w:textAlignment w:val="baseline"/>
        <w:rPr>
          <w:rFonts w:ascii="Arial" w:eastAsia="Times New Roman" w:hAnsi="Arial" w:cs="Arial"/>
          <w:sz w:val="20"/>
          <w:szCs w:val="20"/>
        </w:rPr>
      </w:pPr>
      <w:r w:rsidRPr="00585291">
        <w:rPr>
          <w:rFonts w:ascii="Arial" w:eastAsia="TimesNewRoman" w:hAnsi="Arial" w:cs="Arial"/>
          <w:sz w:val="20"/>
          <w:szCs w:val="20"/>
          <w:lang w:eastAsia="pl-PL"/>
        </w:rPr>
        <w:t>Odstępstwa od niniejszej Instrukcja są niedozwolone, bez akceptacji osoby wymienionej w pkt 13.</w:t>
      </w:r>
    </w:p>
    <w:p w:rsidR="00E84AD1" w:rsidRPr="00585291" w:rsidRDefault="00E84AD1" w:rsidP="00E84AD1">
      <w:pPr>
        <w:spacing w:after="200" w:line="276" w:lineRule="auto"/>
        <w:ind w:left="780"/>
        <w:contextualSpacing/>
        <w:jc w:val="both"/>
        <w:rPr>
          <w:rFonts w:ascii="Arial" w:eastAsia="Times New Roman" w:hAnsi="Arial" w:cs="Arial"/>
          <w:sz w:val="24"/>
          <w:szCs w:val="24"/>
        </w:rPr>
      </w:pPr>
      <w:r w:rsidRPr="00585291">
        <w:rPr>
          <w:rFonts w:ascii="Arial" w:eastAsia="Times New Roman" w:hAnsi="Arial" w:cs="Arial"/>
          <w:sz w:val="20"/>
          <w:szCs w:val="20"/>
        </w:rPr>
        <w:br/>
      </w:r>
    </w:p>
    <w:p w:rsidR="00E84AD1" w:rsidRPr="00585291" w:rsidRDefault="00E84AD1" w:rsidP="00E84AD1">
      <w:pPr>
        <w:spacing w:after="200" w:line="276" w:lineRule="auto"/>
        <w:ind w:left="780"/>
        <w:contextualSpacing/>
        <w:jc w:val="both"/>
        <w:rPr>
          <w:rFonts w:ascii="Arial" w:eastAsia="Times New Roman" w:hAnsi="Arial" w:cs="Arial"/>
          <w:sz w:val="24"/>
          <w:szCs w:val="24"/>
        </w:rPr>
      </w:pPr>
    </w:p>
    <w:p w:rsidR="00E84AD1" w:rsidRPr="00585291" w:rsidRDefault="00E84AD1" w:rsidP="00E84AD1">
      <w:pPr>
        <w:spacing w:after="200" w:line="276" w:lineRule="auto"/>
        <w:ind w:left="2832" w:hanging="1812"/>
        <w:contextualSpacing/>
        <w:jc w:val="both"/>
        <w:rPr>
          <w:rFonts w:ascii="Arial" w:eastAsia="Times New Roman" w:hAnsi="Arial" w:cs="Arial"/>
          <w:b/>
          <w:sz w:val="24"/>
          <w:szCs w:val="24"/>
        </w:rPr>
      </w:pPr>
      <w:r w:rsidRPr="00585291">
        <w:rPr>
          <w:rFonts w:ascii="Arial" w:eastAsia="Times New Roman" w:hAnsi="Arial" w:cs="Arial"/>
          <w:b/>
          <w:sz w:val="24"/>
          <w:szCs w:val="24"/>
        </w:rPr>
        <w:t xml:space="preserve">ZAMAWIAJĄCY </w:t>
      </w:r>
      <w:r w:rsidRPr="00585291">
        <w:rPr>
          <w:rFonts w:ascii="Arial" w:eastAsia="Times New Roman" w:hAnsi="Arial" w:cs="Arial"/>
          <w:b/>
          <w:sz w:val="24"/>
          <w:szCs w:val="24"/>
        </w:rPr>
        <w:tab/>
      </w:r>
      <w:r w:rsidRPr="00585291">
        <w:rPr>
          <w:rFonts w:ascii="Arial" w:eastAsia="Times New Roman" w:hAnsi="Arial" w:cs="Arial"/>
          <w:b/>
          <w:sz w:val="24"/>
          <w:szCs w:val="24"/>
        </w:rPr>
        <w:tab/>
      </w:r>
      <w:r w:rsidRPr="00585291">
        <w:rPr>
          <w:rFonts w:ascii="Arial" w:eastAsia="Times New Roman" w:hAnsi="Arial" w:cs="Arial"/>
          <w:b/>
          <w:sz w:val="24"/>
          <w:szCs w:val="24"/>
        </w:rPr>
        <w:tab/>
      </w:r>
      <w:r w:rsidRPr="00585291">
        <w:rPr>
          <w:rFonts w:ascii="Arial" w:eastAsia="Times New Roman" w:hAnsi="Arial" w:cs="Arial"/>
          <w:b/>
          <w:sz w:val="24"/>
          <w:szCs w:val="24"/>
        </w:rPr>
        <w:tab/>
      </w:r>
      <w:r w:rsidRPr="00585291">
        <w:rPr>
          <w:rFonts w:ascii="Arial" w:eastAsia="Times New Roman" w:hAnsi="Arial" w:cs="Arial"/>
          <w:b/>
          <w:sz w:val="24"/>
          <w:szCs w:val="24"/>
        </w:rPr>
        <w:tab/>
        <w:t xml:space="preserve">       WYKONAWCA</w:t>
      </w:r>
      <w:r w:rsidRPr="00585291">
        <w:rPr>
          <w:rFonts w:ascii="Arial" w:eastAsia="Times New Roman" w:hAnsi="Arial" w:cs="Arial"/>
          <w:b/>
          <w:sz w:val="24"/>
          <w:szCs w:val="24"/>
        </w:rPr>
        <w:tab/>
      </w:r>
    </w:p>
    <w:p w:rsidR="00E84AD1" w:rsidRPr="00585291" w:rsidRDefault="00E84AD1" w:rsidP="00E84AD1">
      <w:pPr>
        <w:spacing w:after="200" w:line="276" w:lineRule="auto"/>
        <w:ind w:left="2832" w:hanging="2052"/>
        <w:contextualSpacing/>
        <w:jc w:val="both"/>
        <w:rPr>
          <w:rFonts w:ascii="Arial" w:eastAsia="Times New Roman" w:hAnsi="Arial" w:cs="Arial"/>
          <w:b/>
          <w:sz w:val="24"/>
          <w:szCs w:val="24"/>
        </w:rPr>
      </w:pPr>
    </w:p>
    <w:p w:rsidR="00E84AD1" w:rsidRPr="00585291" w:rsidRDefault="00E84AD1" w:rsidP="00E84AD1">
      <w:pPr>
        <w:spacing w:after="200" w:line="276" w:lineRule="auto"/>
        <w:ind w:left="2832" w:hanging="2052"/>
        <w:contextualSpacing/>
        <w:jc w:val="both"/>
        <w:rPr>
          <w:rFonts w:ascii="Arial" w:eastAsia="Times New Roman" w:hAnsi="Arial" w:cs="Arial"/>
          <w:b/>
          <w:sz w:val="24"/>
          <w:szCs w:val="24"/>
        </w:rPr>
      </w:pPr>
    </w:p>
    <w:p w:rsidR="00E84AD1" w:rsidRPr="00585291" w:rsidRDefault="00E84AD1" w:rsidP="00E84AD1">
      <w:pPr>
        <w:spacing w:after="200" w:line="276" w:lineRule="auto"/>
        <w:ind w:left="2832" w:hanging="2052"/>
        <w:contextualSpacing/>
        <w:jc w:val="both"/>
        <w:rPr>
          <w:rFonts w:ascii="Arial" w:eastAsia="Times New Roman" w:hAnsi="Arial" w:cs="Arial"/>
          <w:b/>
          <w:sz w:val="24"/>
          <w:szCs w:val="24"/>
        </w:rPr>
      </w:pPr>
    </w:p>
    <w:p w:rsidR="00E84AD1" w:rsidRPr="00585291" w:rsidRDefault="00E84AD1" w:rsidP="00E84AD1">
      <w:pPr>
        <w:spacing w:after="200" w:line="276" w:lineRule="auto"/>
        <w:ind w:left="2832" w:hanging="2052"/>
        <w:contextualSpacing/>
        <w:jc w:val="both"/>
        <w:rPr>
          <w:rFonts w:ascii="Arial" w:eastAsia="Times New Roman" w:hAnsi="Arial" w:cs="Arial"/>
          <w:b/>
          <w:sz w:val="24"/>
          <w:szCs w:val="24"/>
        </w:rPr>
      </w:pPr>
    </w:p>
    <w:p w:rsidR="00E84AD1" w:rsidRPr="00E84AD1" w:rsidRDefault="00E84AD1" w:rsidP="00E84AD1">
      <w:pPr>
        <w:spacing w:after="200" w:line="276" w:lineRule="auto"/>
        <w:ind w:left="2124" w:hanging="1416"/>
        <w:contextualSpacing/>
        <w:jc w:val="both"/>
        <w:rPr>
          <w:rFonts w:ascii="Arial" w:eastAsia="Times New Roman" w:hAnsi="Arial" w:cs="Arial"/>
          <w:sz w:val="24"/>
          <w:szCs w:val="24"/>
        </w:rPr>
      </w:pPr>
      <w:r w:rsidRPr="00585291">
        <w:rPr>
          <w:rFonts w:ascii="Arial" w:eastAsia="Times New Roman" w:hAnsi="Arial" w:cs="Arial"/>
          <w:sz w:val="24"/>
          <w:szCs w:val="24"/>
        </w:rPr>
        <w:t xml:space="preserve">  ……………………..</w:t>
      </w:r>
      <w:r w:rsidRPr="00585291">
        <w:rPr>
          <w:rFonts w:ascii="Arial" w:eastAsia="Times New Roman" w:hAnsi="Arial" w:cs="Arial"/>
          <w:sz w:val="24"/>
          <w:szCs w:val="24"/>
        </w:rPr>
        <w:tab/>
      </w:r>
      <w:r w:rsidRPr="00585291">
        <w:rPr>
          <w:rFonts w:ascii="Arial" w:eastAsia="Times New Roman" w:hAnsi="Arial" w:cs="Arial"/>
          <w:sz w:val="24"/>
          <w:szCs w:val="24"/>
        </w:rPr>
        <w:tab/>
      </w:r>
      <w:r w:rsidRPr="00585291">
        <w:rPr>
          <w:rFonts w:ascii="Arial" w:eastAsia="Times New Roman" w:hAnsi="Arial" w:cs="Arial"/>
          <w:sz w:val="24"/>
          <w:szCs w:val="24"/>
        </w:rPr>
        <w:tab/>
      </w:r>
      <w:r w:rsidRPr="00585291">
        <w:rPr>
          <w:rFonts w:ascii="Arial" w:eastAsia="Times New Roman" w:hAnsi="Arial" w:cs="Arial"/>
          <w:sz w:val="24"/>
          <w:szCs w:val="24"/>
        </w:rPr>
        <w:tab/>
        <w:t xml:space="preserve">               ……………………</w:t>
      </w:r>
      <w:r w:rsidRPr="00E84AD1">
        <w:rPr>
          <w:rFonts w:ascii="Arial" w:eastAsia="Times New Roman" w:hAnsi="Arial" w:cs="Arial"/>
          <w:sz w:val="24"/>
          <w:szCs w:val="24"/>
        </w:rPr>
        <w:tab/>
      </w:r>
      <w:r w:rsidRPr="00E84AD1">
        <w:rPr>
          <w:rFonts w:ascii="Arial" w:eastAsia="Times New Roman" w:hAnsi="Arial" w:cs="Arial"/>
          <w:sz w:val="24"/>
          <w:szCs w:val="24"/>
        </w:rPr>
        <w:tab/>
      </w:r>
      <w:r w:rsidRPr="00E84AD1">
        <w:rPr>
          <w:rFonts w:ascii="Arial" w:eastAsia="Times New Roman" w:hAnsi="Arial" w:cs="Arial"/>
          <w:sz w:val="24"/>
          <w:szCs w:val="24"/>
        </w:rPr>
        <w:tab/>
      </w:r>
      <w:r w:rsidRPr="00E84AD1">
        <w:rPr>
          <w:rFonts w:ascii="Arial" w:eastAsia="Times New Roman" w:hAnsi="Arial" w:cs="Arial"/>
          <w:sz w:val="24"/>
          <w:szCs w:val="24"/>
        </w:rPr>
        <w:tab/>
      </w:r>
      <w:r w:rsidRPr="00E84AD1">
        <w:rPr>
          <w:rFonts w:ascii="Arial" w:eastAsia="Times New Roman" w:hAnsi="Arial" w:cs="Arial"/>
          <w:sz w:val="24"/>
          <w:szCs w:val="24"/>
        </w:rPr>
        <w:tab/>
      </w:r>
      <w:r w:rsidRPr="00E84AD1">
        <w:rPr>
          <w:rFonts w:ascii="Arial" w:eastAsia="Times New Roman" w:hAnsi="Arial" w:cs="Arial"/>
          <w:sz w:val="24"/>
          <w:szCs w:val="24"/>
        </w:rPr>
        <w:tab/>
      </w:r>
    </w:p>
    <w:p w:rsidR="00E84AD1" w:rsidRPr="00E84AD1" w:rsidRDefault="00E84AD1" w:rsidP="00E84AD1">
      <w:pPr>
        <w:tabs>
          <w:tab w:val="left" w:pos="6840"/>
        </w:tabs>
        <w:spacing w:after="0" w:line="276" w:lineRule="auto"/>
        <w:ind w:left="360"/>
        <w:rPr>
          <w:rFonts w:ascii="Arial" w:eastAsia="Times New Roman" w:hAnsi="Arial" w:cs="Arial"/>
          <w:b/>
          <w:sz w:val="20"/>
          <w:szCs w:val="20"/>
          <w:lang w:eastAsia="pl-PL"/>
        </w:rPr>
      </w:pPr>
    </w:p>
    <w:p w:rsidR="00D53203" w:rsidRDefault="00D53203"/>
    <w:sectPr w:rsidR="00D53203" w:rsidSect="006F434C">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C0" w:rsidRDefault="00AC32C0" w:rsidP="00E84AD1">
      <w:pPr>
        <w:spacing w:after="0" w:line="240" w:lineRule="auto"/>
      </w:pPr>
      <w:r>
        <w:separator/>
      </w:r>
    </w:p>
  </w:endnote>
  <w:endnote w:type="continuationSeparator" w:id="0">
    <w:p w:rsidR="00AC32C0" w:rsidRDefault="00AC32C0" w:rsidP="00E8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63" w:rsidRDefault="00717C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12163" w:rsidRDefault="00AC32C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C19" w:rsidRPr="000246F1" w:rsidRDefault="00717C2A">
    <w:pPr>
      <w:pStyle w:val="Stopka"/>
      <w:jc w:val="center"/>
      <w:rPr>
        <w:rFonts w:ascii="Arial" w:hAnsi="Arial" w:cs="Arial"/>
        <w:sz w:val="20"/>
        <w:szCs w:val="20"/>
      </w:rPr>
    </w:pPr>
    <w:r w:rsidRPr="000246F1">
      <w:rPr>
        <w:rFonts w:ascii="Arial" w:hAnsi="Arial" w:cs="Arial"/>
        <w:sz w:val="20"/>
        <w:szCs w:val="20"/>
      </w:rPr>
      <w:fldChar w:fldCharType="begin"/>
    </w:r>
    <w:r w:rsidRPr="000246F1">
      <w:rPr>
        <w:rFonts w:ascii="Arial" w:hAnsi="Arial" w:cs="Arial"/>
        <w:sz w:val="20"/>
        <w:szCs w:val="20"/>
      </w:rPr>
      <w:instrText>PAGE   \* MERGEFORMAT</w:instrText>
    </w:r>
    <w:r w:rsidRPr="000246F1">
      <w:rPr>
        <w:rFonts w:ascii="Arial" w:hAnsi="Arial" w:cs="Arial"/>
        <w:sz w:val="20"/>
        <w:szCs w:val="20"/>
      </w:rPr>
      <w:fldChar w:fldCharType="separate"/>
    </w:r>
    <w:r w:rsidR="00A214C8">
      <w:rPr>
        <w:rFonts w:ascii="Arial" w:hAnsi="Arial" w:cs="Arial"/>
        <w:noProof/>
        <w:sz w:val="20"/>
        <w:szCs w:val="20"/>
      </w:rPr>
      <w:t>1</w:t>
    </w:r>
    <w:r w:rsidRPr="000246F1">
      <w:rPr>
        <w:rFonts w:ascii="Arial" w:hAnsi="Arial" w:cs="Arial"/>
        <w:sz w:val="20"/>
        <w:szCs w:val="20"/>
      </w:rPr>
      <w:fldChar w:fldCharType="end"/>
    </w:r>
  </w:p>
  <w:p w:rsidR="006A7C19" w:rsidRDefault="00AC32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C0" w:rsidRDefault="00AC32C0" w:rsidP="00E84AD1">
      <w:pPr>
        <w:spacing w:after="0" w:line="240" w:lineRule="auto"/>
      </w:pPr>
      <w:r>
        <w:separator/>
      </w:r>
    </w:p>
  </w:footnote>
  <w:footnote w:type="continuationSeparator" w:id="0">
    <w:p w:rsidR="00AC32C0" w:rsidRDefault="00AC32C0" w:rsidP="00E84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31C"/>
    <w:multiLevelType w:val="hybridMultilevel"/>
    <w:tmpl w:val="0E8EB36A"/>
    <w:lvl w:ilvl="0" w:tplc="0415000F">
      <w:start w:val="1"/>
      <w:numFmt w:val="decimal"/>
      <w:lvlText w:val="%1."/>
      <w:lvlJc w:val="left"/>
      <w:pPr>
        <w:ind w:left="780" w:hanging="360"/>
      </w:pPr>
      <w:rPr>
        <w:rFonts w:cs="Times New Roman"/>
      </w:rPr>
    </w:lvl>
    <w:lvl w:ilvl="1" w:tplc="8924B452">
      <w:start w:val="1"/>
      <w:numFmt w:val="lowerLetter"/>
      <w:lvlText w:val="%2)"/>
      <w:lvlJc w:val="left"/>
      <w:pPr>
        <w:ind w:left="1500" w:hanging="360"/>
      </w:pPr>
      <w:rPr>
        <w:rFonts w:ascii="Arial" w:eastAsia="Times New Roman" w:hAnsi="Arial" w:cs="Arial" w:hint="default"/>
      </w:rPr>
    </w:lvl>
    <w:lvl w:ilvl="2" w:tplc="FF74ABAA">
      <w:start w:val="1"/>
      <w:numFmt w:val="bullet"/>
      <w:lvlText w:val=""/>
      <w:lvlJc w:val="left"/>
      <w:pPr>
        <w:ind w:left="2220" w:hanging="180"/>
      </w:pPr>
      <w:rPr>
        <w:rFonts w:ascii="Symbol" w:hAnsi="Symbol"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 w15:restartNumberingAfterBreak="0">
    <w:nsid w:val="2A610BAD"/>
    <w:multiLevelType w:val="hybridMultilevel"/>
    <w:tmpl w:val="5BD21246"/>
    <w:lvl w:ilvl="0" w:tplc="0E902436">
      <w:start w:val="1"/>
      <w:numFmt w:val="decimal"/>
      <w:lvlText w:val="%1."/>
      <w:lvlJc w:val="left"/>
      <w:pPr>
        <w:tabs>
          <w:tab w:val="num" w:pos="72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A91504"/>
    <w:multiLevelType w:val="hybridMultilevel"/>
    <w:tmpl w:val="9F1EC588"/>
    <w:lvl w:ilvl="0" w:tplc="0415000F">
      <w:start w:val="1"/>
      <w:numFmt w:val="decimal"/>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FF74ABAA">
      <w:start w:val="1"/>
      <w:numFmt w:val="bullet"/>
      <w:lvlText w:val=""/>
      <w:lvlJc w:val="left"/>
      <w:pPr>
        <w:ind w:left="2220" w:hanging="180"/>
      </w:pPr>
      <w:rPr>
        <w:rFonts w:ascii="Symbol" w:hAnsi="Symbol"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 w15:restartNumberingAfterBreak="0">
    <w:nsid w:val="45290AC8"/>
    <w:multiLevelType w:val="multilevel"/>
    <w:tmpl w:val="4D36755A"/>
    <w:lvl w:ilvl="0">
      <w:start w:val="7"/>
      <w:numFmt w:val="decimal"/>
      <w:lvlText w:val="%1."/>
      <w:lvlJc w:val="left"/>
      <w:pPr>
        <w:tabs>
          <w:tab w:val="num" w:pos="1620"/>
        </w:tabs>
        <w:ind w:left="2340" w:hanging="360"/>
      </w:pPr>
      <w:rPr>
        <w:rFonts w:cs="Times New Roman" w:hint="default"/>
      </w:rPr>
    </w:lvl>
    <w:lvl w:ilvl="1">
      <w:start w:val="1"/>
      <w:numFmt w:val="lowerLetter"/>
      <w:lvlText w:val="%2)"/>
      <w:lvlJc w:val="left"/>
      <w:pPr>
        <w:tabs>
          <w:tab w:val="num" w:pos="928"/>
        </w:tabs>
        <w:ind w:left="928" w:hanging="360"/>
      </w:pPr>
      <w:rPr>
        <w:rFonts w:hint="default"/>
      </w:rPr>
    </w:lvl>
    <w:lvl w:ilvl="2">
      <w:start w:val="1"/>
      <w:numFmt w:val="decimal"/>
      <w:isLgl/>
      <w:lvlText w:val="%1.%2.%3."/>
      <w:lvlJc w:val="left"/>
      <w:pPr>
        <w:tabs>
          <w:tab w:val="num" w:pos="2700"/>
        </w:tabs>
        <w:ind w:left="2700" w:hanging="720"/>
      </w:pPr>
      <w:rPr>
        <w:rFonts w:cs="Times New Roman" w:hint="default"/>
      </w:rPr>
    </w:lvl>
    <w:lvl w:ilvl="3">
      <w:start w:val="1"/>
      <w:numFmt w:val="decimal"/>
      <w:isLgl/>
      <w:lvlText w:val="%1.%2.%3.%4."/>
      <w:lvlJc w:val="left"/>
      <w:pPr>
        <w:tabs>
          <w:tab w:val="num" w:pos="2700"/>
        </w:tabs>
        <w:ind w:left="2700" w:hanging="720"/>
      </w:pPr>
      <w:rPr>
        <w:rFonts w:cs="Times New Roman" w:hint="default"/>
      </w:rPr>
    </w:lvl>
    <w:lvl w:ilvl="4">
      <w:start w:val="1"/>
      <w:numFmt w:val="decimal"/>
      <w:isLgl/>
      <w:lvlText w:val="%1.%2.%3.%4.%5."/>
      <w:lvlJc w:val="left"/>
      <w:pPr>
        <w:tabs>
          <w:tab w:val="num" w:pos="3060"/>
        </w:tabs>
        <w:ind w:left="3060" w:hanging="1080"/>
      </w:pPr>
      <w:rPr>
        <w:rFonts w:cs="Times New Roman" w:hint="default"/>
      </w:rPr>
    </w:lvl>
    <w:lvl w:ilvl="5">
      <w:start w:val="1"/>
      <w:numFmt w:val="decimal"/>
      <w:isLgl/>
      <w:lvlText w:val="%1.%2.%3.%4.%5.%6."/>
      <w:lvlJc w:val="left"/>
      <w:pPr>
        <w:tabs>
          <w:tab w:val="num" w:pos="3060"/>
        </w:tabs>
        <w:ind w:left="3060" w:hanging="1080"/>
      </w:pPr>
      <w:rPr>
        <w:rFonts w:cs="Times New Roman" w:hint="default"/>
      </w:rPr>
    </w:lvl>
    <w:lvl w:ilvl="6">
      <w:start w:val="1"/>
      <w:numFmt w:val="decimal"/>
      <w:isLgl/>
      <w:lvlText w:val="%1.%2.%3.%4.%5.%6.%7."/>
      <w:lvlJc w:val="left"/>
      <w:pPr>
        <w:tabs>
          <w:tab w:val="num" w:pos="3420"/>
        </w:tabs>
        <w:ind w:left="3420" w:hanging="1440"/>
      </w:pPr>
      <w:rPr>
        <w:rFonts w:cs="Times New Roman" w:hint="default"/>
      </w:rPr>
    </w:lvl>
    <w:lvl w:ilvl="7">
      <w:start w:val="1"/>
      <w:numFmt w:val="decimal"/>
      <w:isLgl/>
      <w:lvlText w:val="%1.%2.%3.%4.%5.%6.%7.%8."/>
      <w:lvlJc w:val="left"/>
      <w:pPr>
        <w:tabs>
          <w:tab w:val="num" w:pos="3420"/>
        </w:tabs>
        <w:ind w:left="3420" w:hanging="1440"/>
      </w:pPr>
      <w:rPr>
        <w:rFonts w:cs="Times New Roman" w:hint="default"/>
      </w:rPr>
    </w:lvl>
    <w:lvl w:ilvl="8">
      <w:start w:val="1"/>
      <w:numFmt w:val="decimal"/>
      <w:isLgl/>
      <w:lvlText w:val="%1.%2.%3.%4.%5.%6.%7.%8.%9."/>
      <w:lvlJc w:val="left"/>
      <w:pPr>
        <w:tabs>
          <w:tab w:val="num" w:pos="3780"/>
        </w:tabs>
        <w:ind w:left="3780" w:hanging="1800"/>
      </w:pPr>
      <w:rPr>
        <w:rFonts w:cs="Times New Roman" w:hint="default"/>
      </w:rPr>
    </w:lvl>
  </w:abstractNum>
  <w:abstractNum w:abstractNumId="4" w15:restartNumberingAfterBreak="0">
    <w:nsid w:val="51B374D1"/>
    <w:multiLevelType w:val="hybridMultilevel"/>
    <w:tmpl w:val="5E8C7838"/>
    <w:lvl w:ilvl="0" w:tplc="0415000F">
      <w:start w:val="1"/>
      <w:numFmt w:val="decimal"/>
      <w:lvlText w:val="%1."/>
      <w:lvlJc w:val="left"/>
      <w:pPr>
        <w:ind w:left="780" w:hanging="360"/>
      </w:pPr>
      <w:rPr>
        <w:rFonts w:cs="Times New Roman"/>
      </w:rPr>
    </w:lvl>
    <w:lvl w:ilvl="1" w:tplc="6AF6E46E">
      <w:start w:val="1"/>
      <w:numFmt w:val="lowerLetter"/>
      <w:lvlText w:val="%2)"/>
      <w:lvlJc w:val="left"/>
      <w:pPr>
        <w:ind w:left="1500" w:hanging="360"/>
      </w:pPr>
      <w:rPr>
        <w:rFonts w:ascii="Arial" w:eastAsia="Times New Roman" w:hAnsi="Arial" w:cs="Arial" w:hint="default"/>
      </w:rPr>
    </w:lvl>
    <w:lvl w:ilvl="2" w:tplc="FF74ABAA">
      <w:start w:val="1"/>
      <w:numFmt w:val="bullet"/>
      <w:lvlText w:val=""/>
      <w:lvlJc w:val="left"/>
      <w:pPr>
        <w:ind w:left="2220" w:hanging="180"/>
      </w:pPr>
      <w:rPr>
        <w:rFonts w:ascii="Symbol" w:hAnsi="Symbol" w:hint="default"/>
      </w:rPr>
    </w:lvl>
    <w:lvl w:ilvl="3" w:tplc="C652D4AA">
      <w:start w:val="18"/>
      <w:numFmt w:val="decimal"/>
      <w:lvlText w:val="%4"/>
      <w:lvlJc w:val="left"/>
      <w:pPr>
        <w:ind w:left="2940" w:hanging="360"/>
      </w:pPr>
      <w:rPr>
        <w:rFonts w:hint="default"/>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 w15:restartNumberingAfterBreak="0">
    <w:nsid w:val="6785260F"/>
    <w:multiLevelType w:val="hybridMultilevel"/>
    <w:tmpl w:val="A782C8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B521CC"/>
    <w:multiLevelType w:val="hybridMultilevel"/>
    <w:tmpl w:val="9F5E8424"/>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9F02FBC">
      <w:start w:val="2"/>
      <w:numFmt w:val="decimal"/>
      <w:lvlText w:val="%3."/>
      <w:lvlJc w:val="left"/>
      <w:pPr>
        <w:tabs>
          <w:tab w:val="num" w:pos="162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D1"/>
    <w:rsid w:val="00034D1D"/>
    <w:rsid w:val="00193676"/>
    <w:rsid w:val="003542F2"/>
    <w:rsid w:val="0053747D"/>
    <w:rsid w:val="00585291"/>
    <w:rsid w:val="00717C2A"/>
    <w:rsid w:val="007A45E8"/>
    <w:rsid w:val="007B6F66"/>
    <w:rsid w:val="00A214C8"/>
    <w:rsid w:val="00AC32C0"/>
    <w:rsid w:val="00B41A12"/>
    <w:rsid w:val="00C62E39"/>
    <w:rsid w:val="00D53203"/>
    <w:rsid w:val="00D548FD"/>
    <w:rsid w:val="00D65D99"/>
    <w:rsid w:val="00E419AE"/>
    <w:rsid w:val="00E84AD1"/>
    <w:rsid w:val="00F62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1CFC9"/>
  <w15:chartTrackingRefBased/>
  <w15:docId w15:val="{95FB072A-3762-44FA-8F76-12679E4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4A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4AD1"/>
  </w:style>
  <w:style w:type="paragraph" w:styleId="Stopka">
    <w:name w:val="footer"/>
    <w:basedOn w:val="Normalny"/>
    <w:link w:val="StopkaZnak"/>
    <w:uiPriority w:val="99"/>
    <w:unhideWhenUsed/>
    <w:rsid w:val="00E84A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4AD1"/>
  </w:style>
  <w:style w:type="character" w:styleId="Numerstrony">
    <w:name w:val="page number"/>
    <w:basedOn w:val="Domylnaczcionkaakapitu"/>
    <w:semiHidden/>
    <w:rsid w:val="00E84AD1"/>
  </w:style>
  <w:style w:type="paragraph" w:styleId="Tekstdymka">
    <w:name w:val="Balloon Text"/>
    <w:basedOn w:val="Normalny"/>
    <w:link w:val="TekstdymkaZnak"/>
    <w:uiPriority w:val="99"/>
    <w:semiHidden/>
    <w:unhideWhenUsed/>
    <w:rsid w:val="005852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7F0D470-87D6-4463-8D4C-F0C8A437FC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2028</Words>
  <Characters>12170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Kołodziejczyk Anna</dc:creator>
  <cp:keywords/>
  <dc:description/>
  <cp:lastModifiedBy>Kołodziejczyk Anna</cp:lastModifiedBy>
  <cp:revision>9</cp:revision>
  <cp:lastPrinted>2024-10-16T11:05:00Z</cp:lastPrinted>
  <dcterms:created xsi:type="dcterms:W3CDTF">2023-09-20T06:33:00Z</dcterms:created>
  <dcterms:modified xsi:type="dcterms:W3CDTF">2024-10-17T05:55:00Z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8ceae0ca-2acc-434c-a324-5c44ba76dc17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h/kTW/WezVRByqP4hfyO15rcWGHWOzFL</vt:lpwstr>
  </property>
</Properties>
</file>