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78" w:rsidRDefault="00915DBB">
      <w:pPr>
        <w:pStyle w:val="Standard"/>
        <w:rPr>
          <w:rFonts w:hint="eastAsia"/>
        </w:rPr>
      </w:pPr>
      <w:r>
        <w:rPr>
          <w:noProof/>
          <w:lang w:eastAsia="pl-PL"/>
        </w:rPr>
        <w:drawing>
          <wp:inline distT="0" distB="0" distL="0" distR="0">
            <wp:extent cx="9304970" cy="1207794"/>
            <wp:effectExtent l="0" t="0" r="0" b="0"/>
            <wp:docPr id="1" name="Obraz 1" descr="poziom_polskie_czarno_b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4970" cy="1207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7478" w:rsidRDefault="001A7478">
      <w:pPr>
        <w:pStyle w:val="Standard"/>
        <w:rPr>
          <w:rFonts w:hint="eastAsia"/>
          <w:sz w:val="20"/>
          <w:szCs w:val="20"/>
          <w:shd w:val="clear" w:color="auto" w:fill="FFFF00"/>
        </w:rPr>
      </w:pPr>
    </w:p>
    <w:p w:rsidR="001A7478" w:rsidRDefault="00915DBB">
      <w:pPr>
        <w:pStyle w:val="Standard"/>
        <w:rPr>
          <w:rFonts w:hint="eastAsia"/>
          <w:b/>
          <w:bCs/>
        </w:rPr>
      </w:pPr>
      <w:r>
        <w:rPr>
          <w:b/>
          <w:bCs/>
        </w:rPr>
        <w:t>Załącznik nr 7 do SWZ 12/2021</w:t>
      </w:r>
    </w:p>
    <w:p w:rsidR="001A7478" w:rsidRDefault="001A7478">
      <w:pPr>
        <w:pStyle w:val="Standard"/>
        <w:rPr>
          <w:rFonts w:hint="eastAsia"/>
          <w:b/>
          <w:bCs/>
          <w:sz w:val="20"/>
          <w:szCs w:val="20"/>
        </w:rPr>
      </w:pPr>
    </w:p>
    <w:p w:rsidR="001A7478" w:rsidRDefault="00915DB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:rsidR="001A7478" w:rsidRDefault="001A7478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1A7478" w:rsidRDefault="00915DB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(ZESTAWIENIE PARAMETRÓW</w:t>
      </w:r>
    </w:p>
    <w:p w:rsidR="001A7478" w:rsidRDefault="00915DB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WYMAGANYCH I PODLEGAJĄCYCH OCENIE)</w:t>
      </w:r>
    </w:p>
    <w:p w:rsidR="001A7478" w:rsidRDefault="001A7478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:rsidR="001A7478" w:rsidRDefault="00915DBB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Różny sprzęt medyczny</w:t>
      </w:r>
    </w:p>
    <w:p w:rsidR="001A7478" w:rsidRDefault="001A7478">
      <w:pPr>
        <w:pStyle w:val="Standard"/>
        <w:rPr>
          <w:rFonts w:hint="eastAsia"/>
        </w:rPr>
      </w:pPr>
    </w:p>
    <w:p w:rsidR="001A7478" w:rsidRDefault="001A7478">
      <w:pPr>
        <w:pStyle w:val="Standard"/>
        <w:rPr>
          <w:rFonts w:hint="eastAsia"/>
        </w:rPr>
      </w:pPr>
    </w:p>
    <w:p w:rsidR="001A7478" w:rsidRDefault="00915DBB">
      <w:pPr>
        <w:pStyle w:val="Akapitzlist"/>
        <w:tabs>
          <w:tab w:val="left" w:pos="5985"/>
        </w:tabs>
        <w:ind w:left="785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Aparat do pomiaru ciśnienia krwi</w:t>
      </w:r>
    </w:p>
    <w:p w:rsidR="001A7478" w:rsidRDefault="001A7478">
      <w:pPr>
        <w:pStyle w:val="Standard"/>
        <w:tabs>
          <w:tab w:val="left" w:pos="5200"/>
        </w:tabs>
        <w:rPr>
          <w:rFonts w:hint="eastAsia"/>
          <w:b/>
          <w:color w:val="000000"/>
        </w:rPr>
      </w:pPr>
    </w:p>
    <w:tbl>
      <w:tblPr>
        <w:tblW w:w="145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7699"/>
        <w:gridCol w:w="1526"/>
        <w:gridCol w:w="4541"/>
      </w:tblGrid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</w:t>
            </w: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Producent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Model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Rok produkcji 2021, urządzenie nowe, nieużywane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8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43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both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W pełni automatyczny proces pomiaru ciśnienia na ramieniu.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43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rPr>
                <w:color w:val="242424"/>
              </w:rPr>
              <w:t xml:space="preserve">Prosta obsługa za pomocą tylko </w:t>
            </w:r>
            <w:r>
              <w:rPr>
                <w:bCs/>
                <w:color w:val="242424"/>
              </w:rPr>
              <w:t>jednego przycisku</w:t>
            </w:r>
            <w:r>
              <w:rPr>
                <w:color w:val="242424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2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rPr>
                <w:color w:val="242424"/>
              </w:rPr>
              <w:t xml:space="preserve">Detekcja arytmii </w:t>
            </w:r>
            <w:r>
              <w:rPr>
                <w:bCs/>
                <w:color w:val="242424"/>
              </w:rPr>
              <w:t>z oceną</w:t>
            </w:r>
            <w:r>
              <w:rPr>
                <w:color w:val="242424"/>
              </w:rPr>
              <w:t xml:space="preserve"> stopnia wykrytych nieregularności rytmu.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System inteligentnego i optymalnego pompowania powietrza - bez ponownego pompowania.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Wskaźnik poruszeń podczas pomiaru pomaga uniknąć nieprawidłowych pomiarów.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84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Duży i wyraźny 3 cyfrowy wyświetlacz.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60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Pamięć 60 pomiarów z długoterminowym profilem.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42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Skala oceny ciśnienia tętniczego w pełnej zgodności z zaleceniami WHO.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31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rPr>
                <w:bCs/>
                <w:color w:val="242424"/>
              </w:rPr>
              <w:t xml:space="preserve">Uniwersalny rozmiar mankietu 22-42 cm </w:t>
            </w:r>
            <w:r>
              <w:rPr>
                <w:color w:val="242424"/>
              </w:rPr>
              <w:t>pasujący również dla osób otyłych.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Dodatkowe wyliczenie średnich wartości ciśnienia oraz pulsu.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32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Automatyczne wyłączenie po 1 minucie bezczynności.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32"/>
        </w:trPr>
        <w:tc>
          <w:tcPr>
            <w:tcW w:w="79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color w:val="242424"/>
              </w:rPr>
            </w:pPr>
            <w:r>
              <w:rPr>
                <w:color w:val="242424"/>
              </w:rPr>
              <w:t>Załączone 4 baterie AA, karta pomiaru ciśnienia oraz etui materiałowe.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rPr>
                <w:color w:val="242424"/>
              </w:rPr>
              <w:t xml:space="preserve">Możliwość zasilania </w:t>
            </w:r>
            <w:r>
              <w:t xml:space="preserve">przez </w:t>
            </w:r>
            <w:hyperlink r:id="rId7" w:history="1">
              <w:r>
                <w:rPr>
                  <w:rStyle w:val="ListLabel46"/>
                </w:rPr>
                <w:t>zasilacz</w:t>
              </w:r>
            </w:hyperlink>
            <w:r>
              <w:t xml:space="preserve"> ścienny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24"/>
        </w:trPr>
        <w:tc>
          <w:tcPr>
            <w:tcW w:w="8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Gwarancja min. 24 miesiące od daty podpisania protokołu zdawczo-odbiorczego przez obie strony  (podać liczbę miesięcy)</w:t>
            </w:r>
            <w:r>
              <w:tab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24 m-ce – 0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36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0,3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48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0,6 pkt</w:t>
            </w:r>
          </w:p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– 1 pkt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Deklaracja zgodności/certyfikat zgodności CE świadczący o zgodności urządzenia z europejskimi warunkami bezpieczeństwa, wpis lub zgłoszenie do Urzędu Rejestracji Produktów Leczniczych, Wyrobów Medycznych i Produktów Biobójczych.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1A7478" w:rsidRDefault="001A7478">
      <w:pPr>
        <w:pStyle w:val="Standard"/>
        <w:rPr>
          <w:rFonts w:hint="eastAsia"/>
        </w:rPr>
      </w:pPr>
    </w:p>
    <w:p w:rsidR="001A7478" w:rsidRDefault="00915DBB">
      <w:pPr>
        <w:pStyle w:val="Akapitzlist"/>
        <w:tabs>
          <w:tab w:val="left" w:pos="5985"/>
        </w:tabs>
        <w:ind w:left="785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Pulsoksymetr</w:t>
      </w:r>
      <w:proofErr w:type="spellEnd"/>
    </w:p>
    <w:p w:rsidR="001A7478" w:rsidRDefault="001A7478">
      <w:pPr>
        <w:pStyle w:val="Standard"/>
        <w:tabs>
          <w:tab w:val="left" w:pos="5200"/>
        </w:tabs>
        <w:rPr>
          <w:rFonts w:hint="eastAsia"/>
          <w:b/>
          <w:color w:val="000000"/>
        </w:rPr>
      </w:pPr>
    </w:p>
    <w:tbl>
      <w:tblPr>
        <w:tblW w:w="140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7699"/>
        <w:gridCol w:w="2223"/>
        <w:gridCol w:w="3340"/>
      </w:tblGrid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</w:t>
            </w: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Producent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Model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Rok produkcji 2021, urządzenie nowe, nieużywane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8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both"/>
              <w:rPr>
                <w:rFonts w:hint="eastAsia"/>
              </w:rPr>
            </w:pPr>
            <w:r>
              <w:t>Kolorowy ekran LCD TFT o przekątnej co najmniej 2.4” i rozdzielczości 320x240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Tryby pracy: monitorowanie oraz wyrywkowa kontrola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25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 xml:space="preserve">Wyświetlanie krzywej </w:t>
            </w:r>
            <w:proofErr w:type="spellStart"/>
            <w:r>
              <w:t>pletyzmograficznej</w:t>
            </w:r>
            <w:proofErr w:type="spellEnd"/>
            <w:r>
              <w:t>, wartości saturacji, częstości pulsu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9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Wyświetlanie wskaźnika amplitudy tętna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Zakres pomiarowy %SpO2 co najmniej od 1 do 100%, częstości pulsu od 20 do 300 P/min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Rozdzielczość SpO2 1%, dokładność pomiaru minimum ±3% w zakresie 70-100%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09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Czas odświeżania 1s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 xml:space="preserve">Możliwość współpracy z czujnikami </w:t>
            </w:r>
            <w:proofErr w:type="spellStart"/>
            <w:r>
              <w:t>Nellcor</w:t>
            </w:r>
            <w:proofErr w:type="spellEnd"/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37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Alarmy: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a)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sygnalizacja dźwiękowa i wizualna, 3 poziomy ważności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50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b)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ustawianie dolnej i górnej granicy alarmowej saturacji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95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c)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ustawianie dolnej i górnej granicy alarmowej częstości pulsu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9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Zasilanie: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09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a)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 sieci prądu zmiennego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b)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 wewnętrznego akumulatora - czas pracy co najmniej 20 godziny, czas ładowania do 100% pojemności maksimum 2 godziny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57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c)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 wewnętrznych baterii – czas pracy co najmniej 36 godzin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19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14.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Na wyposażeniu czujnik SpO2 dla dorosłych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50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15.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 xml:space="preserve">Waga urządzenia z wewnętrznym akumulatorem </w:t>
            </w:r>
            <w:r>
              <w:rPr>
                <w:u w:val="single"/>
              </w:rPr>
              <w:t>&lt;</w:t>
            </w:r>
            <w:r>
              <w:t xml:space="preserve"> 300 g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 xml:space="preserve">Ochrona </w:t>
            </w:r>
            <w:proofErr w:type="spellStart"/>
            <w:r>
              <w:t>pulsoksymetru</w:t>
            </w:r>
            <w:proofErr w:type="spellEnd"/>
            <w:r>
              <w:t xml:space="preserve"> przed przedostaniem się płynu i ciał stałych co najmniej IPX2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Możliwość przesyłania danych do komputera osobistego poprzez przewód lub port podczerwieni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C53A13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lastRenderedPageBreak/>
              <w:t>18.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Wysyłanie danych do komputera w czasie rzeczywistym poprzez adapter podczerwieni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19.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Zapamiętywanie co najmniej 4000 zestawów danych od co najmniej 90 pacjentów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20.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Zapamiętywanie trendów monitorowanych parametrów co najmniej 90 godzin przy rozdzielczości 2 sekundy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center"/>
              <w:rPr>
                <w:rFonts w:hint="eastAsia"/>
              </w:rPr>
            </w:pPr>
            <w:r>
              <w:t>TAK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11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Obsługa poprzez menu w języku polskim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491"/>
        </w:trPr>
        <w:tc>
          <w:tcPr>
            <w:tcW w:w="8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Inne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Instrukcja obsługi w języku polskim w formie papierowej i elektronicznej, paszport techniczny.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791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</w:p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Gwarancja min. 24 miesiące od daty podpisania protokołu zdawczo-odbiorczego przez obie strony  (podać liczbę miesięcy)</w:t>
            </w:r>
            <w:r>
              <w:tab/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24 m-ce – 0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36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1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48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2,5 pkt</w:t>
            </w:r>
          </w:p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– 4 pkt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Każdy dzień przestoju spowodowany niesprawnością oferowanego sprzętu przedłuża okres gwarancji.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Czas podjęcia naprawy do 2 dni roboczych od zgłoszenia konieczności przeprowadzenia naprawy.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Wykonawca zapewni części zamienne i materiały eksploatacyjne przez okres 10 lat.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Deklaracja zgodności/certyfikat zgodności CE świadczący o zgodności urządzenia z europejskimi warunkami bezpieczeństwa, wpis lub zgłoszenie do Urzędu Rejestracji Produktów Leczniczych, Wyrobów Medycznych i Produktów Biobójczych.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1A7478" w:rsidRDefault="001A7478">
      <w:pPr>
        <w:pStyle w:val="Standard"/>
        <w:rPr>
          <w:rFonts w:hint="eastAsia"/>
        </w:rPr>
      </w:pPr>
    </w:p>
    <w:p w:rsidR="001A7478" w:rsidRDefault="001A7478">
      <w:pPr>
        <w:pStyle w:val="Standard"/>
        <w:rPr>
          <w:rFonts w:hint="eastAsia"/>
        </w:rPr>
      </w:pPr>
    </w:p>
    <w:p w:rsidR="001A7478" w:rsidRDefault="00915DBB">
      <w:pPr>
        <w:pStyle w:val="Akapitzlist"/>
        <w:tabs>
          <w:tab w:val="left" w:pos="5985"/>
        </w:tabs>
        <w:ind w:left="785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Płuczka dezynfektor basenów i kaczek</w:t>
      </w:r>
    </w:p>
    <w:p w:rsidR="001A7478" w:rsidRDefault="001A7478">
      <w:pPr>
        <w:pStyle w:val="Standard"/>
        <w:tabs>
          <w:tab w:val="left" w:pos="5200"/>
        </w:tabs>
        <w:rPr>
          <w:rFonts w:hint="eastAsia"/>
          <w:b/>
          <w:color w:val="000000"/>
        </w:rPr>
      </w:pPr>
    </w:p>
    <w:tbl>
      <w:tblPr>
        <w:tblW w:w="1405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7699"/>
        <w:gridCol w:w="1526"/>
        <w:gridCol w:w="4031"/>
      </w:tblGrid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</w:t>
            </w: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Producent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Model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Rok produkcji 2021, urządzenie nowe, nieużywane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8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both"/>
              <w:rPr>
                <w:rFonts w:hint="eastAsia"/>
              </w:rPr>
            </w:pPr>
            <w:r>
              <w:t>Myjnia do pojemników na płyny fizjologiczne i biologiczne pacjentów – urządzenie fabrycznie nowe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Konstrukcja i działanie myjni zgodne z wymaganiami normy PN EN ISO 15883-1, -3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Wymiary gabarytowe 600 x 630 x 1460 mm (S x G x W) (+/- 5 %)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Drzwi otwierane uchylnie gwarantujące załadunek na ergonomicznej wysokości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Pojemność komory min. 72 litrów o wymiarach 480x360x640 mm (szer. x głęb. x wys.) +/- 5 %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Myjnia przeznaczona do jednoczesnego mycia 4 kaczek i 2 basenów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Ogrzewanie elektryczne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3 dysze obrotowe oraz 7 stałych dysz natryskowych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595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Dostosowanie myjni do mycia naczyń plastikowych, jak i emaliowanych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pełni automatyczne sterowanie mikroprocesorowe PLC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Mycie i dezynfekcja parą w całym urządzeniu (w tym w komorze, zbiorniku na wodę oraz spuście) przy minimalnym zużyciu wody i energii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Automatyczne opróżnianie mytych i dezynfekowanych naczyń i pojemników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Komunikat o braku detergentu niezbędnego do zakończenia cyklu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Fazy wyświetlane w formie tekstowej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Wyświetlany czas pozostały do końca cyklu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Informacja świetlna i tekstowa o zakończeniu cyklu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Wyświetlana informacja o błędach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Możliwość dokonywania zmian parametrów procesu przez użytkownika.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Blokada drzwi w trakcie trwania procesu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Bezdotykowe otwieranie i zamykanie drzwi (wbudowana fotokomórka)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Panel obsługi w języku polskim umożliwiający wybór dowolnego programu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Maksymalne zużycie wody na cykl 9 litrów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Średnica spustu 90 – 110 mm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Maksymalna moc 7,5 kW +/- 5%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Myjnia z wbudowaną wytwornicą pary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Wbudowany kondensator pary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Zintegrowane miejsce na pojemnik z detergentem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Izolacja dźwiękowa i akustyczna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Urządzenie (obudowa i komora mycia) wykonane w całości ze stali nierdzewnej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Automatyczne odmierzanie i dozowanie środków myjących i dezynfekujących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Dostęp do ustawień parametrów procesu zabezpieczony kodem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35.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Obudowa myjni, komora, ramiona natryskowe, elementy grzewcze, rama nośna wykonane ze stali nierdzewnej.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Pompa cyrkulacyjna min 600 l/min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Zasilanie elektryczne 240/400V 3N 50Hz 7.5kW 16A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Zabezpieczenie przed zalaniem i przegrzaniem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Sygnalizacja świetlna i akustyczna awarii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Wyrób medyczny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8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Gwarancja min. 24 miesiące od daty podpisania protokołu zdawczo-odbiorczego przez obie strony  (podać liczbę miesięcy)</w:t>
            </w:r>
            <w:r>
              <w:tab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24 m-ce – 0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36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4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48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8 pkt</w:t>
            </w:r>
          </w:p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– 12 pkt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Deklaracja zgodności/certyfikat zgodności CE świadczący o zgodności urządzenia z europejskimi warunkami bezpieczeństwa, wpis lub zgłoszenie do Urzędu Rejestracji Produktów Leczniczych, Wyrobów Medycznych i Produktów Biobójczych.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1A7478" w:rsidRDefault="001A7478">
      <w:pPr>
        <w:pStyle w:val="Standard"/>
        <w:rPr>
          <w:rFonts w:hint="eastAsia"/>
        </w:rPr>
      </w:pPr>
    </w:p>
    <w:p w:rsidR="001A7478" w:rsidRDefault="001A7478">
      <w:pPr>
        <w:pStyle w:val="Standard"/>
        <w:rPr>
          <w:rFonts w:hint="eastAsia"/>
        </w:rPr>
      </w:pPr>
      <w:bookmarkStart w:id="0" w:name="_GoBack"/>
      <w:bookmarkEnd w:id="0"/>
    </w:p>
    <w:p w:rsidR="001A7478" w:rsidRDefault="00915DBB">
      <w:pPr>
        <w:pStyle w:val="Akapitzlist"/>
        <w:ind w:left="785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Siedzący wózek transportowy</w:t>
      </w:r>
    </w:p>
    <w:p w:rsidR="001A7478" w:rsidRDefault="001A7478">
      <w:pPr>
        <w:pStyle w:val="Standard"/>
        <w:rPr>
          <w:rFonts w:hint="eastAsia"/>
        </w:rPr>
      </w:pPr>
    </w:p>
    <w:tbl>
      <w:tblPr>
        <w:tblW w:w="1405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7699"/>
        <w:gridCol w:w="1526"/>
        <w:gridCol w:w="4031"/>
      </w:tblGrid>
      <w:tr w:rsidR="001A7478">
        <w:trPr>
          <w:trHeight w:val="586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</w:t>
            </w: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Producent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Model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Podać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rPr>
                <w:rFonts w:hint="eastAsia"/>
              </w:rPr>
            </w:pPr>
            <w:r>
              <w:t>Rok produkcji 2021, urządzenie nowe, nieużywane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8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7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both"/>
              <w:rPr>
                <w:rFonts w:hint="eastAsia"/>
              </w:rPr>
            </w:pPr>
            <w:r>
              <w:t>Wózek do transportu chorych w pozycji siedzącej i leżącej, przeznaczony na różne oddziały szpitalne w tym do oddziałów opieki jednodniowej jako łóżko szpitalne.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Obniżenie sekcji oparcia nóg poniżej poziomu sekcji oparcia miednicy umożliwia transport pacjenta w pozycji siedzącej.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Leże pacjenta trzysekcyjne wykonane z wysokiej jakości płyt HPL o grubości minimum 10 mm.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Możliwość współpracy wózka z ramieniem C.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Leże przezierne dla promieni RTG, z kasetą do wykonywania zdjęć RTG i ze wspornikiem kasety.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Leże pacjenta wyposażone w chromowane relingi utrzymujące materac na miejscu.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Regulacja oparcia pleców za pomocą sprężyny gazowej.</w:t>
            </w:r>
          </w:p>
          <w:p w:rsidR="001A7478" w:rsidRDefault="001A7478">
            <w:pPr>
              <w:pStyle w:val="Standard"/>
              <w:rPr>
                <w:rFonts w:eastAsia="Lucida Sans Unicode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Uchwyt do unoszenia oparcia pleców umieszczony na całej szerokości leża, nie koliduje z kasetą.</w:t>
            </w:r>
          </w:p>
          <w:p w:rsidR="001A7478" w:rsidRDefault="00915DBB">
            <w:pPr>
              <w:pStyle w:val="Standard"/>
              <w:rPr>
                <w:rFonts w:hint="eastAsia"/>
              </w:rPr>
            </w:pPr>
            <w:r>
              <w:t>Uchwyt łatwo odróżniający się, w innym kolorze od oparcia pleców i ramy wózka.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Sekcja oparcia nóg regulowana jest za pomocą sprężyny gazowej.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Wózek oparty na jednej kolumnie centralnej o przekroju kwadratu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Rama wózka wykonana z elementów stalowych pokrytych wysokiej jakości lakierem epoksydowym przeznaczonym do obszarów medycznych, odpornym na zadrapania i środki dezynfekcyjne.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Wózek wyposażony w dodatkową ochronę antybakteryjną poprzez wzbogacenie elementów metalowych substancją antybakteryjną z dodatkiem jonów srebra, zapewniającą ochronę przed namnażaniem się bakterii. Podać rodzaj substancji antybakteryjnej.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Wózek wyposażony w krążki odbojowe w narożnikach leża.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Uchwyt zakończony obustronnymi rękojeściami do prowadzenia wózka umieszczony od strony głowy pacjenta.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rPr>
                <w:rFonts w:cs="Calibri"/>
              </w:rPr>
              <w:t xml:space="preserve">Podstawa wózka wyposażona jest w obudowę wykonaną z tworzywa ABS z uchwytem na dwie butle tlenowe </w:t>
            </w:r>
            <w:r>
              <w:t>(wgłębienia z pasami)</w:t>
            </w:r>
            <w:r>
              <w:rPr>
                <w:rFonts w:cs="Calibri"/>
              </w:rPr>
              <w:t xml:space="preserve"> i na osobiste rzeczy pacjenta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Poręcze boczne opuszczane w systemie cyrklowym. Poręcze boczne pokryte wysokiej jakości lakierem epoksydowym przeznaczonym do obszarów medycznych, odpornym na zadrapania i środki dezynfekcyjne.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Regulacja przechyłów wzdłużnych za pomocą sprężyn gazowych.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Regulacja wysokości dwoma pedałami umieszczonymi po obu bokach wózka.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Wózek na 4 kołach o średnicy minimum 150 mm. Blokada centralna i kierunkowa od strony każdego koła.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Piąte koło kierunkowe o średnicy min. 100 mm ułatwiające manewrowanie wózkiem.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Wymiary zewnętrzne wózka: min. długość 2150 mm x szerokość 800 mm.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Powierzchnia leża: min. długość 2000 mm x szerokość 600 mm.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Regulacja wysokości hydraulicznie pedałem dwustronnym: minimum: 640 – 990 mm.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proofErr w:type="spellStart"/>
            <w:r>
              <w:t>Trendelenburg</w:t>
            </w:r>
            <w:proofErr w:type="spellEnd"/>
            <w:r>
              <w:t xml:space="preserve"> i anty – </w:t>
            </w:r>
            <w:proofErr w:type="spellStart"/>
            <w:r>
              <w:t>Trendelenburg</w:t>
            </w:r>
            <w:proofErr w:type="spellEnd"/>
            <w:r>
              <w:t>: min.: 0 - 12° za pomocą dźwigni od strony głowy pacjenta.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Wózek wyposażony w stojak na kroplówkę.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Regulacja sekcji oparcia pleców: min. 0-70° za pomocą uchwytu różniącego się kolorem i umieszczonego na całej szerokości leża od strony głowy pacjenta.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Regulacja sekcji oparcia nóg: 0-40° za pomocą uchwytu różniącego się kolorem i umieszczonego na całej szerokości leża od strony nóg pacjenta.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Udźwig wózka: 180 kg +/- 10 kg.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Wózek z materacem. Pokrowiec materaca odporny na ciecze, materac o grubości min. 8 cm.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33.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jc w:val="both"/>
              <w:rPr>
                <w:rFonts w:hint="eastAsia"/>
              </w:rPr>
            </w:pPr>
            <w:r>
              <w:t>Wózek do transportu chorych w pozycji siedzącej i leżącej, przeznaczony na różne oddziały szpitalne w tym do oddziałów opieki jednodniowej jako łóżko szpitalne.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Obniżenie sekcji oparcia nóg poniżej poziomu sekcji oparcia miednicy umożliwia transport pacjenta w pozycji siedzącej.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rPr>
                <w:rFonts w:hint="eastAsia"/>
              </w:rPr>
            </w:pPr>
            <w:r>
              <w:t>Leże pacjenta trzysekcyjne wykonane z wysokiej jakości płyt HPL o grubości minimum 10 mm.</w:t>
            </w: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8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widowControl w:val="0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Gwarancja min. 24 miesiące od daty podpisania protokołu zdawczo-odbiorczego przez obie strony  (podać liczbę miesięcy)</w:t>
            </w:r>
            <w:r>
              <w:tab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24 m-ce – 0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36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6 pkt</w:t>
            </w:r>
          </w:p>
          <w:p w:rsidR="001A7478" w:rsidRDefault="00915DB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48 m-</w:t>
            </w:r>
            <w:proofErr w:type="spellStart"/>
            <w:r>
              <w:rPr>
                <w:sz w:val="18"/>
                <w:szCs w:val="18"/>
                <w:lang w:val="pl-PL"/>
              </w:rPr>
              <w:t>cy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12 pkt</w:t>
            </w:r>
          </w:p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– 18 pkt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 xml:space="preserve">Czas podjęcia naprawy do 2 dni roboczych od zgłoszenia konieczności </w:t>
            </w:r>
            <w:r>
              <w:lastRenderedPageBreak/>
              <w:t>przeprowadzenia naprawy.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lastRenderedPageBreak/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Deklaracja zgodności/certyfikat zgodności CE świadczący o zgodności urządzenia z europejskimi warunkami bezpieczeństwa, wpis lub zgłoszenie do Urzędu Rejestracji Produktów Leczniczych, Wyrobów Medycznych i Produktów Biobójczych.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1A7478">
        <w:trPr>
          <w:trHeight w:val="306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78" w:rsidRDefault="00915DBB">
            <w:pPr>
              <w:pStyle w:val="Standard"/>
              <w:widowControl w:val="0"/>
              <w:rPr>
                <w:rFonts w:hint="eastAsia"/>
              </w:rPr>
            </w:pPr>
            <w:r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915DBB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78" w:rsidRDefault="001A7478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1A7478" w:rsidRDefault="001A7478">
      <w:pPr>
        <w:pStyle w:val="Standard"/>
        <w:rPr>
          <w:rFonts w:hint="eastAsia"/>
        </w:rPr>
      </w:pPr>
    </w:p>
    <w:tbl>
      <w:tblPr>
        <w:tblW w:w="6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0"/>
      </w:tblGrid>
      <w:tr w:rsidR="001A7478">
        <w:trPr>
          <w:trHeight w:val="960"/>
        </w:trPr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478" w:rsidRDefault="00915DBB">
            <w:pPr>
              <w:pStyle w:val="Standard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.................................................................................</w:t>
            </w:r>
          </w:p>
        </w:tc>
      </w:tr>
      <w:tr w:rsidR="001A7478">
        <w:trPr>
          <w:trHeight w:val="276"/>
        </w:trPr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478" w:rsidRDefault="00915DBB">
            <w:pPr>
              <w:pStyle w:val="Standard"/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  <w:t>(data i podpisy osób upoważnionych do składania</w:t>
            </w:r>
          </w:p>
        </w:tc>
      </w:tr>
      <w:tr w:rsidR="001A7478">
        <w:trPr>
          <w:trHeight w:val="276"/>
        </w:trPr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478" w:rsidRDefault="00915DBB">
            <w:pPr>
              <w:pStyle w:val="Standard"/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  <w:t>oświadczeń woli w imieniu wykonawcy)</w:t>
            </w:r>
          </w:p>
        </w:tc>
      </w:tr>
    </w:tbl>
    <w:p w:rsidR="001A7478" w:rsidRDefault="001A7478">
      <w:pPr>
        <w:pStyle w:val="Standard"/>
        <w:rPr>
          <w:rFonts w:hint="eastAsia"/>
        </w:rPr>
      </w:pPr>
    </w:p>
    <w:sectPr w:rsidR="001A7478">
      <w:footerReference w:type="default" r:id="rId8"/>
      <w:pgSz w:w="16838" w:h="11906" w:orient="landscape"/>
      <w:pgMar w:top="9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1A" w:rsidRDefault="00915DBB">
      <w:pPr>
        <w:rPr>
          <w:rFonts w:hint="eastAsia"/>
        </w:rPr>
      </w:pPr>
      <w:r>
        <w:separator/>
      </w:r>
    </w:p>
  </w:endnote>
  <w:endnote w:type="continuationSeparator" w:id="0">
    <w:p w:rsidR="00C2581A" w:rsidRDefault="00915D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736592"/>
      <w:docPartObj>
        <w:docPartGallery w:val="Page Numbers (Bottom of Page)"/>
        <w:docPartUnique/>
      </w:docPartObj>
    </w:sdtPr>
    <w:sdtEndPr/>
    <w:sdtContent>
      <w:p w:rsidR="005436F8" w:rsidRDefault="005436F8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36F8" w:rsidRDefault="005436F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1A" w:rsidRDefault="00915D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581A" w:rsidRDefault="00915D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78"/>
    <w:rsid w:val="001A7478"/>
    <w:rsid w:val="005436F8"/>
    <w:rsid w:val="00915DBB"/>
    <w:rsid w:val="00C2581A"/>
    <w:rsid w:val="00C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08E"/>
  <w15:docId w15:val="{E2E91ACD-58EB-47D2-86E4-8C1F6502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Wyliczkreska">
    <w:name w:val="Wylicz_kreska"/>
    <w:basedOn w:val="Standard"/>
    <w:pPr>
      <w:spacing w:line="360" w:lineRule="auto"/>
      <w:ind w:left="720" w:hanging="180"/>
    </w:pPr>
    <w:rPr>
      <w:rFonts w:eastAsia="Lucida Sans Unicode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55">
    <w:name w:val="ListLabel 55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6">
    <w:name w:val="ListLabel 116"/>
  </w:style>
  <w:style w:type="character" w:customStyle="1" w:styleId="StrongEmphasis">
    <w:name w:val="Strong Emphasis"/>
    <w:rPr>
      <w:b/>
      <w:bCs/>
    </w:rPr>
  </w:style>
  <w:style w:type="character" w:customStyle="1" w:styleId="ListLabel46">
    <w:name w:val="ListLabel 46"/>
  </w:style>
  <w:style w:type="character" w:customStyle="1" w:styleId="ListLabel48">
    <w:name w:val="ListLabel 48"/>
  </w:style>
  <w:style w:type="paragraph" w:styleId="Nagwek">
    <w:name w:val="header"/>
    <w:basedOn w:val="Normalny"/>
    <w:link w:val="NagwekZnak"/>
    <w:uiPriority w:val="99"/>
    <w:unhideWhenUsed/>
    <w:rsid w:val="005436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436F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436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36F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amedica.pl/product-pol-113-Zasilacz-sieciowy-do-cisnieniomierzy-Boso-Medic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DJ</dc:creator>
  <cp:lastModifiedBy>Mirosław Czarnecki</cp:lastModifiedBy>
  <cp:revision>3</cp:revision>
  <cp:lastPrinted>2021-09-16T21:47:00Z</cp:lastPrinted>
  <dcterms:created xsi:type="dcterms:W3CDTF">2021-10-08T10:38:00Z</dcterms:created>
  <dcterms:modified xsi:type="dcterms:W3CDTF">2021-10-08T10:42:00Z</dcterms:modified>
</cp:coreProperties>
</file>