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B4B" w:rsidRPr="00082B4B" w:rsidRDefault="00082B4B" w:rsidP="00082B4B">
      <w:pPr>
        <w:suppressAutoHyphens/>
        <w:spacing w:after="0" w:line="240" w:lineRule="auto"/>
        <w:ind w:left="751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082B4B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t>Załącznik nr 9 do SWZ</w:t>
      </w:r>
    </w:p>
    <w:p w:rsidR="00082B4B" w:rsidRPr="00082B4B" w:rsidRDefault="00082B4B" w:rsidP="00082B4B">
      <w:pPr>
        <w:suppressAutoHyphens/>
        <w:spacing w:after="0" w:line="240" w:lineRule="auto"/>
        <w:ind w:left="751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082B4B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01/25/IR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Wykonawca: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………………………………….………..….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reprezentowany przez: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………………………………………...…….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082B4B" w:rsidRPr="00082B4B" w:rsidRDefault="00082B4B" w:rsidP="00082B4B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082B4B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082B4B" w:rsidRPr="00082B4B" w:rsidRDefault="00082B4B" w:rsidP="00082B4B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082B4B" w:rsidRPr="00082B4B" w:rsidRDefault="00082B4B" w:rsidP="00082B4B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3"/>
          <w:szCs w:val="23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082B4B" w:rsidRPr="00082B4B" w:rsidRDefault="00082B4B" w:rsidP="00082B4B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082B4B" w:rsidRPr="00082B4B" w:rsidRDefault="00082B4B" w:rsidP="00082B4B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082B4B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082B4B" w:rsidRDefault="00082B4B" w:rsidP="00082B4B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 xml:space="preserve">składane na podstawie art. 125 ust. 1 Ustawy </w:t>
      </w:r>
    </w:p>
    <w:p w:rsidR="00082B4B" w:rsidRPr="00082B4B" w:rsidRDefault="00082B4B" w:rsidP="00082B4B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bookmarkStart w:id="0" w:name="_GoBack"/>
      <w:bookmarkEnd w:id="0"/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082B4B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„wykonanie robót budowlanych polegających na modernizacji budynku internatowego nr 5 oraz przeniesienie serwerowni do budynku nr 7 zlokalizowanych na terenie Centrum Szkolenia Policji w Legionowie w formule „zaprojektuj i wybuduj” </w:t>
      </w:r>
      <w:r w:rsidRPr="00082B4B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082B4B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01/25/IR</w:t>
      </w: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082B4B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OŚWIADCZENIA DOTYCZĄCE WYKONAWCY:</w:t>
      </w:r>
    </w:p>
    <w:p w:rsidR="00082B4B" w:rsidRPr="00082B4B" w:rsidRDefault="00082B4B" w:rsidP="00082B4B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82B4B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082B4B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082B4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:rsidR="00082B4B" w:rsidRPr="00082B4B" w:rsidRDefault="00082B4B" w:rsidP="00082B4B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2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082B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082B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082B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(Dz. U. z 2024 r., poz. 507)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082B4B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082B4B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082B4B" w:rsidRPr="00082B4B" w:rsidRDefault="00082B4B" w:rsidP="00082B4B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99016800"/>
      <w:r w:rsidRPr="00082B4B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2"/>
    </w:p>
    <w:p w:rsidR="00082B4B" w:rsidRPr="00082B4B" w:rsidRDefault="00082B4B" w:rsidP="00082B4B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3" w:name="_Hlk99005462"/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3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4" w:name="_Hlk99014455"/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4"/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………………………………………………..………….………..…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10 % wartości przedmiotowego zamówienia. 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082B4B" w:rsidRPr="00082B4B" w:rsidRDefault="00082B4B" w:rsidP="00082B4B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082B4B" w:rsidRPr="00082B4B" w:rsidRDefault="00082B4B" w:rsidP="00082B4B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082B4B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082B4B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082B4B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082B4B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82B4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082B4B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>Dokument należy wypełnić i podpisać kwalifikowanym podpisem elektronicznym.</w:t>
      </w:r>
      <w:r w:rsidRPr="00082B4B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br/>
        <w:t xml:space="preserve">Zamawiający zaleca zapisanie dokumentu w formacie PDF. </w:t>
      </w:r>
    </w:p>
    <w:p w:rsidR="00082B4B" w:rsidRPr="00082B4B" w:rsidRDefault="00082B4B" w:rsidP="00082B4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082B4B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lastRenderedPageBreak/>
        <w:t>Załącznik nr 9a do SWZ</w:t>
      </w:r>
    </w:p>
    <w:p w:rsidR="00082B4B" w:rsidRPr="00082B4B" w:rsidRDefault="00082B4B" w:rsidP="00082B4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082B4B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01/25/IR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Wykonawca: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………………………………….……….….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reprezentowany przez: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…………………………………………...….</w:t>
      </w:r>
    </w:p>
    <w:p w:rsidR="00082B4B" w:rsidRPr="00082B4B" w:rsidRDefault="00082B4B" w:rsidP="00082B4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082B4B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082B4B" w:rsidRPr="00082B4B" w:rsidRDefault="00082B4B" w:rsidP="00082B4B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082B4B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082B4B" w:rsidRPr="00082B4B" w:rsidRDefault="00082B4B" w:rsidP="00082B4B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082B4B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082B4B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082B4B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082B4B" w:rsidRPr="00082B4B" w:rsidRDefault="00082B4B" w:rsidP="00082B4B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Ustawy; 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(w przypadku Podwykonawcy na postawie art. 462 ust. 5 Ustawy)</w:t>
      </w:r>
    </w:p>
    <w:p w:rsidR="00082B4B" w:rsidRPr="00082B4B" w:rsidRDefault="00082B4B" w:rsidP="00082B4B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082B4B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„wykonanie robót budowlanych polegających na modernizacji budynku internatowego nr 5 oraz przeniesienie serwerowni do budynku nr 7 zlokalizowanych na terenie Centrum Szkolenia Policji w Legionowie w formule „zaprojektuj i wybuduj” </w:t>
      </w:r>
      <w:r w:rsidRPr="00082B4B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082B4B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01/25/IR</w:t>
      </w: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082B4B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082B4B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082B4B" w:rsidRPr="00082B4B" w:rsidRDefault="00082B4B" w:rsidP="00082B4B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426" w:hanging="284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082B4B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082B4B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082B4B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</w:t>
      </w:r>
      <w:r w:rsidRPr="00082B4B">
        <w:rPr>
          <w:rFonts w:ascii="Times New Roman" w:eastAsia="Calibri" w:hAnsi="Times New Roman" w:cs="Times New Roman"/>
          <w:sz w:val="24"/>
          <w:szCs w:val="24"/>
        </w:rPr>
        <w:br/>
        <w:t>dalej: rozporządzenie 833/2014, w brzmieniu nadanym rozporządzeniem Rady (UE) 2022/576 w sprawie zmiany rozporządzenia (UE) nr 833/2014 dotyczącego środków ograniczających w związku z działaniami Rosji destabilizującymi sytuację na Ukrainie (Dz.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B4B">
        <w:rPr>
          <w:rFonts w:ascii="Times New Roman" w:eastAsia="Calibri" w:hAnsi="Times New Roman" w:cs="Times New Roman"/>
          <w:sz w:val="24"/>
          <w:szCs w:val="24"/>
        </w:rPr>
        <w:t>Urz.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B4B">
        <w:rPr>
          <w:rFonts w:ascii="Times New Roman" w:eastAsia="Calibri" w:hAnsi="Times New Roman" w:cs="Times New Roman"/>
          <w:sz w:val="24"/>
          <w:szCs w:val="24"/>
        </w:rPr>
        <w:t>UE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B4B">
        <w:rPr>
          <w:rFonts w:ascii="Times New Roman" w:eastAsia="Calibri" w:hAnsi="Times New Roman" w:cs="Times New Roman"/>
          <w:sz w:val="24"/>
          <w:szCs w:val="24"/>
        </w:rPr>
        <w:t>nr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B4B">
        <w:rPr>
          <w:rFonts w:ascii="Times New Roman" w:eastAsia="Calibri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B4B">
        <w:rPr>
          <w:rFonts w:ascii="Times New Roman" w:eastAsia="Calibri" w:hAnsi="Times New Roman" w:cs="Times New Roman"/>
          <w:sz w:val="24"/>
          <w:szCs w:val="24"/>
        </w:rPr>
        <w:t>111 z 8.4.2022, str. 1), dalej: rozporządzenie 2022/576.</w:t>
      </w:r>
      <w:r w:rsidRPr="00082B4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</w:p>
    <w:p w:rsidR="00082B4B" w:rsidRPr="00082B4B" w:rsidRDefault="00082B4B" w:rsidP="00082B4B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2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082B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082B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oraz służących ochronie bezpieczeństwa narodowego </w:t>
      </w:r>
      <w:r w:rsidRPr="00082B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(Dz. U. z 2024 r., poz. 507)</w:t>
      </w:r>
      <w:r w:rsidRPr="00082B4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082B4B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082B4B" w:rsidRPr="00082B4B" w:rsidRDefault="00082B4B" w:rsidP="00082B4B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082B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82B4B" w:rsidRPr="00082B4B" w:rsidRDefault="00082B4B" w:rsidP="00082B4B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82B4B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082B4B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082B4B" w:rsidRPr="00082B4B" w:rsidRDefault="00082B4B" w:rsidP="00082B4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082B4B" w:rsidRPr="00082B4B" w:rsidRDefault="00082B4B" w:rsidP="00082B4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082B4B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elektronicznym. </w:t>
      </w:r>
    </w:p>
    <w:p w:rsidR="00082B4B" w:rsidRPr="00082B4B" w:rsidRDefault="00082B4B" w:rsidP="00082B4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082B4B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Zamawiający zaleca zapisanie dokumentu w formacie PDF. </w:t>
      </w:r>
    </w:p>
    <w:p w:rsidR="00082B4B" w:rsidRPr="00082B4B" w:rsidRDefault="00082B4B" w:rsidP="00082B4B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082B4B" w:rsidRDefault="00082B4B"/>
    <w:sectPr w:rsidR="00082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B4B" w:rsidRDefault="00082B4B" w:rsidP="00082B4B">
      <w:pPr>
        <w:spacing w:after="0" w:line="240" w:lineRule="auto"/>
      </w:pPr>
      <w:r>
        <w:separator/>
      </w:r>
    </w:p>
  </w:endnote>
  <w:endnote w:type="continuationSeparator" w:id="0">
    <w:p w:rsidR="00082B4B" w:rsidRDefault="00082B4B" w:rsidP="0008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B4B" w:rsidRDefault="00082B4B" w:rsidP="00082B4B">
      <w:pPr>
        <w:spacing w:after="0" w:line="240" w:lineRule="auto"/>
      </w:pPr>
      <w:r>
        <w:separator/>
      </w:r>
    </w:p>
  </w:footnote>
  <w:footnote w:type="continuationSeparator" w:id="0">
    <w:p w:rsidR="00082B4B" w:rsidRDefault="00082B4B" w:rsidP="00082B4B">
      <w:pPr>
        <w:spacing w:after="0" w:line="240" w:lineRule="auto"/>
      </w:pPr>
      <w:r>
        <w:continuationSeparator/>
      </w:r>
    </w:p>
  </w:footnote>
  <w:footnote w:id="1">
    <w:p w:rsidR="00082B4B" w:rsidRPr="00082B4B" w:rsidRDefault="00082B4B" w:rsidP="00082B4B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082B4B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82B4B" w:rsidRPr="00082B4B" w:rsidRDefault="00082B4B" w:rsidP="00082B4B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082B4B" w:rsidRPr="00082B4B" w:rsidRDefault="00082B4B" w:rsidP="00082B4B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1" w:name="_Hlk102557314"/>
      <w:r w:rsidRPr="00082B4B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82B4B" w:rsidRPr="00082B4B" w:rsidRDefault="00082B4B" w:rsidP="00082B4B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082B4B" w:rsidRPr="00082B4B" w:rsidRDefault="00082B4B" w:rsidP="00082B4B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082B4B" w:rsidRPr="00082B4B" w:rsidRDefault="00082B4B" w:rsidP="00082B4B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082B4B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082B4B">
        <w:rPr>
          <w:rFonts w:ascii="Times New Roman" w:hAnsi="Times New Roman" w:cs="Times New Roman"/>
          <w:sz w:val="13"/>
          <w:szCs w:val="13"/>
        </w:rPr>
        <w:t xml:space="preserve"> </w:t>
      </w: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082B4B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082B4B" w:rsidRPr="00082B4B" w:rsidRDefault="00082B4B" w:rsidP="00082B4B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2B4B" w:rsidRPr="00082B4B" w:rsidRDefault="00082B4B" w:rsidP="00082B4B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(Dz. U. z 2023 r.,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o zastosowaniu środka, o którym mowa w art. 1 pkt 3 Ustawy;</w:t>
      </w:r>
    </w:p>
    <w:p w:rsidR="00082B4B" w:rsidRPr="00541992" w:rsidRDefault="00082B4B" w:rsidP="00082B4B">
      <w:pPr>
        <w:jc w:val="both"/>
        <w:rPr>
          <w:rFonts w:cs="Times New Roman"/>
          <w:sz w:val="13"/>
          <w:szCs w:val="13"/>
        </w:rPr>
      </w:pP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(Dz. U. z 2023 r., poz. 120 ze zm.), jest podmiot wymieniony w wykazach określonych w rozporządzeniu 765/2006 i rozporządzeniu 269/2014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albo wpisany na listę lub będący taką jednostką dominującą od dnia 24 lutego 2022 r., o ile został wpisany na listę na podstawie decyzji w sprawie wpisu na listę rozstrzygającej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o zastosowaniu środka, o którym mowa w art. 1 pkt 3 Ustawy.</w:t>
      </w:r>
    </w:p>
  </w:footnote>
  <w:footnote w:id="3">
    <w:p w:rsidR="00082B4B" w:rsidRPr="00082B4B" w:rsidRDefault="00082B4B" w:rsidP="00082B4B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082B4B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82B4B" w:rsidRPr="00082B4B" w:rsidRDefault="00082B4B" w:rsidP="00082B4B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082B4B" w:rsidRPr="00082B4B" w:rsidRDefault="00082B4B" w:rsidP="00082B4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082B4B" w:rsidRPr="00082B4B" w:rsidRDefault="00082B4B" w:rsidP="00082B4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082B4B">
        <w:rPr>
          <w:rFonts w:ascii="Times New Roman" w:hAnsi="Times New Roman" w:cs="Times New Roman"/>
          <w:sz w:val="13"/>
          <w:szCs w:val="13"/>
        </w:rPr>
        <w:t xml:space="preserve">osób fizycznych lub prawnych, podmiotów lub organów działających w imieniu lub pod kierunkiem podmiotu, o którym mowa w lit. a) lub b) niniejszego ustępu, </w:t>
      </w:r>
      <w:r w:rsidRPr="00082B4B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082B4B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082B4B" w:rsidRPr="00082B4B" w:rsidRDefault="00082B4B" w:rsidP="00082B4B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082B4B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082B4B">
        <w:rPr>
          <w:rFonts w:ascii="Times New Roman" w:hAnsi="Times New Roman" w:cs="Times New Roman"/>
          <w:sz w:val="13"/>
          <w:szCs w:val="13"/>
        </w:rPr>
        <w:t xml:space="preserve"> </w:t>
      </w: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082B4B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082B4B" w:rsidRPr="00082B4B" w:rsidRDefault="00082B4B" w:rsidP="00082B4B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2B4B" w:rsidRPr="00082B4B" w:rsidRDefault="00082B4B" w:rsidP="00082B4B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082B4B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(Dz. U. z 2023 r., poz. 1124 ze zm.) jest osoba wymieniona w wykazach określonych w rozporządzeniu 765/2006 i rozporządzeniu 269/2014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albo wpisana na listę lub będąca takim beneficjentem rzeczywistym od dnia 24 lutego 2022 r., o ile została wpisana na listę na podstawie decyzji w sprawie wpisu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na listę rozstrzygającej o zastosowaniu środka, o którym mowa w art. 1 pkt 3 Ustawy;</w:t>
      </w:r>
    </w:p>
    <w:p w:rsidR="00082B4B" w:rsidRPr="00BA17F6" w:rsidRDefault="00082B4B" w:rsidP="00082B4B">
      <w:pPr>
        <w:jc w:val="both"/>
        <w:rPr>
          <w:rFonts w:cs="Times New Roman"/>
          <w:sz w:val="13"/>
          <w:szCs w:val="13"/>
        </w:rPr>
      </w:pP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082B4B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(Dz. U. z 2023 r., poz. 120 ze zm.), jest podmiot wymieniony w wykazach określonych w rozporządzeniu 765/2006 i rozporządzeniu 269/2014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albo wpisany na listę lub będący taką jednostką dominującą od dnia 24 lutego 2022 r., o ile został wpisany na listę na podstawie decyzji w sprawie wpisu na listę rozstrzygającej </w:t>
      </w:r>
      <w:r w:rsidRPr="00082B4B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21CDA"/>
    <w:multiLevelType w:val="hybridMultilevel"/>
    <w:tmpl w:val="3EEAFE8E"/>
    <w:lvl w:ilvl="0" w:tplc="17521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B4B"/>
    <w:rsid w:val="00082B4B"/>
    <w:rsid w:val="007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312CB"/>
  <w15:chartTrackingRefBased/>
  <w15:docId w15:val="{95808E85-979F-481B-97BF-D07B4297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2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2B4B"/>
    <w:rPr>
      <w:sz w:val="20"/>
      <w:szCs w:val="20"/>
    </w:rPr>
  </w:style>
  <w:style w:type="character" w:styleId="Odwoanieprzypisudolnego">
    <w:name w:val="footnote reference"/>
    <w:rsid w:val="00082B4B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2025-01-20T20:17:00Z</dcterms:created>
  <dcterms:modified xsi:type="dcterms:W3CDTF">2025-01-20T20:30:00Z</dcterms:modified>
</cp:coreProperties>
</file>