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55" w:rsidRDefault="00C10855" w:rsidP="00C10855">
      <w:pPr>
        <w:jc w:val="right"/>
        <w:rPr>
          <w:rFonts w:ascii="Book Antiqua" w:hAnsi="Book Antiqua" w:cs="Book Antiqua"/>
          <w:i/>
          <w:sz w:val="20"/>
          <w:szCs w:val="20"/>
        </w:rPr>
      </w:pPr>
      <w:r>
        <w:rPr>
          <w:rFonts w:ascii="Book Antiqua" w:hAnsi="Book Antiqua" w:cs="Book Antiqua"/>
          <w:i/>
          <w:sz w:val="20"/>
          <w:szCs w:val="20"/>
        </w:rPr>
        <w:t>Załącznik nr 2</w:t>
      </w:r>
    </w:p>
    <w:p w:rsidR="00C10855" w:rsidRDefault="00C10855" w:rsidP="00C10855">
      <w:pPr>
        <w:jc w:val="center"/>
        <w:rPr>
          <w:rFonts w:ascii="Book Antiqua" w:hAnsi="Book Antiqua" w:cs="Book Antiqua"/>
          <w:b/>
          <w:bCs/>
          <w:spacing w:val="-4"/>
          <w:sz w:val="28"/>
          <w:szCs w:val="28"/>
        </w:rPr>
      </w:pPr>
      <w:r>
        <w:rPr>
          <w:rFonts w:ascii="Book Antiqua" w:hAnsi="Book Antiqua" w:cs="Book Antiqua"/>
          <w:b/>
          <w:bCs/>
          <w:spacing w:val="-4"/>
          <w:sz w:val="28"/>
          <w:szCs w:val="28"/>
        </w:rPr>
        <w:t>FORMULARZ CENOWY</w:t>
      </w:r>
    </w:p>
    <w:p w:rsidR="00C10855" w:rsidRDefault="00C10855" w:rsidP="00C10855">
      <w:pPr>
        <w:jc w:val="both"/>
        <w:rPr>
          <w:rFonts w:ascii="Book Antiqua" w:hAnsi="Book Antiqua"/>
          <w:b/>
        </w:rPr>
      </w:pPr>
      <w:r>
        <w:rPr>
          <w:rFonts w:ascii="Book Antiqua" w:hAnsi="Book Antiqua"/>
          <w:b/>
        </w:rPr>
        <w:t>I część zamówienia:</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463"/>
        <w:gridCol w:w="735"/>
        <w:gridCol w:w="716"/>
        <w:gridCol w:w="2402"/>
        <w:gridCol w:w="1591"/>
        <w:gridCol w:w="1729"/>
        <w:gridCol w:w="1729"/>
        <w:gridCol w:w="1356"/>
      </w:tblGrid>
      <w:tr w:rsidR="00C10855" w:rsidTr="00C10855">
        <w:trPr>
          <w:trHeight w:val="702"/>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Lp.</w:t>
            </w:r>
          </w:p>
        </w:tc>
        <w:tc>
          <w:tcPr>
            <w:tcW w:w="1233"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Nazwa asortymentu/specyfikacja techniczna</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bCs/>
                <w:spacing w:val="-4"/>
                <w:u w:val="single"/>
                <w:lang w:eastAsia="en-US"/>
              </w:rPr>
            </w:pPr>
            <w:r>
              <w:rPr>
                <w:rFonts w:ascii="Book Antiqua" w:hAnsi="Book Antiqua"/>
                <w:b/>
                <w:bCs/>
                <w:spacing w:val="-4"/>
                <w:u w:val="single"/>
                <w:lang w:eastAsia="en-US"/>
              </w:rPr>
              <w:t>Ilość</w:t>
            </w: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Nazwa, producent i nr katalogowy oferowanego produktu</w:t>
            </w:r>
          </w:p>
        </w:tc>
        <w:tc>
          <w:tcPr>
            <w:tcW w:w="568"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Cena jednostkowa netto</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netto</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 VAT</w:t>
            </w: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brutto</w:t>
            </w:r>
          </w:p>
        </w:tc>
      </w:tr>
      <w:tr w:rsidR="00C10855" w:rsidTr="00C10855">
        <w:trPr>
          <w:trHeight w:val="707"/>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 xml:space="preserve">1. </w:t>
            </w:r>
          </w:p>
        </w:tc>
        <w:tc>
          <w:tcPr>
            <w:tcW w:w="123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val="en-US" w:eastAsia="en-US"/>
              </w:rPr>
            </w:pPr>
            <w:proofErr w:type="spellStart"/>
            <w:r>
              <w:rPr>
                <w:rFonts w:ascii="Book Antiqua" w:hAnsi="Book Antiqua" w:cs="Arial"/>
                <w:b/>
                <w:spacing w:val="-4"/>
                <w:sz w:val="20"/>
                <w:szCs w:val="20"/>
                <w:lang w:val="en-US" w:eastAsia="en-US"/>
              </w:rPr>
              <w:t>TaqMan</w:t>
            </w:r>
            <w:proofErr w:type="spellEnd"/>
            <w:r>
              <w:rPr>
                <w:rFonts w:ascii="Book Antiqua" w:hAnsi="Book Antiqua" w:cs="Arial"/>
                <w:b/>
                <w:spacing w:val="-4"/>
                <w:sz w:val="20"/>
                <w:szCs w:val="20"/>
                <w:lang w:val="en-US" w:eastAsia="en-US"/>
              </w:rPr>
              <w:t xml:space="preserve">™ MicroRNA Reverse Transcription Kit,  1 </w:t>
            </w:r>
            <w:proofErr w:type="spellStart"/>
            <w:r>
              <w:rPr>
                <w:rFonts w:ascii="Book Antiqua" w:hAnsi="Book Antiqua" w:cs="Arial"/>
                <w:b/>
                <w:spacing w:val="-4"/>
                <w:sz w:val="20"/>
                <w:szCs w:val="20"/>
                <w:lang w:val="en-US" w:eastAsia="en-US"/>
              </w:rPr>
              <w:t>opakowanie</w:t>
            </w:r>
            <w:proofErr w:type="spellEnd"/>
            <w:r>
              <w:rPr>
                <w:rFonts w:ascii="Book Antiqua" w:hAnsi="Book Antiqua" w:cs="Arial"/>
                <w:b/>
                <w:spacing w:val="-4"/>
                <w:sz w:val="20"/>
                <w:szCs w:val="20"/>
                <w:lang w:val="en-US" w:eastAsia="en-US"/>
              </w:rPr>
              <w:t xml:space="preserve"> = 200 </w:t>
            </w:r>
            <w:proofErr w:type="spellStart"/>
            <w:r>
              <w:rPr>
                <w:rFonts w:ascii="Book Antiqua" w:hAnsi="Book Antiqua" w:cs="Arial"/>
                <w:b/>
                <w:spacing w:val="-4"/>
                <w:sz w:val="20"/>
                <w:szCs w:val="20"/>
                <w:lang w:val="en-US" w:eastAsia="en-US"/>
              </w:rPr>
              <w:t>reakcji</w:t>
            </w:r>
            <w:proofErr w:type="spellEnd"/>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Pozwala na przeprowadzenie reakcji odwrotnej transkrypcji dla krótkich pojedynczych nici RNA o długości poniżej 200 </w:t>
            </w:r>
            <w:proofErr w:type="spellStart"/>
            <w:r>
              <w:rPr>
                <w:rFonts w:ascii="Book Antiqua" w:hAnsi="Book Antiqua" w:cs="Arial"/>
                <w:spacing w:val="-4"/>
                <w:sz w:val="20"/>
                <w:szCs w:val="20"/>
                <w:lang w:eastAsia="en-US"/>
              </w:rPr>
              <w:t>nt</w:t>
            </w:r>
            <w:proofErr w:type="spellEnd"/>
            <w:r>
              <w:rPr>
                <w:rFonts w:ascii="Book Antiqua" w:hAnsi="Book Antiqua" w:cs="Arial"/>
                <w:spacing w:val="-4"/>
                <w:sz w:val="20"/>
                <w:szCs w:val="20"/>
                <w:lang w:eastAsia="en-US"/>
              </w:rPr>
              <w:t xml:space="preserve">;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Pozwala na przeprowadzenie reakcji odwrotnej transkrypcji dla małych ilości całkowitego RNA w zakresie 1-10 </w:t>
            </w:r>
            <w:proofErr w:type="spellStart"/>
            <w:r>
              <w:rPr>
                <w:rFonts w:ascii="Book Antiqua" w:hAnsi="Book Antiqua" w:cs="Arial"/>
                <w:spacing w:val="-4"/>
                <w:sz w:val="20"/>
                <w:szCs w:val="20"/>
                <w:lang w:eastAsia="en-US"/>
              </w:rPr>
              <w:t>ng</w:t>
            </w:r>
            <w:proofErr w:type="spellEnd"/>
            <w:r>
              <w:rPr>
                <w:rFonts w:ascii="Book Antiqua" w:hAnsi="Book Antiqua" w:cs="Arial"/>
                <w:spacing w:val="-4"/>
                <w:sz w:val="20"/>
                <w:szCs w:val="20"/>
                <w:lang w:eastAsia="en-US"/>
              </w:rPr>
              <w:t xml:space="preserve">; Specyficzność względem wyłącznie dojrzałych nici </w:t>
            </w:r>
            <w:proofErr w:type="spellStart"/>
            <w:r>
              <w:rPr>
                <w:rFonts w:ascii="Book Antiqua" w:hAnsi="Book Antiqua" w:cs="Arial"/>
                <w:spacing w:val="-4"/>
                <w:sz w:val="20"/>
                <w:szCs w:val="20"/>
                <w:lang w:eastAsia="en-US"/>
              </w:rPr>
              <w:t>miRNA</w:t>
            </w:r>
            <w:proofErr w:type="spellEnd"/>
            <w:r>
              <w:rPr>
                <w:rFonts w:ascii="Book Antiqua" w:hAnsi="Book Antiqua" w:cs="Arial"/>
                <w:spacing w:val="-4"/>
                <w:sz w:val="20"/>
                <w:szCs w:val="20"/>
                <w:lang w:eastAsia="en-US"/>
              </w:rPr>
              <w:t xml:space="preserve">, nie nici </w:t>
            </w:r>
            <w:proofErr w:type="spellStart"/>
            <w:r>
              <w:rPr>
                <w:rFonts w:ascii="Book Antiqua" w:hAnsi="Book Antiqua" w:cs="Arial"/>
                <w:spacing w:val="-4"/>
                <w:sz w:val="20"/>
                <w:szCs w:val="20"/>
                <w:lang w:eastAsia="en-US"/>
              </w:rPr>
              <w:t>prekursorowych</w:t>
            </w:r>
            <w:proofErr w:type="spellEnd"/>
            <w:r>
              <w:rPr>
                <w:rFonts w:ascii="Book Antiqua" w:hAnsi="Book Antiqua" w:cs="Arial"/>
                <w:spacing w:val="-4"/>
                <w:sz w:val="20"/>
                <w:szCs w:val="20"/>
                <w:lang w:eastAsia="en-US"/>
              </w:rPr>
              <w:t xml:space="preserve">;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Kompatybilność względem starterów z pętlą niesparowanych nukleotydów;</w:t>
            </w:r>
          </w:p>
          <w:p w:rsidR="00C10855" w:rsidRDefault="00C10855">
            <w:pPr>
              <w:spacing w:line="276" w:lineRule="auto"/>
              <w:rPr>
                <w:rFonts w:ascii="Book Antiqua" w:hAnsi="Book Antiqua" w:cs="Arial"/>
                <w:spacing w:val="-4"/>
                <w:sz w:val="20"/>
                <w:szCs w:val="20"/>
                <w:lang w:eastAsia="en-US"/>
              </w:rPr>
            </w:pPr>
          </w:p>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Nr</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katologowy</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Thermo</w:t>
            </w:r>
            <w:proofErr w:type="spellEnd"/>
            <w:r>
              <w:rPr>
                <w:rFonts w:ascii="Book Antiqua" w:hAnsi="Book Antiqua" w:cs="Arial"/>
                <w:spacing w:val="-4"/>
                <w:sz w:val="20"/>
                <w:szCs w:val="20"/>
                <w:lang w:val="en-US" w:eastAsia="en-US"/>
              </w:rPr>
              <w:t xml:space="preserve"> Fisher Scientific: 4366596</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Opak.</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2</w:t>
            </w:r>
          </w:p>
        </w:tc>
        <w:tc>
          <w:tcPr>
            <w:tcW w:w="85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56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4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r w:rsidR="00C10855" w:rsidTr="00C10855">
        <w:trPr>
          <w:trHeight w:val="556"/>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2.</w:t>
            </w:r>
          </w:p>
        </w:tc>
        <w:tc>
          <w:tcPr>
            <w:tcW w:w="123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val="en-US" w:eastAsia="en-US"/>
              </w:rPr>
            </w:pPr>
            <w:proofErr w:type="spellStart"/>
            <w:r>
              <w:rPr>
                <w:rFonts w:ascii="Book Antiqua" w:hAnsi="Book Antiqua" w:cs="Arial"/>
                <w:b/>
                <w:spacing w:val="-4"/>
                <w:sz w:val="20"/>
                <w:szCs w:val="20"/>
                <w:lang w:val="en-US" w:eastAsia="en-US"/>
              </w:rPr>
              <w:t>TaqMan</w:t>
            </w:r>
            <w:proofErr w:type="spellEnd"/>
            <w:r>
              <w:rPr>
                <w:rFonts w:ascii="Book Antiqua" w:hAnsi="Book Antiqua" w:cs="Arial"/>
                <w:b/>
                <w:spacing w:val="-4"/>
                <w:sz w:val="20"/>
                <w:szCs w:val="20"/>
                <w:lang w:val="en-US" w:eastAsia="en-US"/>
              </w:rPr>
              <w:t>™ Universal Master Mix II, no UNG, 1 x 5ml</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Zoptymalizowany do przeprowadzenia reakcji real-</w:t>
            </w:r>
            <w:proofErr w:type="spellStart"/>
            <w:r>
              <w:rPr>
                <w:rFonts w:ascii="Book Antiqua" w:hAnsi="Book Antiqua" w:cs="Arial"/>
                <w:spacing w:val="-4"/>
                <w:sz w:val="20"/>
                <w:szCs w:val="20"/>
                <w:lang w:eastAsia="en-US"/>
              </w:rPr>
              <w:t>time</w:t>
            </w:r>
            <w:proofErr w:type="spellEnd"/>
            <w:r>
              <w:rPr>
                <w:rFonts w:ascii="Book Antiqua" w:hAnsi="Book Antiqua" w:cs="Arial"/>
                <w:spacing w:val="-4"/>
                <w:sz w:val="20"/>
                <w:szCs w:val="20"/>
                <w:lang w:eastAsia="en-US"/>
              </w:rPr>
              <w:t xml:space="preserve"> PCR dla </w:t>
            </w:r>
            <w:proofErr w:type="spellStart"/>
            <w:r>
              <w:rPr>
                <w:rFonts w:ascii="Book Antiqua" w:hAnsi="Book Antiqua" w:cs="Arial"/>
                <w:spacing w:val="-4"/>
                <w:sz w:val="20"/>
                <w:szCs w:val="20"/>
                <w:lang w:eastAsia="en-US"/>
              </w:rPr>
              <w:t>cDNA</w:t>
            </w:r>
            <w:proofErr w:type="spellEnd"/>
            <w:r>
              <w:rPr>
                <w:rFonts w:ascii="Book Antiqua" w:hAnsi="Book Antiqua" w:cs="Arial"/>
                <w:spacing w:val="-4"/>
                <w:sz w:val="20"/>
                <w:szCs w:val="20"/>
                <w:lang w:eastAsia="en-US"/>
              </w:rPr>
              <w:t xml:space="preserve"> uzyskanego z nici dojrzałych </w:t>
            </w:r>
            <w:proofErr w:type="spellStart"/>
            <w:r>
              <w:rPr>
                <w:rFonts w:ascii="Book Antiqua" w:hAnsi="Book Antiqua" w:cs="Arial"/>
                <w:spacing w:val="-4"/>
                <w:sz w:val="20"/>
                <w:szCs w:val="20"/>
                <w:lang w:eastAsia="en-US"/>
              </w:rPr>
              <w:t>miRNA</w:t>
            </w:r>
            <w:proofErr w:type="spellEnd"/>
            <w:r>
              <w:rPr>
                <w:rFonts w:ascii="Book Antiqua" w:hAnsi="Book Antiqua" w:cs="Arial"/>
                <w:spacing w:val="-4"/>
                <w:sz w:val="20"/>
                <w:szCs w:val="20"/>
                <w:lang w:eastAsia="en-US"/>
              </w:rPr>
              <w:t xml:space="preserve">, </w:t>
            </w:r>
            <w:proofErr w:type="spellStart"/>
            <w:r>
              <w:rPr>
                <w:rFonts w:ascii="Book Antiqua" w:hAnsi="Book Antiqua" w:cs="Arial"/>
                <w:spacing w:val="-4"/>
                <w:sz w:val="20"/>
                <w:szCs w:val="20"/>
                <w:lang w:eastAsia="en-US"/>
              </w:rPr>
              <w:t>genotypowania</w:t>
            </w:r>
            <w:proofErr w:type="spellEnd"/>
            <w:r>
              <w:rPr>
                <w:rFonts w:ascii="Book Antiqua" w:hAnsi="Book Antiqua" w:cs="Arial"/>
                <w:spacing w:val="-4"/>
                <w:sz w:val="20"/>
                <w:szCs w:val="20"/>
                <w:lang w:eastAsia="en-US"/>
              </w:rPr>
              <w:t xml:space="preserve"> </w:t>
            </w:r>
            <w:r>
              <w:rPr>
                <w:rFonts w:ascii="Book Antiqua" w:hAnsi="Book Antiqua" w:cs="Arial"/>
                <w:spacing w:val="-4"/>
                <w:sz w:val="20"/>
                <w:szCs w:val="20"/>
                <w:lang w:eastAsia="en-US"/>
              </w:rPr>
              <w:lastRenderedPageBreak/>
              <w:t xml:space="preserve">SNP, badania ekspresji genów;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Stabilny w temperaturze pokojowej (do 24 godzin);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Szybkość syntezy DNA 60 sec/</w:t>
            </w:r>
            <w:proofErr w:type="spellStart"/>
            <w:r>
              <w:rPr>
                <w:rFonts w:ascii="Book Antiqua" w:hAnsi="Book Antiqua" w:cs="Arial"/>
                <w:spacing w:val="-4"/>
                <w:sz w:val="20"/>
                <w:szCs w:val="20"/>
                <w:lang w:eastAsia="en-US"/>
              </w:rPr>
              <w:t>kb</w:t>
            </w:r>
            <w:proofErr w:type="spellEnd"/>
            <w:r>
              <w:rPr>
                <w:rFonts w:ascii="Book Antiqua" w:hAnsi="Book Antiqua" w:cs="Arial"/>
                <w:spacing w:val="-4"/>
                <w:sz w:val="20"/>
                <w:szCs w:val="20"/>
                <w:lang w:eastAsia="en-US"/>
              </w:rPr>
              <w:t>;</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Długość </w:t>
            </w:r>
            <w:proofErr w:type="spellStart"/>
            <w:r>
              <w:rPr>
                <w:rFonts w:ascii="Book Antiqua" w:hAnsi="Book Antiqua" w:cs="Arial"/>
                <w:spacing w:val="-4"/>
                <w:sz w:val="20"/>
                <w:szCs w:val="20"/>
                <w:lang w:eastAsia="en-US"/>
              </w:rPr>
              <w:t>amplificonu</w:t>
            </w:r>
            <w:proofErr w:type="spellEnd"/>
            <w:r>
              <w:rPr>
                <w:rFonts w:ascii="Book Antiqua" w:hAnsi="Book Antiqua" w:cs="Arial"/>
                <w:spacing w:val="-4"/>
                <w:sz w:val="20"/>
                <w:szCs w:val="20"/>
                <w:lang w:eastAsia="en-US"/>
              </w:rPr>
              <w:t xml:space="preserve"> do 5 </w:t>
            </w:r>
            <w:proofErr w:type="spellStart"/>
            <w:r>
              <w:rPr>
                <w:rFonts w:ascii="Book Antiqua" w:hAnsi="Book Antiqua" w:cs="Arial"/>
                <w:spacing w:val="-4"/>
                <w:sz w:val="20"/>
                <w:szCs w:val="20"/>
                <w:lang w:eastAsia="en-US"/>
              </w:rPr>
              <w:t>kb</w:t>
            </w:r>
            <w:proofErr w:type="spellEnd"/>
            <w:r>
              <w:rPr>
                <w:rFonts w:ascii="Book Antiqua" w:hAnsi="Book Antiqua" w:cs="Arial"/>
                <w:spacing w:val="-4"/>
                <w:sz w:val="20"/>
                <w:szCs w:val="20"/>
                <w:lang w:eastAsia="en-US"/>
              </w:rPr>
              <w:t>;</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Możliwość wykorzystania w urządzeniu CFX Connect Real-Time PCR </w:t>
            </w:r>
            <w:proofErr w:type="spellStart"/>
            <w:r>
              <w:rPr>
                <w:rFonts w:ascii="Book Antiqua" w:hAnsi="Book Antiqua" w:cs="Arial"/>
                <w:spacing w:val="-4"/>
                <w:sz w:val="20"/>
                <w:szCs w:val="20"/>
                <w:lang w:eastAsia="en-US"/>
              </w:rPr>
              <w:t>Detection</w:t>
            </w:r>
            <w:proofErr w:type="spellEnd"/>
            <w:r>
              <w:rPr>
                <w:rFonts w:ascii="Book Antiqua" w:hAnsi="Book Antiqua" w:cs="Arial"/>
                <w:spacing w:val="-4"/>
                <w:sz w:val="20"/>
                <w:szCs w:val="20"/>
                <w:lang w:eastAsia="en-US"/>
              </w:rPr>
              <w:t xml:space="preserve"> System umożliwiających PCR w czasie rzeczywistym;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Zawiera polimerazę </w:t>
            </w:r>
            <w:proofErr w:type="spellStart"/>
            <w:r>
              <w:rPr>
                <w:rFonts w:ascii="Book Antiqua" w:hAnsi="Book Antiqua" w:cs="Arial"/>
                <w:spacing w:val="-4"/>
                <w:sz w:val="20"/>
                <w:szCs w:val="20"/>
                <w:lang w:eastAsia="en-US"/>
              </w:rPr>
              <w:t>AmpliTaq</w:t>
            </w:r>
            <w:proofErr w:type="spellEnd"/>
            <w:r>
              <w:rPr>
                <w:rFonts w:ascii="Book Antiqua" w:hAnsi="Book Antiqua" w:cs="Arial"/>
                <w:spacing w:val="-4"/>
                <w:sz w:val="20"/>
                <w:szCs w:val="20"/>
                <w:lang w:eastAsia="en-US"/>
              </w:rPr>
              <w:t xml:space="preserve"> Gold® DNA, UP- wysoce oczyszczony, </w:t>
            </w:r>
            <w:proofErr w:type="spellStart"/>
            <w:r>
              <w:rPr>
                <w:rFonts w:ascii="Book Antiqua" w:hAnsi="Book Antiqua" w:cs="Arial"/>
                <w:spacing w:val="-4"/>
                <w:sz w:val="20"/>
                <w:szCs w:val="20"/>
                <w:lang w:eastAsia="en-US"/>
              </w:rPr>
              <w:t>termostabilny</w:t>
            </w:r>
            <w:proofErr w:type="spellEnd"/>
            <w:r>
              <w:rPr>
                <w:rFonts w:ascii="Book Antiqua" w:hAnsi="Book Antiqua" w:cs="Arial"/>
                <w:spacing w:val="-4"/>
                <w:sz w:val="20"/>
                <w:szCs w:val="20"/>
                <w:lang w:eastAsia="en-US"/>
              </w:rPr>
              <w:t xml:space="preserve"> enzym;</w:t>
            </w:r>
          </w:p>
          <w:p w:rsidR="00C10855" w:rsidRDefault="00C10855">
            <w:pPr>
              <w:spacing w:line="276" w:lineRule="auto"/>
              <w:rPr>
                <w:rFonts w:ascii="Book Antiqua" w:hAnsi="Book Antiqua" w:cs="Arial"/>
                <w:spacing w:val="-4"/>
                <w:sz w:val="20"/>
                <w:szCs w:val="20"/>
                <w:lang w:eastAsia="en-US"/>
              </w:rPr>
            </w:pPr>
          </w:p>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Nr</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katologowy</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Thermo</w:t>
            </w:r>
            <w:proofErr w:type="spellEnd"/>
            <w:r>
              <w:rPr>
                <w:rFonts w:ascii="Book Antiqua" w:hAnsi="Book Antiqua" w:cs="Arial"/>
                <w:spacing w:val="-4"/>
                <w:sz w:val="20"/>
                <w:szCs w:val="20"/>
                <w:lang w:val="en-US" w:eastAsia="en-US"/>
              </w:rPr>
              <w:t xml:space="preserve"> Fisher Scientific: 4440040</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lastRenderedPageBreak/>
              <w:t>Opak.</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2</w:t>
            </w:r>
          </w:p>
        </w:tc>
        <w:tc>
          <w:tcPr>
            <w:tcW w:w="85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56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4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r w:rsidR="00C10855" w:rsidTr="00C10855">
        <w:trPr>
          <w:trHeight w:val="1546"/>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lastRenderedPageBreak/>
              <w:t>3.</w:t>
            </w:r>
          </w:p>
        </w:tc>
        <w:tc>
          <w:tcPr>
            <w:tcW w:w="123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val="en-US" w:eastAsia="en-US"/>
              </w:rPr>
            </w:pPr>
            <w:proofErr w:type="spellStart"/>
            <w:r>
              <w:rPr>
                <w:rFonts w:ascii="Book Antiqua" w:hAnsi="Book Antiqua" w:cs="Arial"/>
                <w:b/>
                <w:spacing w:val="-4"/>
                <w:sz w:val="20"/>
                <w:szCs w:val="20"/>
                <w:lang w:val="en-US" w:eastAsia="en-US"/>
              </w:rPr>
              <w:t>TaqMan</w:t>
            </w:r>
            <w:proofErr w:type="spellEnd"/>
            <w:r>
              <w:rPr>
                <w:rFonts w:ascii="Book Antiqua" w:hAnsi="Book Antiqua" w:cs="Arial"/>
                <w:b/>
                <w:spacing w:val="-4"/>
                <w:sz w:val="20"/>
                <w:szCs w:val="20"/>
                <w:lang w:val="en-US" w:eastAsia="en-US"/>
              </w:rPr>
              <w:t>™ MicroRNA Assay INV SM 10 Small ID:002623</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Zestaw starterów komplementarny względem ludzkiej cząsteczki miRNA-495 (hsa-miR-495-5p);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Sekwencja komplementarna względem sekwencji zdeponowanej w oficjalnej bazie cząsteczek </w:t>
            </w:r>
            <w:proofErr w:type="spellStart"/>
            <w:r>
              <w:rPr>
                <w:rFonts w:ascii="Book Antiqua" w:hAnsi="Book Antiqua" w:cs="Arial"/>
                <w:spacing w:val="-4"/>
                <w:sz w:val="20"/>
                <w:szCs w:val="20"/>
                <w:lang w:eastAsia="en-US"/>
              </w:rPr>
              <w:t>miRNA</w:t>
            </w:r>
            <w:proofErr w:type="spellEnd"/>
            <w:r>
              <w:rPr>
                <w:rFonts w:ascii="Book Antiqua" w:hAnsi="Book Antiqua" w:cs="Arial"/>
                <w:spacing w:val="-4"/>
                <w:sz w:val="20"/>
                <w:szCs w:val="20"/>
                <w:lang w:eastAsia="en-US"/>
              </w:rPr>
              <w:t xml:space="preserve">- </w:t>
            </w:r>
            <w:proofErr w:type="spellStart"/>
            <w:r>
              <w:rPr>
                <w:rFonts w:ascii="Book Antiqua" w:hAnsi="Book Antiqua" w:cs="Arial"/>
                <w:spacing w:val="-4"/>
                <w:sz w:val="20"/>
                <w:szCs w:val="20"/>
                <w:lang w:eastAsia="en-US"/>
              </w:rPr>
              <w:t>miRBase</w:t>
            </w:r>
            <w:proofErr w:type="spellEnd"/>
            <w:r>
              <w:rPr>
                <w:rFonts w:ascii="Book Antiqua" w:hAnsi="Book Antiqua" w:cs="Arial"/>
                <w:spacing w:val="-4"/>
                <w:sz w:val="20"/>
                <w:szCs w:val="20"/>
                <w:lang w:eastAsia="en-US"/>
              </w:rPr>
              <w:t xml:space="preserve"> nr:  MI0003135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 xml:space="preserve">Umożliwia przeprowadzenie reakcji odwrotnej transkrypcji dojrzałej cząsteczki miRNA-495 w tkankach i komórkach ludzkich; </w:t>
            </w: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Umożliwia przeprowadzenie reakcji real-</w:t>
            </w:r>
            <w:proofErr w:type="spellStart"/>
            <w:r>
              <w:rPr>
                <w:rFonts w:ascii="Book Antiqua" w:hAnsi="Book Antiqua" w:cs="Arial"/>
                <w:spacing w:val="-4"/>
                <w:sz w:val="20"/>
                <w:szCs w:val="20"/>
                <w:lang w:eastAsia="en-US"/>
              </w:rPr>
              <w:t>time</w:t>
            </w:r>
            <w:proofErr w:type="spellEnd"/>
            <w:r>
              <w:rPr>
                <w:rFonts w:ascii="Book Antiqua" w:hAnsi="Book Antiqua" w:cs="Arial"/>
                <w:spacing w:val="-4"/>
                <w:sz w:val="20"/>
                <w:szCs w:val="20"/>
                <w:lang w:eastAsia="en-US"/>
              </w:rPr>
              <w:t xml:space="preserve"> PCR cząsteczki miRNA-495 pochodzenia ludzkiego;</w:t>
            </w:r>
          </w:p>
          <w:p w:rsidR="00C10855" w:rsidRDefault="00C10855">
            <w:pPr>
              <w:spacing w:line="276" w:lineRule="auto"/>
              <w:rPr>
                <w:rFonts w:ascii="Book Antiqua" w:hAnsi="Book Antiqua" w:cs="Arial"/>
                <w:spacing w:val="-4"/>
                <w:sz w:val="20"/>
                <w:szCs w:val="20"/>
                <w:lang w:eastAsia="en-US"/>
              </w:rPr>
            </w:pPr>
          </w:p>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Nr</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katologowy</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Thermo</w:t>
            </w:r>
            <w:proofErr w:type="spellEnd"/>
            <w:r>
              <w:rPr>
                <w:rFonts w:ascii="Book Antiqua" w:hAnsi="Book Antiqua" w:cs="Arial"/>
                <w:spacing w:val="-4"/>
                <w:sz w:val="20"/>
                <w:szCs w:val="20"/>
                <w:lang w:val="en-US" w:eastAsia="en-US"/>
              </w:rPr>
              <w:t xml:space="preserve"> Fisher Scientific: 4427975</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Szt.</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2</w:t>
            </w:r>
          </w:p>
        </w:tc>
        <w:tc>
          <w:tcPr>
            <w:tcW w:w="85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56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4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r w:rsidR="00C10855" w:rsidTr="00C10855">
        <w:trPr>
          <w:trHeight w:val="1546"/>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4.</w:t>
            </w:r>
          </w:p>
        </w:tc>
        <w:tc>
          <w:tcPr>
            <w:tcW w:w="123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val="en-US" w:eastAsia="en-US"/>
              </w:rPr>
            </w:pPr>
            <w:proofErr w:type="spellStart"/>
            <w:r>
              <w:rPr>
                <w:rFonts w:ascii="Book Antiqua" w:hAnsi="Book Antiqua" w:cs="Arial"/>
                <w:b/>
                <w:spacing w:val="-4"/>
                <w:sz w:val="20"/>
                <w:szCs w:val="20"/>
                <w:lang w:val="en-US" w:eastAsia="en-US"/>
              </w:rPr>
              <w:t>TaqMan</w:t>
            </w:r>
            <w:proofErr w:type="spellEnd"/>
            <w:r>
              <w:rPr>
                <w:rFonts w:ascii="Book Antiqua" w:hAnsi="Book Antiqua" w:cs="Arial"/>
                <w:b/>
                <w:spacing w:val="-4"/>
                <w:sz w:val="20"/>
                <w:szCs w:val="20"/>
                <w:lang w:val="en-US" w:eastAsia="en-US"/>
              </w:rPr>
              <w:t>™ MicroRNA Assay MTO, SM 10 Small ID: 473817_mat</w:t>
            </w:r>
          </w:p>
          <w:p w:rsidR="00C10855" w:rsidRDefault="00C10855">
            <w:pPr>
              <w:spacing w:line="276" w:lineRule="auto"/>
              <w:jc w:val="both"/>
              <w:rPr>
                <w:rFonts w:ascii="Book Antiqua" w:hAnsi="Book Antiqua"/>
                <w:sz w:val="20"/>
                <w:szCs w:val="20"/>
                <w:lang w:eastAsia="en-US"/>
              </w:rPr>
            </w:pPr>
            <w:r>
              <w:rPr>
                <w:rFonts w:ascii="Book Antiqua" w:hAnsi="Book Antiqua"/>
                <w:sz w:val="20"/>
                <w:szCs w:val="20"/>
                <w:lang w:eastAsia="en-US"/>
              </w:rPr>
              <w:t xml:space="preserve">Zestaw starterów komplementarny względem ludzkiej </w:t>
            </w:r>
            <w:r>
              <w:rPr>
                <w:rStyle w:val="object"/>
                <w:rFonts w:ascii="Book Antiqua" w:hAnsi="Book Antiqua"/>
                <w:sz w:val="20"/>
                <w:szCs w:val="20"/>
                <w:lang w:eastAsia="en-US"/>
              </w:rPr>
              <w:t>cz</w:t>
            </w:r>
            <w:r>
              <w:rPr>
                <w:rFonts w:ascii="Book Antiqua" w:hAnsi="Book Antiqua"/>
                <w:sz w:val="20"/>
                <w:szCs w:val="20"/>
                <w:lang w:eastAsia="en-US"/>
              </w:rPr>
              <w:t xml:space="preserve">ąsteczki miRNA-130a (mmu-miR-130a*); </w:t>
            </w:r>
          </w:p>
          <w:p w:rsidR="00C10855" w:rsidRDefault="00C10855">
            <w:pPr>
              <w:spacing w:line="276" w:lineRule="auto"/>
              <w:jc w:val="both"/>
              <w:rPr>
                <w:rFonts w:ascii="Book Antiqua" w:hAnsi="Book Antiqua"/>
                <w:sz w:val="20"/>
                <w:szCs w:val="20"/>
                <w:lang w:eastAsia="en-US"/>
              </w:rPr>
            </w:pPr>
            <w:r>
              <w:rPr>
                <w:rFonts w:ascii="Book Antiqua" w:hAnsi="Book Antiqua"/>
                <w:sz w:val="20"/>
                <w:szCs w:val="20"/>
                <w:lang w:eastAsia="en-US"/>
              </w:rPr>
              <w:t xml:space="preserve">Sekwencja komplementarna względem sekwencji zdeponowanej w oficjalnej bazie </w:t>
            </w:r>
            <w:r>
              <w:rPr>
                <w:rStyle w:val="object"/>
                <w:rFonts w:ascii="Book Antiqua" w:hAnsi="Book Antiqua"/>
                <w:sz w:val="20"/>
                <w:szCs w:val="20"/>
                <w:lang w:eastAsia="en-US"/>
              </w:rPr>
              <w:t>cz</w:t>
            </w:r>
            <w:r>
              <w:rPr>
                <w:rFonts w:ascii="Book Antiqua" w:hAnsi="Book Antiqua"/>
                <w:sz w:val="20"/>
                <w:szCs w:val="20"/>
                <w:lang w:eastAsia="en-US"/>
              </w:rPr>
              <w:t xml:space="preserve">ąsteczek </w:t>
            </w:r>
            <w:proofErr w:type="spellStart"/>
            <w:r>
              <w:rPr>
                <w:rFonts w:ascii="Book Antiqua" w:hAnsi="Book Antiqua"/>
                <w:sz w:val="20"/>
                <w:szCs w:val="20"/>
                <w:lang w:eastAsia="en-US"/>
              </w:rPr>
              <w:t>miRNA</w:t>
            </w:r>
            <w:proofErr w:type="spellEnd"/>
            <w:r>
              <w:rPr>
                <w:rFonts w:ascii="Book Antiqua" w:hAnsi="Book Antiqua"/>
                <w:sz w:val="20"/>
                <w:szCs w:val="20"/>
                <w:lang w:eastAsia="en-US"/>
              </w:rPr>
              <w:t xml:space="preserve">- </w:t>
            </w:r>
            <w:proofErr w:type="spellStart"/>
            <w:r>
              <w:rPr>
                <w:rFonts w:ascii="Book Antiqua" w:hAnsi="Book Antiqua"/>
                <w:sz w:val="20"/>
                <w:szCs w:val="20"/>
                <w:lang w:eastAsia="en-US"/>
              </w:rPr>
              <w:t>miRBase</w:t>
            </w:r>
            <w:proofErr w:type="spellEnd"/>
            <w:r>
              <w:rPr>
                <w:rFonts w:ascii="Book Antiqua" w:hAnsi="Book Antiqua"/>
                <w:sz w:val="20"/>
                <w:szCs w:val="20"/>
                <w:lang w:eastAsia="en-US"/>
              </w:rPr>
              <w:t xml:space="preserve"> nr:  MI0000448 </w:t>
            </w:r>
          </w:p>
          <w:p w:rsidR="00C10855" w:rsidRDefault="00C10855">
            <w:pPr>
              <w:spacing w:line="276" w:lineRule="auto"/>
              <w:jc w:val="both"/>
              <w:rPr>
                <w:rFonts w:ascii="Book Antiqua" w:hAnsi="Book Antiqua"/>
                <w:sz w:val="20"/>
                <w:szCs w:val="20"/>
                <w:lang w:eastAsia="en-US"/>
              </w:rPr>
            </w:pPr>
            <w:r>
              <w:rPr>
                <w:rFonts w:ascii="Book Antiqua" w:hAnsi="Book Antiqua"/>
                <w:sz w:val="20"/>
                <w:szCs w:val="20"/>
                <w:lang w:eastAsia="en-US"/>
              </w:rPr>
              <w:t xml:space="preserve">Umożliwia przeprowadzenie reakcji odwrotnej transkrypcji dojrzałej </w:t>
            </w:r>
            <w:r>
              <w:rPr>
                <w:rStyle w:val="object"/>
                <w:rFonts w:ascii="Book Antiqua" w:hAnsi="Book Antiqua"/>
                <w:sz w:val="20"/>
                <w:szCs w:val="20"/>
                <w:lang w:eastAsia="en-US"/>
              </w:rPr>
              <w:t>cz</w:t>
            </w:r>
            <w:r>
              <w:rPr>
                <w:rFonts w:ascii="Book Antiqua" w:hAnsi="Book Antiqua"/>
                <w:sz w:val="20"/>
                <w:szCs w:val="20"/>
                <w:lang w:eastAsia="en-US"/>
              </w:rPr>
              <w:t xml:space="preserve">ąsteczki miRNA-130a w tkankach i komórkach ludzkich; </w:t>
            </w:r>
          </w:p>
          <w:p w:rsidR="00C10855" w:rsidRDefault="00C10855">
            <w:pPr>
              <w:spacing w:line="276" w:lineRule="auto"/>
              <w:jc w:val="both"/>
              <w:rPr>
                <w:rFonts w:ascii="Book Antiqua" w:hAnsi="Book Antiqua"/>
                <w:sz w:val="20"/>
                <w:szCs w:val="20"/>
                <w:lang w:eastAsia="en-US"/>
              </w:rPr>
            </w:pPr>
            <w:r>
              <w:rPr>
                <w:rFonts w:ascii="Book Antiqua" w:hAnsi="Book Antiqua"/>
                <w:sz w:val="20"/>
                <w:szCs w:val="20"/>
                <w:lang w:eastAsia="en-US"/>
              </w:rPr>
              <w:t>Umożliwia przeprowadzenie reakcji real-</w:t>
            </w:r>
            <w:proofErr w:type="spellStart"/>
            <w:r>
              <w:rPr>
                <w:rFonts w:ascii="Book Antiqua" w:hAnsi="Book Antiqua"/>
                <w:sz w:val="20"/>
                <w:szCs w:val="20"/>
                <w:lang w:eastAsia="en-US"/>
              </w:rPr>
              <w:t>time</w:t>
            </w:r>
            <w:proofErr w:type="spellEnd"/>
            <w:r>
              <w:rPr>
                <w:rFonts w:ascii="Book Antiqua" w:hAnsi="Book Antiqua"/>
                <w:sz w:val="20"/>
                <w:szCs w:val="20"/>
                <w:lang w:eastAsia="en-US"/>
              </w:rPr>
              <w:t xml:space="preserve"> PCR </w:t>
            </w:r>
            <w:r>
              <w:rPr>
                <w:rStyle w:val="object"/>
                <w:rFonts w:ascii="Book Antiqua" w:hAnsi="Book Antiqua"/>
                <w:sz w:val="20"/>
                <w:szCs w:val="20"/>
                <w:lang w:eastAsia="en-US"/>
              </w:rPr>
              <w:t>cz</w:t>
            </w:r>
            <w:r>
              <w:rPr>
                <w:rFonts w:ascii="Book Antiqua" w:hAnsi="Book Antiqua"/>
                <w:sz w:val="20"/>
                <w:szCs w:val="20"/>
                <w:lang w:eastAsia="en-US"/>
              </w:rPr>
              <w:t>ąsteczki miRNA-130a pochodzenia ludzkiego;</w:t>
            </w:r>
          </w:p>
          <w:p w:rsidR="00C10855" w:rsidRDefault="00C10855">
            <w:pPr>
              <w:spacing w:line="276" w:lineRule="auto"/>
              <w:rPr>
                <w:rFonts w:ascii="Book Antiqua" w:hAnsi="Book Antiqua" w:cs="Arial"/>
                <w:b/>
                <w:spacing w:val="-4"/>
                <w:sz w:val="20"/>
                <w:szCs w:val="20"/>
                <w:lang w:eastAsia="en-US"/>
              </w:rPr>
            </w:pPr>
          </w:p>
          <w:p w:rsidR="00C10855" w:rsidRDefault="00C10855">
            <w:pPr>
              <w:spacing w:line="276" w:lineRule="auto"/>
              <w:rPr>
                <w:rFonts w:ascii="Book Antiqua" w:hAnsi="Book Antiqua" w:cs="Arial"/>
                <w:b/>
                <w:spacing w:val="-4"/>
                <w:sz w:val="20"/>
                <w:szCs w:val="20"/>
                <w:lang w:eastAsia="en-US"/>
              </w:rPr>
            </w:pPr>
          </w:p>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Nr</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katologowy</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Thermo</w:t>
            </w:r>
            <w:proofErr w:type="spellEnd"/>
            <w:r>
              <w:rPr>
                <w:rFonts w:ascii="Book Antiqua" w:hAnsi="Book Antiqua" w:cs="Arial"/>
                <w:spacing w:val="-4"/>
                <w:sz w:val="20"/>
                <w:szCs w:val="20"/>
                <w:lang w:val="en-US" w:eastAsia="en-US"/>
              </w:rPr>
              <w:t xml:space="preserve"> Fisher Scientific: 4440886</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Szt</w:t>
            </w:r>
            <w:proofErr w:type="spellEnd"/>
            <w:r>
              <w:rPr>
                <w:rFonts w:ascii="Book Antiqua" w:hAnsi="Book Antiqua" w:cs="Arial"/>
                <w:spacing w:val="-4"/>
                <w:sz w:val="20"/>
                <w:szCs w:val="20"/>
                <w:lang w:val="en-US" w:eastAsia="en-US"/>
              </w:rPr>
              <w:t>.</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val="en-US" w:eastAsia="en-US"/>
              </w:rPr>
            </w:pPr>
            <w:r>
              <w:rPr>
                <w:rFonts w:ascii="Book Antiqua" w:hAnsi="Book Antiqua" w:cs="Arial"/>
                <w:spacing w:val="-4"/>
                <w:sz w:val="20"/>
                <w:szCs w:val="20"/>
                <w:lang w:val="en-US" w:eastAsia="en-US"/>
              </w:rPr>
              <w:t>2</w:t>
            </w:r>
          </w:p>
        </w:tc>
        <w:tc>
          <w:tcPr>
            <w:tcW w:w="85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val="en-US" w:eastAsia="en-US"/>
              </w:rPr>
            </w:pPr>
          </w:p>
        </w:tc>
        <w:tc>
          <w:tcPr>
            <w:tcW w:w="56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val="en-US"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val="en-US"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val="en-US" w:eastAsia="en-US"/>
              </w:rPr>
            </w:pPr>
          </w:p>
        </w:tc>
        <w:tc>
          <w:tcPr>
            <w:tcW w:w="4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val="en-US" w:eastAsia="en-US"/>
              </w:rPr>
            </w:pPr>
          </w:p>
        </w:tc>
      </w:tr>
      <w:tr w:rsidR="00C10855" w:rsidTr="00C10855">
        <w:trPr>
          <w:trHeight w:val="1546"/>
        </w:trPr>
        <w:tc>
          <w:tcPr>
            <w:tcW w:w="17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5.</w:t>
            </w:r>
          </w:p>
        </w:tc>
        <w:tc>
          <w:tcPr>
            <w:tcW w:w="123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val="en-US" w:eastAsia="en-US"/>
              </w:rPr>
            </w:pPr>
            <w:proofErr w:type="spellStart"/>
            <w:r>
              <w:rPr>
                <w:rFonts w:ascii="Book Antiqua" w:hAnsi="Book Antiqua" w:cs="Arial"/>
                <w:b/>
                <w:spacing w:val="-4"/>
                <w:sz w:val="20"/>
                <w:szCs w:val="20"/>
                <w:lang w:val="en-US" w:eastAsia="en-US"/>
              </w:rPr>
              <w:t>TaqMan</w:t>
            </w:r>
            <w:proofErr w:type="spellEnd"/>
            <w:r>
              <w:rPr>
                <w:rFonts w:ascii="Book Antiqua" w:hAnsi="Book Antiqua" w:cs="Arial"/>
                <w:b/>
                <w:spacing w:val="-4"/>
                <w:sz w:val="20"/>
                <w:szCs w:val="20"/>
                <w:lang w:val="en-US" w:eastAsia="en-US"/>
              </w:rPr>
              <w:t>™ MicroRNA Assay  MTO, SM 10 Small ID: 462691_mat</w:t>
            </w:r>
          </w:p>
          <w:p w:rsidR="00C10855" w:rsidRDefault="00C10855">
            <w:pPr>
              <w:spacing w:line="276" w:lineRule="auto"/>
              <w:jc w:val="both"/>
              <w:rPr>
                <w:rFonts w:ascii="Book Antiqua" w:hAnsi="Book Antiqua" w:cs="Calibri"/>
                <w:sz w:val="20"/>
                <w:szCs w:val="20"/>
                <w:lang w:eastAsia="en-US"/>
              </w:rPr>
            </w:pPr>
            <w:r>
              <w:rPr>
                <w:rFonts w:ascii="Book Antiqua" w:hAnsi="Book Antiqua" w:cs="Calibri"/>
                <w:sz w:val="20"/>
                <w:szCs w:val="20"/>
                <w:lang w:eastAsia="en-US"/>
              </w:rPr>
              <w:t xml:space="preserve">Zestaw starterów komplementarny względem ludzkiej cząsteczki miRNA-155 (hsa-miR-155); </w:t>
            </w:r>
          </w:p>
          <w:p w:rsidR="00C10855" w:rsidRDefault="00C10855">
            <w:pPr>
              <w:spacing w:line="276" w:lineRule="auto"/>
              <w:jc w:val="both"/>
              <w:rPr>
                <w:rFonts w:ascii="Book Antiqua" w:hAnsi="Book Antiqua" w:cs="Calibri"/>
                <w:sz w:val="20"/>
                <w:szCs w:val="20"/>
                <w:lang w:eastAsia="en-US"/>
              </w:rPr>
            </w:pPr>
            <w:r>
              <w:rPr>
                <w:rFonts w:ascii="Book Antiqua" w:hAnsi="Book Antiqua" w:cs="Calibri"/>
                <w:sz w:val="20"/>
                <w:szCs w:val="20"/>
                <w:lang w:eastAsia="en-US"/>
              </w:rPr>
              <w:t xml:space="preserve">Sekwencja komplementarna względem sekwencji zdeponowanej w oficjalnej bazie cząsteczek </w:t>
            </w:r>
            <w:proofErr w:type="spellStart"/>
            <w:r>
              <w:rPr>
                <w:rFonts w:ascii="Book Antiqua" w:hAnsi="Book Antiqua" w:cs="Calibri"/>
                <w:sz w:val="20"/>
                <w:szCs w:val="20"/>
                <w:lang w:eastAsia="en-US"/>
              </w:rPr>
              <w:t>miRNA</w:t>
            </w:r>
            <w:proofErr w:type="spellEnd"/>
            <w:r>
              <w:rPr>
                <w:rFonts w:ascii="Book Antiqua" w:hAnsi="Book Antiqua" w:cs="Calibri"/>
                <w:sz w:val="20"/>
                <w:szCs w:val="20"/>
                <w:lang w:eastAsia="en-US"/>
              </w:rPr>
              <w:t xml:space="preserve">- </w:t>
            </w:r>
            <w:proofErr w:type="spellStart"/>
            <w:r>
              <w:rPr>
                <w:rFonts w:ascii="Book Antiqua" w:hAnsi="Book Antiqua" w:cs="Calibri"/>
                <w:sz w:val="20"/>
                <w:szCs w:val="20"/>
                <w:lang w:eastAsia="en-US"/>
              </w:rPr>
              <w:t>miRBase</w:t>
            </w:r>
            <w:proofErr w:type="spellEnd"/>
            <w:r>
              <w:rPr>
                <w:rFonts w:ascii="Book Antiqua" w:hAnsi="Book Antiqua" w:cs="Calibri"/>
                <w:sz w:val="20"/>
                <w:szCs w:val="20"/>
                <w:lang w:eastAsia="en-US"/>
              </w:rPr>
              <w:t xml:space="preserve"> nr:  MI0033871 </w:t>
            </w:r>
          </w:p>
          <w:p w:rsidR="00C10855" w:rsidRDefault="00C10855">
            <w:pPr>
              <w:spacing w:line="276" w:lineRule="auto"/>
              <w:jc w:val="both"/>
              <w:rPr>
                <w:rFonts w:ascii="Book Antiqua" w:hAnsi="Book Antiqua" w:cs="Calibri"/>
                <w:sz w:val="20"/>
                <w:szCs w:val="20"/>
                <w:lang w:eastAsia="en-US"/>
              </w:rPr>
            </w:pPr>
            <w:r>
              <w:rPr>
                <w:rFonts w:ascii="Book Antiqua" w:hAnsi="Book Antiqua" w:cs="Calibri"/>
                <w:sz w:val="20"/>
                <w:szCs w:val="20"/>
                <w:lang w:eastAsia="en-US"/>
              </w:rPr>
              <w:t xml:space="preserve">Umożliwia przeprowadzenie reakcji odwrotnej transkrypcji dojrzałej cząsteczki miRNA-155 w tkankach i komórkach ludzkich; </w:t>
            </w:r>
          </w:p>
          <w:p w:rsidR="00C10855" w:rsidRDefault="00C10855">
            <w:pPr>
              <w:spacing w:line="276" w:lineRule="auto"/>
              <w:jc w:val="both"/>
              <w:rPr>
                <w:rFonts w:ascii="Book Antiqua" w:hAnsi="Book Antiqua" w:cs="Calibri"/>
                <w:b/>
                <w:sz w:val="20"/>
                <w:szCs w:val="20"/>
                <w:lang w:eastAsia="en-US"/>
              </w:rPr>
            </w:pPr>
            <w:r>
              <w:rPr>
                <w:rFonts w:ascii="Book Antiqua" w:hAnsi="Book Antiqua" w:cs="Calibri"/>
                <w:sz w:val="20"/>
                <w:szCs w:val="20"/>
                <w:lang w:eastAsia="en-US"/>
              </w:rPr>
              <w:t>Umożliwia przeprowadzenie reakcji real-</w:t>
            </w:r>
            <w:proofErr w:type="spellStart"/>
            <w:r>
              <w:rPr>
                <w:rFonts w:ascii="Book Antiqua" w:hAnsi="Book Antiqua" w:cs="Calibri"/>
                <w:sz w:val="20"/>
                <w:szCs w:val="20"/>
                <w:lang w:eastAsia="en-US"/>
              </w:rPr>
              <w:t>time</w:t>
            </w:r>
            <w:proofErr w:type="spellEnd"/>
            <w:r>
              <w:rPr>
                <w:rFonts w:ascii="Book Antiqua" w:hAnsi="Book Antiqua" w:cs="Calibri"/>
                <w:sz w:val="20"/>
                <w:szCs w:val="20"/>
                <w:lang w:eastAsia="en-US"/>
              </w:rPr>
              <w:t xml:space="preserve"> PCR cząsteczki miRNA-155 pochodzenia ludzkiego;</w:t>
            </w:r>
          </w:p>
          <w:p w:rsidR="00C10855" w:rsidRDefault="00C10855">
            <w:pPr>
              <w:spacing w:line="276" w:lineRule="auto"/>
              <w:rPr>
                <w:rFonts w:ascii="Book Antiqua" w:hAnsi="Book Antiqua" w:cs="Arial"/>
                <w:b/>
                <w:spacing w:val="-4"/>
                <w:sz w:val="20"/>
                <w:szCs w:val="20"/>
                <w:lang w:eastAsia="en-US"/>
              </w:rPr>
            </w:pPr>
          </w:p>
          <w:p w:rsidR="00C10855" w:rsidRDefault="00C10855">
            <w:pPr>
              <w:spacing w:line="276" w:lineRule="auto"/>
              <w:rPr>
                <w:rFonts w:ascii="Book Antiqua" w:hAnsi="Book Antiqua" w:cs="Arial"/>
                <w:b/>
                <w:spacing w:val="-4"/>
                <w:sz w:val="20"/>
                <w:szCs w:val="20"/>
                <w:lang w:eastAsia="en-US"/>
              </w:rPr>
            </w:pPr>
          </w:p>
          <w:p w:rsidR="00C10855" w:rsidRDefault="00C10855">
            <w:pPr>
              <w:spacing w:line="276" w:lineRule="auto"/>
              <w:rPr>
                <w:rFonts w:ascii="Book Antiqua" w:hAnsi="Book Antiqua" w:cs="Arial"/>
                <w:spacing w:val="-4"/>
                <w:sz w:val="20"/>
                <w:szCs w:val="20"/>
                <w:lang w:val="en-US" w:eastAsia="en-US"/>
              </w:rPr>
            </w:pPr>
            <w:proofErr w:type="spellStart"/>
            <w:r>
              <w:rPr>
                <w:rFonts w:ascii="Book Antiqua" w:hAnsi="Book Antiqua" w:cs="Arial"/>
                <w:spacing w:val="-4"/>
                <w:sz w:val="20"/>
                <w:szCs w:val="20"/>
                <w:lang w:val="en-US" w:eastAsia="en-US"/>
              </w:rPr>
              <w:t>Nr</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katologowy</w:t>
            </w:r>
            <w:proofErr w:type="spellEnd"/>
            <w:r>
              <w:rPr>
                <w:rFonts w:ascii="Book Antiqua" w:hAnsi="Book Antiqua" w:cs="Arial"/>
                <w:spacing w:val="-4"/>
                <w:sz w:val="20"/>
                <w:szCs w:val="20"/>
                <w:lang w:val="en-US" w:eastAsia="en-US"/>
              </w:rPr>
              <w:t xml:space="preserve"> </w:t>
            </w:r>
            <w:proofErr w:type="spellStart"/>
            <w:r>
              <w:rPr>
                <w:rFonts w:ascii="Book Antiqua" w:hAnsi="Book Antiqua" w:cs="Arial"/>
                <w:spacing w:val="-4"/>
                <w:sz w:val="20"/>
                <w:szCs w:val="20"/>
                <w:lang w:val="en-US" w:eastAsia="en-US"/>
              </w:rPr>
              <w:t>Thermo</w:t>
            </w:r>
            <w:proofErr w:type="spellEnd"/>
            <w:r>
              <w:rPr>
                <w:rFonts w:ascii="Book Antiqua" w:hAnsi="Book Antiqua" w:cs="Arial"/>
                <w:spacing w:val="-4"/>
                <w:sz w:val="20"/>
                <w:szCs w:val="20"/>
                <w:lang w:val="en-US" w:eastAsia="en-US"/>
              </w:rPr>
              <w:t xml:space="preserve"> Fisher Scientific:</w:t>
            </w:r>
          </w:p>
          <w:p w:rsidR="00C10855" w:rsidRDefault="00C10855">
            <w:pPr>
              <w:spacing w:line="276" w:lineRule="auto"/>
              <w:rPr>
                <w:rFonts w:ascii="Book Antiqua" w:hAnsi="Book Antiqua" w:cs="Arial"/>
                <w:b/>
                <w:spacing w:val="-4"/>
                <w:sz w:val="20"/>
                <w:szCs w:val="20"/>
                <w:lang w:val="en-US" w:eastAsia="en-US"/>
              </w:rPr>
            </w:pPr>
            <w:r>
              <w:rPr>
                <w:rFonts w:ascii="Book Antiqua" w:hAnsi="Book Antiqua" w:cs="Arial"/>
                <w:spacing w:val="-4"/>
                <w:sz w:val="20"/>
                <w:szCs w:val="20"/>
                <w:lang w:val="en-US" w:eastAsia="en-US"/>
              </w:rPr>
              <w:t>4440886</w:t>
            </w:r>
          </w:p>
        </w:tc>
        <w:tc>
          <w:tcPr>
            <w:tcW w:w="20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Szt.</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2</w:t>
            </w:r>
          </w:p>
        </w:tc>
        <w:tc>
          <w:tcPr>
            <w:tcW w:w="853"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56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16"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4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bl>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r>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10855" w:rsidRDefault="00C10855" w:rsidP="00C10855">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C10855" w:rsidRDefault="00C10855" w:rsidP="00C10855">
      <w:pPr>
        <w:jc w:val="right"/>
        <w:rPr>
          <w:rFonts w:ascii="Book Antiqua" w:hAnsi="Book Antiqua"/>
          <w:sz w:val="20"/>
          <w:szCs w:val="20"/>
        </w:rPr>
      </w:pPr>
    </w:p>
    <w:p w:rsidR="00C10855" w:rsidRDefault="00C10855" w:rsidP="00C10855">
      <w:pPr>
        <w:jc w:val="right"/>
        <w:rPr>
          <w:rFonts w:ascii="Book Antiqua" w:hAnsi="Book Antiqua"/>
          <w:sz w:val="20"/>
          <w:szCs w:val="20"/>
        </w:rPr>
      </w:pPr>
    </w:p>
    <w:p w:rsidR="00C10855" w:rsidRDefault="00C10855" w:rsidP="00C10855">
      <w:pPr>
        <w:jc w:val="right"/>
        <w:rPr>
          <w:rFonts w:ascii="Book Antiqua" w:hAnsi="Book Antiqua"/>
          <w:sz w:val="20"/>
          <w:szCs w:val="20"/>
        </w:rPr>
      </w:pPr>
      <w:r>
        <w:rPr>
          <w:rFonts w:ascii="Book Antiqua" w:hAnsi="Book Antiqua"/>
          <w:sz w:val="20"/>
          <w:szCs w:val="20"/>
        </w:rPr>
        <w:t xml:space="preserve">         ............………..........................................................</w:t>
      </w:r>
    </w:p>
    <w:p w:rsidR="00C10855" w:rsidRDefault="00C10855" w:rsidP="00C10855">
      <w:pPr>
        <w:ind w:left="8496"/>
        <w:jc w:val="center"/>
        <w:rPr>
          <w:rFonts w:ascii="Book Antiqua" w:hAnsi="Book Antiqua" w:cs="Arial"/>
          <w:color w:val="000000"/>
          <w:sz w:val="20"/>
        </w:rPr>
      </w:pPr>
      <w:r>
        <w:rPr>
          <w:rFonts w:ascii="Book Antiqua" w:hAnsi="Book Antiqua"/>
          <w:sz w:val="20"/>
          <w:szCs w:val="20"/>
        </w:rPr>
        <w:t>(</w:t>
      </w:r>
      <w:r>
        <w:rPr>
          <w:rFonts w:ascii="Book Antiqua" w:hAnsi="Book Antiqua" w:cs="Arial"/>
          <w:color w:val="000000"/>
          <w:sz w:val="20"/>
        </w:rPr>
        <w:t>podpis Wykonawcy lub upoważnionego przedstawiciela)</w:t>
      </w: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b/>
        </w:rPr>
      </w:pPr>
      <w:r>
        <w:rPr>
          <w:rFonts w:ascii="Book Antiqua" w:hAnsi="Book Antiqua"/>
          <w:b/>
        </w:rPr>
        <w:t>II część zamówienia:</w:t>
      </w:r>
    </w:p>
    <w:p w:rsidR="00C10855" w:rsidRDefault="00C10855" w:rsidP="00C10855">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475"/>
        <w:gridCol w:w="735"/>
        <w:gridCol w:w="716"/>
        <w:gridCol w:w="2400"/>
        <w:gridCol w:w="1589"/>
        <w:gridCol w:w="1726"/>
        <w:gridCol w:w="1726"/>
        <w:gridCol w:w="1354"/>
      </w:tblGrid>
      <w:tr w:rsidR="00C10855" w:rsidTr="00C10855">
        <w:trPr>
          <w:trHeight w:val="702"/>
        </w:trPr>
        <w:tc>
          <w:tcPr>
            <w:tcW w:w="172"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Lp.</w:t>
            </w:r>
          </w:p>
        </w:tc>
        <w:tc>
          <w:tcPr>
            <w:tcW w:w="122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Nazwa asortymentu/specyfikacja techniczna</w:t>
            </w:r>
          </w:p>
        </w:tc>
        <w:tc>
          <w:tcPr>
            <w:tcW w:w="253"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bCs/>
                <w:spacing w:val="-4"/>
                <w:u w:val="single"/>
                <w:lang w:eastAsia="en-US"/>
              </w:rPr>
            </w:pPr>
            <w:r>
              <w:rPr>
                <w:rFonts w:ascii="Book Antiqua" w:hAnsi="Book Antiqua"/>
                <w:b/>
                <w:bCs/>
                <w:spacing w:val="-4"/>
                <w:u w:val="single"/>
                <w:lang w:eastAsia="en-US"/>
              </w:rPr>
              <w:t>Ilość</w:t>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Producent/nazwa handlowa</w:t>
            </w:r>
          </w:p>
        </w:tc>
        <w:tc>
          <w:tcPr>
            <w:tcW w:w="561"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Cena jednostkowa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netto</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 VAT</w:t>
            </w:r>
          </w:p>
        </w:tc>
        <w:tc>
          <w:tcPr>
            <w:tcW w:w="478"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brutto</w:t>
            </w:r>
          </w:p>
        </w:tc>
      </w:tr>
      <w:tr w:rsidR="00C10855" w:rsidTr="00C10855">
        <w:trPr>
          <w:trHeight w:val="841"/>
        </w:trPr>
        <w:tc>
          <w:tcPr>
            <w:tcW w:w="172"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 xml:space="preserve">1. </w:t>
            </w:r>
          </w:p>
        </w:tc>
        <w:tc>
          <w:tcPr>
            <w:tcW w:w="1224"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bCs/>
                <w:sz w:val="21"/>
                <w:szCs w:val="21"/>
                <w:shd w:val="clear" w:color="auto" w:fill="FFFFFF"/>
                <w:lang w:eastAsia="en-US"/>
              </w:rPr>
            </w:pPr>
            <w:proofErr w:type="spellStart"/>
            <w:r>
              <w:rPr>
                <w:rFonts w:ascii="Book Antiqua" w:hAnsi="Book Antiqua" w:cs="Arial"/>
                <w:b/>
                <w:bCs/>
                <w:sz w:val="21"/>
                <w:szCs w:val="21"/>
                <w:shd w:val="clear" w:color="auto" w:fill="FFFFFF"/>
                <w:lang w:eastAsia="en-US"/>
              </w:rPr>
              <w:t>Alexa</w:t>
            </w:r>
            <w:proofErr w:type="spellEnd"/>
            <w:r>
              <w:rPr>
                <w:rFonts w:ascii="Book Antiqua" w:hAnsi="Book Antiqua" w:cs="Arial"/>
                <w:b/>
                <w:bCs/>
                <w:sz w:val="21"/>
                <w:szCs w:val="21"/>
                <w:shd w:val="clear" w:color="auto" w:fill="FFFFFF"/>
                <w:lang w:eastAsia="en-US"/>
              </w:rPr>
              <w:t xml:space="preserve"> Fluor™ 488 NHS Ester (</w:t>
            </w:r>
            <w:proofErr w:type="spellStart"/>
            <w:r>
              <w:rPr>
                <w:rFonts w:ascii="Book Antiqua" w:hAnsi="Book Antiqua" w:cs="Arial"/>
                <w:b/>
                <w:bCs/>
                <w:sz w:val="21"/>
                <w:szCs w:val="21"/>
                <w:shd w:val="clear" w:color="auto" w:fill="FFFFFF"/>
                <w:lang w:eastAsia="en-US"/>
              </w:rPr>
              <w:t>Succinimidyl</w:t>
            </w:r>
            <w:proofErr w:type="spellEnd"/>
            <w:r>
              <w:rPr>
                <w:rFonts w:ascii="Book Antiqua" w:hAnsi="Book Antiqua" w:cs="Arial"/>
                <w:b/>
                <w:bCs/>
                <w:sz w:val="21"/>
                <w:szCs w:val="21"/>
                <w:shd w:val="clear" w:color="auto" w:fill="FFFFFF"/>
                <w:lang w:eastAsia="en-US"/>
              </w:rPr>
              <w:t xml:space="preserve"> Ester) do znakowania aktyny</w:t>
            </w:r>
          </w:p>
          <w:p w:rsidR="00C10855" w:rsidRDefault="00C10855">
            <w:pPr>
              <w:spacing w:line="276" w:lineRule="auto"/>
              <w:rPr>
                <w:rFonts w:ascii="Book Antiqua" w:hAnsi="Book Antiqua" w:cs="Arial"/>
                <w:bCs/>
                <w:sz w:val="21"/>
                <w:szCs w:val="21"/>
                <w:shd w:val="clear" w:color="auto" w:fill="FFFFFF"/>
                <w:lang w:eastAsia="en-US"/>
              </w:rPr>
            </w:pPr>
            <w:r>
              <w:rPr>
                <w:rFonts w:ascii="Book Antiqua" w:hAnsi="Book Antiqua" w:cs="Arial"/>
                <w:bCs/>
                <w:sz w:val="21"/>
                <w:szCs w:val="21"/>
                <w:shd w:val="clear" w:color="auto" w:fill="FFFFFF"/>
                <w:lang w:eastAsia="en-US"/>
              </w:rPr>
              <w:t>Wielkość opakowania – 1 mg</w:t>
            </w:r>
          </w:p>
          <w:p w:rsidR="00C10855" w:rsidRDefault="00C10855">
            <w:pPr>
              <w:spacing w:line="276" w:lineRule="auto"/>
              <w:rPr>
                <w:rFonts w:ascii="Book Antiqua" w:hAnsi="Book Antiqua" w:cs="Arial"/>
                <w:bCs/>
                <w:sz w:val="21"/>
                <w:szCs w:val="21"/>
                <w:shd w:val="clear" w:color="auto" w:fill="FFFFFF"/>
                <w:lang w:eastAsia="en-US"/>
              </w:rPr>
            </w:pPr>
          </w:p>
          <w:p w:rsidR="00C10855" w:rsidRDefault="00C10855">
            <w:pPr>
              <w:spacing w:line="276" w:lineRule="auto"/>
              <w:rPr>
                <w:rFonts w:ascii="Book Antiqua" w:hAnsi="Book Antiqua" w:cs="Arial"/>
                <w:sz w:val="21"/>
                <w:szCs w:val="21"/>
                <w:shd w:val="clear" w:color="auto" w:fill="FFFFFF"/>
                <w:lang w:eastAsia="en-US"/>
              </w:rPr>
            </w:pPr>
            <w:r>
              <w:rPr>
                <w:rFonts w:ascii="Book Antiqua" w:hAnsi="Book Antiqua" w:cs="Arial"/>
                <w:bCs/>
                <w:sz w:val="21"/>
                <w:szCs w:val="21"/>
                <w:shd w:val="clear" w:color="auto" w:fill="FFFFFF"/>
                <w:lang w:eastAsia="en-US"/>
              </w:rPr>
              <w:t xml:space="preserve">Nr katalogowy </w:t>
            </w:r>
            <w:proofErr w:type="spellStart"/>
            <w:r>
              <w:rPr>
                <w:rFonts w:ascii="Book Antiqua" w:hAnsi="Book Antiqua" w:cs="Arial"/>
                <w:bCs/>
                <w:sz w:val="21"/>
                <w:szCs w:val="21"/>
                <w:shd w:val="clear" w:color="auto" w:fill="FFFFFF"/>
                <w:lang w:eastAsia="en-US"/>
              </w:rPr>
              <w:t>Thermo</w:t>
            </w:r>
            <w:proofErr w:type="spellEnd"/>
            <w:r>
              <w:rPr>
                <w:rFonts w:ascii="Book Antiqua" w:hAnsi="Book Antiqua" w:cs="Arial"/>
                <w:bCs/>
                <w:sz w:val="21"/>
                <w:szCs w:val="21"/>
                <w:shd w:val="clear" w:color="auto" w:fill="FFFFFF"/>
                <w:lang w:eastAsia="en-US"/>
              </w:rPr>
              <w:t xml:space="preserve"> Fisher </w:t>
            </w:r>
            <w:proofErr w:type="spellStart"/>
            <w:r>
              <w:rPr>
                <w:rFonts w:ascii="Book Antiqua" w:hAnsi="Book Antiqua" w:cs="Arial"/>
                <w:bCs/>
                <w:sz w:val="21"/>
                <w:szCs w:val="21"/>
                <w:shd w:val="clear" w:color="auto" w:fill="FFFFFF"/>
                <w:lang w:eastAsia="en-US"/>
              </w:rPr>
              <w:t>Scientific</w:t>
            </w:r>
            <w:proofErr w:type="spellEnd"/>
            <w:r>
              <w:rPr>
                <w:rFonts w:ascii="Book Antiqua" w:hAnsi="Book Antiqua" w:cs="Arial"/>
                <w:bCs/>
                <w:sz w:val="21"/>
                <w:szCs w:val="21"/>
                <w:shd w:val="clear" w:color="auto" w:fill="FFFFFF"/>
                <w:lang w:eastAsia="en-US"/>
              </w:rPr>
              <w:t>: A20000</w:t>
            </w:r>
          </w:p>
        </w:tc>
        <w:tc>
          <w:tcPr>
            <w:tcW w:w="253"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Opak.</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1</w:t>
            </w:r>
          </w:p>
        </w:tc>
        <w:tc>
          <w:tcPr>
            <w:tcW w:w="846"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561"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609"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47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r w:rsidR="00C10855" w:rsidTr="00C10855">
        <w:trPr>
          <w:trHeight w:val="841"/>
        </w:trPr>
        <w:tc>
          <w:tcPr>
            <w:tcW w:w="3303" w:type="pct"/>
            <w:gridSpan w:val="6"/>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right"/>
              <w:rPr>
                <w:rFonts w:ascii="Book Antiqua" w:hAnsi="Book Antiqua" w:cs="Book Antiqua"/>
                <w:spacing w:val="-4"/>
                <w:u w:val="single"/>
                <w:lang w:eastAsia="en-US"/>
              </w:rPr>
            </w:pPr>
            <w:r>
              <w:rPr>
                <w:rFonts w:ascii="Book Antiqua" w:hAnsi="Book Antiqua" w:cs="Book Antiqua"/>
                <w:spacing w:val="-4"/>
                <w:u w:val="single"/>
                <w:lang w:eastAsia="en-US"/>
              </w:rPr>
              <w:t>RAZEM:</w:t>
            </w:r>
          </w:p>
        </w:tc>
        <w:tc>
          <w:tcPr>
            <w:tcW w:w="609"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478"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bl>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r>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10855" w:rsidRDefault="00C10855" w:rsidP="00C10855">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C10855" w:rsidRDefault="00C10855" w:rsidP="00C10855">
      <w:pPr>
        <w:jc w:val="right"/>
        <w:rPr>
          <w:rFonts w:ascii="Book Antiqua" w:hAnsi="Book Antiqua"/>
          <w:sz w:val="20"/>
          <w:szCs w:val="20"/>
        </w:rPr>
      </w:pPr>
      <w:r>
        <w:rPr>
          <w:rFonts w:ascii="Book Antiqua" w:hAnsi="Book Antiqua"/>
          <w:sz w:val="20"/>
          <w:szCs w:val="20"/>
        </w:rPr>
        <w:t xml:space="preserve">         ............………..........................................................</w:t>
      </w:r>
    </w:p>
    <w:p w:rsidR="00C10855" w:rsidRDefault="00C10855" w:rsidP="00C10855">
      <w:pPr>
        <w:tabs>
          <w:tab w:val="left" w:pos="3585"/>
        </w:tabs>
        <w:spacing w:before="120"/>
        <w:ind w:right="-341"/>
        <w:jc w:val="center"/>
        <w:rPr>
          <w:rFonts w:ascii="Book Antiqua" w:hAnsi="Book Antiqua"/>
          <w:b/>
          <w:bCs/>
          <w:spacing w:val="4"/>
          <w:sz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cs="Arial"/>
          <w:color w:val="000000"/>
          <w:sz w:val="20"/>
        </w:rPr>
        <w:t>podpis Wykonawcy lub upoważnionego przedstawiciela)</w:t>
      </w: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bookmarkStart w:id="0" w:name="_GoBack"/>
      <w:bookmarkEnd w:id="0"/>
    </w:p>
    <w:p w:rsidR="00C10855" w:rsidRDefault="00C10855" w:rsidP="00C10855">
      <w:pPr>
        <w:jc w:val="both"/>
        <w:rPr>
          <w:rFonts w:ascii="Book Antiqua" w:hAnsi="Book Antiqua"/>
          <w:b/>
        </w:rPr>
      </w:pPr>
      <w:r>
        <w:rPr>
          <w:rFonts w:ascii="Book Antiqua" w:hAnsi="Book Antiqua"/>
          <w:b/>
        </w:rPr>
        <w:t>III część zamówienia:</w:t>
      </w:r>
    </w:p>
    <w:p w:rsidR="00C10855" w:rsidRDefault="00C10855" w:rsidP="00C10855">
      <w:pPr>
        <w:jc w:val="both"/>
        <w:rPr>
          <w:rFonts w:ascii="Book Antiqua" w:hAnsi="Book Antiqua"/>
          <w:sz w:val="20"/>
          <w:szCs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63"/>
        <w:gridCol w:w="735"/>
        <w:gridCol w:w="716"/>
        <w:gridCol w:w="2366"/>
        <w:gridCol w:w="1581"/>
        <w:gridCol w:w="1862"/>
        <w:gridCol w:w="967"/>
        <w:gridCol w:w="1931"/>
      </w:tblGrid>
      <w:tr w:rsidR="00C10855" w:rsidTr="00C10855">
        <w:trPr>
          <w:trHeight w:val="702"/>
        </w:trPr>
        <w:tc>
          <w:tcPr>
            <w:tcW w:w="17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Lp.</w:t>
            </w:r>
          </w:p>
        </w:tc>
        <w:tc>
          <w:tcPr>
            <w:tcW w:w="125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Nazwa asortymentu/specyfikacja techniczna</w:t>
            </w:r>
          </w:p>
        </w:tc>
        <w:tc>
          <w:tcPr>
            <w:tcW w:w="240"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spacing w:val="-4"/>
                <w:u w:val="single"/>
                <w:lang w:eastAsia="en-US"/>
              </w:rPr>
            </w:pPr>
            <w:r>
              <w:rPr>
                <w:rFonts w:ascii="Book Antiqua" w:hAnsi="Book Antiqua"/>
                <w:b/>
                <w:bCs/>
                <w:spacing w:val="-4"/>
                <w:sz w:val="20"/>
                <w:szCs w:val="20"/>
                <w:u w:val="single"/>
                <w:lang w:eastAsia="en-US"/>
              </w:rPr>
              <w:t>j.m.</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bCs/>
                <w:spacing w:val="-4"/>
                <w:u w:val="single"/>
                <w:lang w:eastAsia="en-US"/>
              </w:rPr>
            </w:pPr>
            <w:r>
              <w:rPr>
                <w:rFonts w:ascii="Book Antiqua" w:hAnsi="Book Antiqua"/>
                <w:b/>
                <w:bCs/>
                <w:spacing w:val="-4"/>
                <w:u w:val="single"/>
                <w:lang w:eastAsia="en-US"/>
              </w:rPr>
              <w:t>Ilość</w:t>
            </w:r>
          </w:p>
        </w:tc>
        <w:tc>
          <w:tcPr>
            <w:tcW w:w="836"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Producent/nazwa handlowa</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Cena jednostkowa netto</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netto</w:t>
            </w:r>
          </w:p>
        </w:tc>
        <w:tc>
          <w:tcPr>
            <w:tcW w:w="344"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 VAT</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C10855" w:rsidRDefault="00C10855">
            <w:pPr>
              <w:spacing w:line="276" w:lineRule="auto"/>
              <w:jc w:val="center"/>
              <w:rPr>
                <w:rFonts w:ascii="Book Antiqua" w:hAnsi="Book Antiqua"/>
                <w:b/>
                <w:spacing w:val="-4"/>
                <w:sz w:val="20"/>
                <w:szCs w:val="20"/>
                <w:u w:val="single"/>
                <w:lang w:eastAsia="en-US"/>
              </w:rPr>
            </w:pPr>
            <w:r>
              <w:rPr>
                <w:rFonts w:ascii="Book Antiqua" w:hAnsi="Book Antiqua"/>
                <w:b/>
                <w:spacing w:val="-4"/>
                <w:sz w:val="20"/>
                <w:szCs w:val="20"/>
                <w:u w:val="single"/>
                <w:lang w:eastAsia="en-US"/>
              </w:rPr>
              <w:t>Wartość brutto</w:t>
            </w:r>
          </w:p>
        </w:tc>
      </w:tr>
      <w:tr w:rsidR="00C10855" w:rsidTr="00C10855">
        <w:trPr>
          <w:trHeight w:val="567"/>
        </w:trPr>
        <w:tc>
          <w:tcPr>
            <w:tcW w:w="17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Book Antiqua"/>
                <w:b/>
                <w:spacing w:val="-4"/>
                <w:sz w:val="20"/>
                <w:szCs w:val="20"/>
                <w:lang w:eastAsia="en-US"/>
              </w:rPr>
            </w:pPr>
            <w:r>
              <w:rPr>
                <w:rFonts w:ascii="Book Antiqua" w:hAnsi="Book Antiqua" w:cs="Book Antiqua"/>
                <w:b/>
                <w:spacing w:val="-4"/>
                <w:sz w:val="20"/>
                <w:szCs w:val="20"/>
                <w:lang w:eastAsia="en-US"/>
              </w:rPr>
              <w:t xml:space="preserve">1. </w:t>
            </w:r>
          </w:p>
        </w:tc>
        <w:tc>
          <w:tcPr>
            <w:tcW w:w="1257"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rPr>
                <w:rFonts w:ascii="Book Antiqua" w:hAnsi="Book Antiqua" w:cs="Arial"/>
                <w:b/>
                <w:spacing w:val="-4"/>
                <w:sz w:val="20"/>
                <w:szCs w:val="20"/>
                <w:lang w:eastAsia="en-US"/>
              </w:rPr>
            </w:pPr>
            <w:r>
              <w:rPr>
                <w:rFonts w:ascii="Book Antiqua" w:hAnsi="Book Antiqua" w:cs="Arial"/>
                <w:b/>
                <w:spacing w:val="-4"/>
                <w:sz w:val="20"/>
                <w:szCs w:val="20"/>
                <w:lang w:eastAsia="en-US"/>
              </w:rPr>
              <w:t xml:space="preserve">Kwas </w:t>
            </w:r>
            <w:proofErr w:type="spellStart"/>
            <w:r>
              <w:rPr>
                <w:rFonts w:ascii="Book Antiqua" w:hAnsi="Book Antiqua" w:cs="Arial"/>
                <w:b/>
                <w:spacing w:val="-4"/>
                <w:sz w:val="20"/>
                <w:szCs w:val="20"/>
                <w:lang w:eastAsia="en-US"/>
              </w:rPr>
              <w:t>taninowy</w:t>
            </w:r>
            <w:proofErr w:type="spellEnd"/>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Wielkość opakowania: 500 g</w:t>
            </w:r>
          </w:p>
          <w:p w:rsidR="00C10855" w:rsidRDefault="00C10855">
            <w:pPr>
              <w:spacing w:line="276" w:lineRule="auto"/>
              <w:rPr>
                <w:rFonts w:ascii="Book Antiqua" w:hAnsi="Book Antiqua" w:cs="Arial"/>
                <w:spacing w:val="-4"/>
                <w:sz w:val="20"/>
                <w:szCs w:val="20"/>
                <w:lang w:eastAsia="en-US"/>
              </w:rPr>
            </w:pPr>
          </w:p>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Nr katalogowy Sigma-</w:t>
            </w:r>
            <w:proofErr w:type="spellStart"/>
            <w:r>
              <w:rPr>
                <w:rFonts w:ascii="Book Antiqua" w:hAnsi="Book Antiqua" w:cs="Arial"/>
                <w:spacing w:val="-4"/>
                <w:sz w:val="20"/>
                <w:szCs w:val="20"/>
                <w:lang w:eastAsia="en-US"/>
              </w:rPr>
              <w:t>Aldrich</w:t>
            </w:r>
            <w:proofErr w:type="spellEnd"/>
            <w:r>
              <w:rPr>
                <w:rFonts w:ascii="Book Antiqua" w:hAnsi="Book Antiqua" w:cs="Arial"/>
                <w:spacing w:val="-4"/>
                <w:sz w:val="20"/>
                <w:szCs w:val="20"/>
                <w:lang w:eastAsia="en-US"/>
              </w:rPr>
              <w:t>: T0200-500G</w:t>
            </w:r>
          </w:p>
        </w:tc>
        <w:tc>
          <w:tcPr>
            <w:tcW w:w="240"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Book Antiqua" w:hAnsi="Book Antiqua" w:cs="Arial"/>
                <w:spacing w:val="-4"/>
                <w:sz w:val="20"/>
                <w:szCs w:val="20"/>
                <w:lang w:eastAsia="en-US"/>
              </w:rPr>
            </w:pPr>
            <w:r>
              <w:rPr>
                <w:rFonts w:ascii="Book Antiqua" w:hAnsi="Book Antiqua" w:cs="Arial"/>
                <w:spacing w:val="-4"/>
                <w:sz w:val="20"/>
                <w:szCs w:val="20"/>
                <w:lang w:eastAsia="en-US"/>
              </w:rPr>
              <w:t>Opak.</w:t>
            </w:r>
          </w:p>
        </w:tc>
        <w:tc>
          <w:tcPr>
            <w:tcW w:w="247"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center"/>
              <w:rPr>
                <w:rFonts w:ascii="Book Antiqua" w:hAnsi="Book Antiqua" w:cs="Arial"/>
                <w:spacing w:val="-4"/>
                <w:sz w:val="20"/>
                <w:szCs w:val="20"/>
                <w:lang w:eastAsia="en-US"/>
              </w:rPr>
            </w:pPr>
            <w:r>
              <w:rPr>
                <w:rFonts w:ascii="Book Antiqua" w:hAnsi="Book Antiqua" w:cs="Arial"/>
                <w:spacing w:val="-4"/>
                <w:sz w:val="20"/>
                <w:szCs w:val="20"/>
                <w:lang w:eastAsia="en-US"/>
              </w:rPr>
              <w:t>1</w:t>
            </w:r>
          </w:p>
        </w:tc>
        <w:tc>
          <w:tcPr>
            <w:tcW w:w="836"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C10855" w:rsidRDefault="00C10855">
            <w:pPr>
              <w:spacing w:line="276" w:lineRule="auto"/>
              <w:jc w:val="center"/>
              <w:rPr>
                <w:rFonts w:ascii="Book Antiqua" w:hAnsi="Book Antiqua" w:cs="Book Antiqua"/>
                <w:spacing w:val="-4"/>
                <w:u w:val="single"/>
                <w:lang w:eastAsia="en-US"/>
              </w:rPr>
            </w:pPr>
          </w:p>
        </w:tc>
        <w:tc>
          <w:tcPr>
            <w:tcW w:w="6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r w:rsidR="00C10855" w:rsidTr="00C10855">
        <w:trPr>
          <w:trHeight w:val="417"/>
        </w:trPr>
        <w:tc>
          <w:tcPr>
            <w:tcW w:w="3312" w:type="pct"/>
            <w:gridSpan w:val="6"/>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jc w:val="right"/>
              <w:rPr>
                <w:rFonts w:ascii="Book Antiqua" w:hAnsi="Book Antiqua" w:cs="Book Antiqua"/>
                <w:spacing w:val="-4"/>
                <w:u w:val="single"/>
                <w:lang w:eastAsia="en-US"/>
              </w:rPr>
            </w:pPr>
            <w:r>
              <w:rPr>
                <w:rFonts w:ascii="Book Antiqua" w:hAnsi="Book Antiqua" w:cs="Book Antiqua"/>
                <w:spacing w:val="-4"/>
                <w:u w:val="single"/>
                <w:lang w:eastAsia="en-US"/>
              </w:rPr>
              <w:t>RAZEM:</w:t>
            </w:r>
          </w:p>
        </w:tc>
        <w:tc>
          <w:tcPr>
            <w:tcW w:w="659"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c>
          <w:tcPr>
            <w:tcW w:w="344" w:type="pct"/>
            <w:tcBorders>
              <w:top w:val="single" w:sz="4" w:space="0" w:color="000000"/>
              <w:left w:val="single" w:sz="4" w:space="0" w:color="000000"/>
              <w:bottom w:val="single" w:sz="4" w:space="0" w:color="000000"/>
              <w:right w:val="single" w:sz="4" w:space="0" w:color="000000"/>
            </w:tcBorders>
            <w:hideMark/>
          </w:tcPr>
          <w:p w:rsidR="00C10855" w:rsidRDefault="00C10855">
            <w:pPr>
              <w:spacing w:line="276" w:lineRule="auto"/>
              <w:rPr>
                <w:rFonts w:ascii="Calibri" w:eastAsia="Calibri" w:hAnsi="Calibri"/>
                <w:sz w:val="22"/>
                <w:szCs w:val="22"/>
                <w:lang w:eastAsia="en-US"/>
              </w:rPr>
            </w:pPr>
          </w:p>
        </w:tc>
        <w:tc>
          <w:tcPr>
            <w:tcW w:w="685" w:type="pct"/>
            <w:tcBorders>
              <w:top w:val="single" w:sz="4" w:space="0" w:color="000000"/>
              <w:left w:val="single" w:sz="4" w:space="0" w:color="000000"/>
              <w:bottom w:val="single" w:sz="4" w:space="0" w:color="000000"/>
              <w:right w:val="single" w:sz="4" w:space="0" w:color="000000"/>
            </w:tcBorders>
          </w:tcPr>
          <w:p w:rsidR="00C10855" w:rsidRDefault="00C10855">
            <w:pPr>
              <w:spacing w:line="276" w:lineRule="auto"/>
              <w:jc w:val="center"/>
              <w:rPr>
                <w:rFonts w:ascii="Book Antiqua" w:hAnsi="Book Antiqua" w:cs="Book Antiqua"/>
                <w:spacing w:val="-4"/>
                <w:u w:val="single"/>
                <w:lang w:eastAsia="en-US"/>
              </w:rPr>
            </w:pPr>
          </w:p>
        </w:tc>
      </w:tr>
    </w:tbl>
    <w:p w:rsidR="00C10855" w:rsidRDefault="00C10855" w:rsidP="00C10855">
      <w:pPr>
        <w:jc w:val="both"/>
        <w:rPr>
          <w:rFonts w:ascii="Book Antiqua" w:hAnsi="Book Antiqua"/>
          <w:sz w:val="20"/>
          <w:szCs w:val="20"/>
        </w:rPr>
      </w:pPr>
    </w:p>
    <w:p w:rsidR="00C10855" w:rsidRDefault="00C10855" w:rsidP="00C10855">
      <w:pPr>
        <w:jc w:val="both"/>
        <w:rPr>
          <w:rFonts w:ascii="Book Antiqua" w:hAnsi="Book Antiqua"/>
          <w:sz w:val="20"/>
          <w:szCs w:val="20"/>
        </w:rPr>
      </w:pPr>
      <w:r>
        <w:rPr>
          <w:rFonts w:ascii="Book Antiqua" w:hAnsi="Book Antiqua"/>
          <w:sz w:val="20"/>
          <w:szCs w:val="20"/>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10855" w:rsidRDefault="00C10855" w:rsidP="00C10855">
      <w:pPr>
        <w:jc w:val="both"/>
        <w:rPr>
          <w:rFonts w:ascii="Book Antiqua" w:hAnsi="Book Antiqua"/>
          <w:sz w:val="20"/>
          <w:szCs w:val="20"/>
        </w:rPr>
      </w:pPr>
      <w:r>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C10855" w:rsidRDefault="00C10855" w:rsidP="00C10855">
      <w:pPr>
        <w:jc w:val="right"/>
        <w:rPr>
          <w:rFonts w:ascii="Book Antiqua" w:hAnsi="Book Antiqua"/>
          <w:sz w:val="20"/>
          <w:szCs w:val="20"/>
        </w:rPr>
      </w:pPr>
      <w:r>
        <w:rPr>
          <w:rFonts w:ascii="Book Antiqua" w:hAnsi="Book Antiqua"/>
          <w:sz w:val="20"/>
          <w:szCs w:val="20"/>
        </w:rPr>
        <w:t xml:space="preserve">                  ............………..........................................................</w:t>
      </w:r>
    </w:p>
    <w:p w:rsidR="00C10855" w:rsidRDefault="00C10855" w:rsidP="00C10855">
      <w:pPr>
        <w:tabs>
          <w:tab w:val="left" w:pos="3585"/>
        </w:tabs>
        <w:spacing w:before="120"/>
        <w:ind w:right="-341"/>
        <w:jc w:val="right"/>
        <w:rPr>
          <w:rFonts w:ascii="Book Antiqua" w:hAnsi="Book Antiqua" w:cs="Arial"/>
          <w:color w:val="000000"/>
          <w:sz w:val="20"/>
        </w:rPr>
      </w:pPr>
      <w:r>
        <w:rPr>
          <w:rFonts w:ascii="Book Antiqua" w:hAnsi="Book Antiqua"/>
          <w:sz w:val="20"/>
          <w:szCs w:val="20"/>
        </w:rPr>
        <w:t>(</w:t>
      </w:r>
      <w:r>
        <w:rPr>
          <w:rFonts w:ascii="Book Antiqua" w:hAnsi="Book Antiqua" w:cs="Arial"/>
          <w:color w:val="000000"/>
          <w:sz w:val="20"/>
        </w:rPr>
        <w:t>podpis Wykonawcy lub upoważnionego przedstawiciela)</w:t>
      </w:r>
    </w:p>
    <w:p w:rsidR="00C10855" w:rsidRDefault="00C10855" w:rsidP="00C10855">
      <w:pPr>
        <w:tabs>
          <w:tab w:val="left" w:pos="3585"/>
        </w:tabs>
        <w:spacing w:before="120"/>
        <w:ind w:right="-341"/>
        <w:jc w:val="right"/>
        <w:rPr>
          <w:rFonts w:ascii="Book Antiqua" w:hAnsi="Book Antiqua" w:cs="Arial"/>
          <w:color w:val="000000"/>
          <w:sz w:val="20"/>
        </w:rPr>
      </w:pPr>
    </w:p>
    <w:p w:rsidR="00C10855" w:rsidRDefault="00C10855" w:rsidP="00C10855">
      <w:pPr>
        <w:tabs>
          <w:tab w:val="left" w:pos="3585"/>
        </w:tabs>
        <w:spacing w:before="120"/>
        <w:ind w:right="-341"/>
        <w:jc w:val="right"/>
        <w:rPr>
          <w:rFonts w:ascii="Book Antiqua" w:hAnsi="Book Antiqua" w:cs="Arial"/>
          <w:color w:val="000000"/>
          <w:sz w:val="20"/>
        </w:rPr>
      </w:pPr>
    </w:p>
    <w:p w:rsidR="00C10855" w:rsidRDefault="00C10855" w:rsidP="00C10855">
      <w:pPr>
        <w:tabs>
          <w:tab w:val="left" w:pos="3585"/>
        </w:tabs>
        <w:spacing w:before="120"/>
        <w:ind w:right="-341"/>
        <w:jc w:val="right"/>
        <w:rPr>
          <w:rFonts w:ascii="Book Antiqua" w:hAnsi="Book Antiqua" w:cs="Arial"/>
          <w:color w:val="000000"/>
          <w:sz w:val="20"/>
        </w:rPr>
      </w:pPr>
    </w:p>
    <w:p w:rsidR="00C10855" w:rsidRDefault="00C10855" w:rsidP="00C10855"/>
    <w:p w:rsidR="00E67DD1" w:rsidRDefault="00E67DD1"/>
    <w:sectPr w:rsidR="00E67DD1" w:rsidSect="00C1085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55"/>
    <w:rsid w:val="00104E03"/>
    <w:rsid w:val="00511973"/>
    <w:rsid w:val="00C10855"/>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8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C10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8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C1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812</Words>
  <Characters>4878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2020-06-15T11:47:00Z</dcterms:created>
  <dcterms:modified xsi:type="dcterms:W3CDTF">2020-06-15T11:49:00Z</dcterms:modified>
</cp:coreProperties>
</file>