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2197B" w14:textId="1FA19165" w:rsidR="001D6051" w:rsidRDefault="001D6051" w:rsidP="001D6051">
      <w:pPr>
        <w:jc w:val="right"/>
        <w:rPr>
          <w:color w:val="000000" w:themeColor="text1"/>
          <w:sz w:val="24"/>
          <w:szCs w:val="24"/>
        </w:rPr>
      </w:pPr>
      <w:r w:rsidRPr="001D6051">
        <w:rPr>
          <w:color w:val="000000" w:themeColor="text1"/>
          <w:sz w:val="24"/>
          <w:szCs w:val="24"/>
        </w:rPr>
        <w:t>Załącznik nr 3</w:t>
      </w:r>
    </w:p>
    <w:p w14:paraId="1453A124" w14:textId="77777777" w:rsidR="001D6051" w:rsidRPr="001D6051" w:rsidRDefault="001D6051" w:rsidP="001D6051">
      <w:pPr>
        <w:jc w:val="right"/>
        <w:rPr>
          <w:color w:val="000000" w:themeColor="text1"/>
          <w:sz w:val="24"/>
          <w:szCs w:val="24"/>
        </w:rPr>
      </w:pPr>
      <w:bookmarkStart w:id="0" w:name="_GoBack"/>
      <w:bookmarkEnd w:id="0"/>
    </w:p>
    <w:p w14:paraId="42C01F4B" w14:textId="64A850D6" w:rsidR="007C2989" w:rsidRPr="00F46BD6" w:rsidRDefault="00045134" w:rsidP="004D089A">
      <w:pPr>
        <w:jc w:val="center"/>
        <w:rPr>
          <w:b/>
          <w:color w:val="000000" w:themeColor="text1"/>
          <w:sz w:val="24"/>
          <w:szCs w:val="24"/>
          <w:u w:val="single"/>
        </w:rPr>
      </w:pPr>
      <w:r w:rsidRPr="00F46BD6">
        <w:rPr>
          <w:b/>
          <w:color w:val="000000" w:themeColor="text1"/>
          <w:sz w:val="24"/>
          <w:szCs w:val="24"/>
          <w:u w:val="single"/>
        </w:rPr>
        <w:t xml:space="preserve">WYMAGANIA DLA DOSTAWCÓW ZEWNĘTRZNYCH REALIZUJĄCYCH </w:t>
      </w:r>
      <w:r w:rsidRPr="00F46BD6">
        <w:rPr>
          <w:b/>
          <w:color w:val="000000" w:themeColor="text1"/>
          <w:sz w:val="24"/>
          <w:szCs w:val="24"/>
          <w:u w:val="single"/>
        </w:rPr>
        <w:br/>
        <w:t xml:space="preserve">DOSTAWY </w:t>
      </w:r>
      <w:r w:rsidR="009A2817">
        <w:rPr>
          <w:b/>
          <w:color w:val="000000" w:themeColor="text1"/>
          <w:sz w:val="24"/>
          <w:szCs w:val="24"/>
          <w:u w:val="single"/>
        </w:rPr>
        <w:t>KAWY I HERBATY</w:t>
      </w:r>
      <w:r w:rsidR="000D7C22">
        <w:rPr>
          <w:b/>
          <w:color w:val="000000" w:themeColor="text1"/>
          <w:sz w:val="24"/>
          <w:szCs w:val="24"/>
          <w:u w:val="single"/>
        </w:rPr>
        <w:t xml:space="preserve"> </w:t>
      </w:r>
      <w:r w:rsidRPr="00F46BD6">
        <w:rPr>
          <w:b/>
          <w:color w:val="000000" w:themeColor="text1"/>
          <w:sz w:val="24"/>
          <w:szCs w:val="24"/>
          <w:u w:val="single"/>
        </w:rPr>
        <w:t>:</w:t>
      </w:r>
    </w:p>
    <w:p w14:paraId="5F7D6A1E" w14:textId="77777777" w:rsidR="007C2989" w:rsidRPr="00F46BD6" w:rsidRDefault="007C2989" w:rsidP="007C2989">
      <w:pPr>
        <w:pStyle w:val="Akapitzlist"/>
        <w:numPr>
          <w:ilvl w:val="0"/>
          <w:numId w:val="1"/>
        </w:numPr>
        <w:rPr>
          <w:b/>
          <w:color w:val="000000" w:themeColor="text1"/>
          <w:sz w:val="24"/>
          <w:szCs w:val="24"/>
        </w:rPr>
      </w:pPr>
      <w:r w:rsidRPr="00F46BD6">
        <w:rPr>
          <w:b/>
          <w:color w:val="000000" w:themeColor="text1"/>
          <w:sz w:val="24"/>
          <w:szCs w:val="24"/>
        </w:rPr>
        <w:t>Przedstawienie na etapie składania ofert:</w:t>
      </w:r>
    </w:p>
    <w:p w14:paraId="695CF3FC" w14:textId="41A10321" w:rsidR="007C2989" w:rsidRPr="00C734A9" w:rsidRDefault="007C2989" w:rsidP="00C734A9">
      <w:pPr>
        <w:pStyle w:val="Akapitzlist"/>
        <w:numPr>
          <w:ilvl w:val="1"/>
          <w:numId w:val="1"/>
        </w:numPr>
        <w:spacing w:after="0" w:line="240" w:lineRule="auto"/>
        <w:jc w:val="both"/>
        <w:rPr>
          <w:rFonts w:eastAsia="Times New Roman"/>
          <w:color w:val="000000" w:themeColor="text1"/>
          <w:sz w:val="24"/>
          <w:szCs w:val="24"/>
          <w:lang w:eastAsia="pl-PL"/>
        </w:rPr>
      </w:pPr>
      <w:r w:rsidRPr="00C734A9">
        <w:rPr>
          <w:rFonts w:eastAsia="Times New Roman"/>
          <w:color w:val="000000" w:themeColor="text1"/>
          <w:sz w:val="24"/>
          <w:szCs w:val="24"/>
          <w:lang w:eastAsia="pl-PL"/>
        </w:rPr>
        <w:t>aktualnej decyzji administracyjnej właściwego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w:t>
      </w:r>
      <w:r w:rsidR="009A2817">
        <w:rPr>
          <w:rFonts w:eastAsia="Times New Roman"/>
          <w:color w:val="000000" w:themeColor="text1"/>
          <w:sz w:val="24"/>
          <w:szCs w:val="24"/>
          <w:lang w:eastAsia="pl-PL"/>
        </w:rPr>
        <w:t xml:space="preserve">ganów Inspekcji Weterynaryjnej </w:t>
      </w:r>
      <w:r w:rsidRPr="00C734A9">
        <w:rPr>
          <w:rFonts w:eastAsia="Times New Roman"/>
          <w:color w:val="000000" w:themeColor="text1"/>
          <w:sz w:val="24"/>
          <w:szCs w:val="24"/>
          <w:lang w:eastAsia="pl-PL"/>
        </w:rPr>
        <w:t>lub zaświadczenie o wpisie do rejestru zakładów zgodne z rozporządzeniem Ministra Zdrowia z dnia 29 maja 2007r., w sprawie wzorów dokumentów dotyczących rejestracji i zatwierdzania zakładów produkujących lub wprowadzających do obrotu żywność podlegających urzędowej kontroli Państwo</w:t>
      </w:r>
      <w:r w:rsidR="009A2817">
        <w:rPr>
          <w:rFonts w:eastAsia="Times New Roman"/>
          <w:color w:val="000000" w:themeColor="text1"/>
          <w:sz w:val="24"/>
          <w:szCs w:val="24"/>
          <w:lang w:eastAsia="pl-PL"/>
        </w:rPr>
        <w:t xml:space="preserve">wej Inspekcji Sanitarnej. </w:t>
      </w:r>
    </w:p>
    <w:p w14:paraId="2E090AC0" w14:textId="77777777" w:rsidR="007C2989" w:rsidRPr="00F46BD6" w:rsidRDefault="007C2989" w:rsidP="007C2989">
      <w:pPr>
        <w:spacing w:after="0" w:line="240" w:lineRule="auto"/>
        <w:ind w:left="1080"/>
        <w:contextualSpacing/>
        <w:jc w:val="both"/>
        <w:rPr>
          <w:rFonts w:eastAsia="Times New Roman"/>
          <w:color w:val="000000" w:themeColor="text1"/>
          <w:sz w:val="24"/>
          <w:szCs w:val="24"/>
          <w:lang w:eastAsia="pl-PL"/>
        </w:rPr>
      </w:pPr>
    </w:p>
    <w:p w14:paraId="2BEE396C" w14:textId="77777777" w:rsidR="004D089A" w:rsidRPr="00F46BD6" w:rsidRDefault="007C2989" w:rsidP="004D089A">
      <w:pPr>
        <w:pStyle w:val="Akapitzlist"/>
        <w:numPr>
          <w:ilvl w:val="0"/>
          <w:numId w:val="1"/>
        </w:numPr>
        <w:rPr>
          <w:b/>
          <w:color w:val="000000" w:themeColor="text1"/>
          <w:sz w:val="24"/>
          <w:szCs w:val="24"/>
        </w:rPr>
      </w:pPr>
      <w:r w:rsidRPr="00F46BD6">
        <w:rPr>
          <w:b/>
          <w:color w:val="000000" w:themeColor="text1"/>
          <w:sz w:val="24"/>
          <w:szCs w:val="24"/>
        </w:rPr>
        <w:t xml:space="preserve">W treści umowy zawarte </w:t>
      </w:r>
      <w:r w:rsidR="008A3460" w:rsidRPr="00F46BD6">
        <w:rPr>
          <w:b/>
          <w:color w:val="000000" w:themeColor="text1"/>
          <w:sz w:val="24"/>
          <w:szCs w:val="24"/>
        </w:rPr>
        <w:t xml:space="preserve">powinny zostać </w:t>
      </w:r>
      <w:r w:rsidRPr="00F46BD6">
        <w:rPr>
          <w:b/>
          <w:color w:val="000000" w:themeColor="text1"/>
          <w:sz w:val="24"/>
          <w:szCs w:val="24"/>
        </w:rPr>
        <w:t>następujące wymagania:</w:t>
      </w:r>
    </w:p>
    <w:p w14:paraId="6A2A3F3B" w14:textId="682A7BD3" w:rsidR="00F0726A" w:rsidRDefault="00F0726A" w:rsidP="00F0726A">
      <w:pPr>
        <w:pStyle w:val="Akapitzlist"/>
        <w:numPr>
          <w:ilvl w:val="1"/>
          <w:numId w:val="9"/>
        </w:numPr>
        <w:jc w:val="both"/>
        <w:rPr>
          <w:color w:val="000000" w:themeColor="text1"/>
          <w:sz w:val="24"/>
          <w:szCs w:val="24"/>
        </w:rPr>
      </w:pPr>
      <w:r>
        <w:rPr>
          <w:color w:val="000000" w:themeColor="text1"/>
          <w:sz w:val="24"/>
          <w:szCs w:val="24"/>
        </w:rPr>
        <w:t>Term</w:t>
      </w:r>
      <w:r w:rsidR="009B5A6B">
        <w:rPr>
          <w:color w:val="000000" w:themeColor="text1"/>
          <w:sz w:val="24"/>
          <w:szCs w:val="24"/>
        </w:rPr>
        <w:t xml:space="preserve">in realizacji umowy – </w:t>
      </w:r>
      <w:r w:rsidR="00534F6E">
        <w:rPr>
          <w:color w:val="000000" w:themeColor="text1"/>
          <w:sz w:val="24"/>
          <w:szCs w:val="24"/>
        </w:rPr>
        <w:t>od 01.01.2025 do 31.12.2025</w:t>
      </w:r>
      <w:r>
        <w:rPr>
          <w:color w:val="000000" w:themeColor="text1"/>
          <w:sz w:val="24"/>
          <w:szCs w:val="24"/>
        </w:rPr>
        <w:t>r.</w:t>
      </w:r>
    </w:p>
    <w:p w14:paraId="7D4F6775" w14:textId="2996517B" w:rsidR="00F0726A" w:rsidRDefault="00F0726A" w:rsidP="00F0726A">
      <w:pPr>
        <w:pStyle w:val="Akapitzlist"/>
        <w:ind w:left="1211"/>
        <w:jc w:val="both"/>
        <w:rPr>
          <w:color w:val="000000" w:themeColor="text1"/>
          <w:sz w:val="24"/>
          <w:szCs w:val="24"/>
        </w:rPr>
      </w:pPr>
    </w:p>
    <w:p w14:paraId="245DA165" w14:textId="64CC6493" w:rsidR="00F0726A" w:rsidRPr="00AA38A3" w:rsidRDefault="00F0726A" w:rsidP="00AA38A3">
      <w:pPr>
        <w:pStyle w:val="Akapitzlist"/>
        <w:numPr>
          <w:ilvl w:val="1"/>
          <w:numId w:val="9"/>
        </w:numPr>
        <w:jc w:val="both"/>
        <w:rPr>
          <w:color w:val="000000" w:themeColor="text1"/>
          <w:sz w:val="24"/>
          <w:szCs w:val="24"/>
        </w:rPr>
      </w:pPr>
      <w:r>
        <w:rPr>
          <w:color w:val="000000" w:themeColor="text1"/>
          <w:sz w:val="24"/>
          <w:szCs w:val="24"/>
        </w:rPr>
        <w:t xml:space="preserve">Miejsce dostaw : </w:t>
      </w:r>
    </w:p>
    <w:p w14:paraId="0D8437CE" w14:textId="4D9E18DB" w:rsidR="00F0726A" w:rsidRDefault="00F0726A" w:rsidP="00F0726A">
      <w:pPr>
        <w:pStyle w:val="Akapitzlist"/>
        <w:ind w:left="1211"/>
        <w:jc w:val="both"/>
        <w:rPr>
          <w:color w:val="000000" w:themeColor="text1"/>
          <w:sz w:val="24"/>
          <w:szCs w:val="24"/>
        </w:rPr>
      </w:pPr>
      <w:r>
        <w:rPr>
          <w:color w:val="000000" w:themeColor="text1"/>
          <w:sz w:val="24"/>
          <w:szCs w:val="24"/>
        </w:rPr>
        <w:t>Magazyn żywnościowy zlokalizowany na terenie 21. Bazy Lotnictwa Taktycznego</w:t>
      </w:r>
      <w:r w:rsidR="00AA38A3">
        <w:rPr>
          <w:color w:val="000000" w:themeColor="text1"/>
          <w:sz w:val="24"/>
          <w:szCs w:val="24"/>
        </w:rPr>
        <w:t xml:space="preserve">, ul. Połczyńska 32, 78-301 Świdwin. </w:t>
      </w:r>
    </w:p>
    <w:p w14:paraId="0AF148E8" w14:textId="5040F9F7" w:rsidR="00F0726A" w:rsidRDefault="00AA38A3" w:rsidP="00F0726A">
      <w:pPr>
        <w:pStyle w:val="Akapitzlist"/>
        <w:ind w:left="1211"/>
        <w:jc w:val="both"/>
        <w:rPr>
          <w:color w:val="000000" w:themeColor="text1"/>
          <w:sz w:val="24"/>
          <w:szCs w:val="24"/>
        </w:rPr>
      </w:pPr>
      <w:r w:rsidRPr="00AA38A3">
        <w:rPr>
          <w:color w:val="000000" w:themeColor="text1"/>
          <w:sz w:val="24"/>
          <w:szCs w:val="24"/>
        </w:rPr>
        <w:t>Magazyn żywnościowy zlokalizowany na terenie</w:t>
      </w:r>
      <w:r>
        <w:rPr>
          <w:color w:val="000000" w:themeColor="text1"/>
          <w:sz w:val="24"/>
          <w:szCs w:val="24"/>
        </w:rPr>
        <w:t xml:space="preserve"> kompleksu wojskowego </w:t>
      </w:r>
      <w:r w:rsidR="009B5A6B">
        <w:rPr>
          <w:color w:val="000000" w:themeColor="text1"/>
          <w:sz w:val="24"/>
          <w:szCs w:val="24"/>
        </w:rPr>
        <w:br/>
      </w:r>
      <w:r>
        <w:rPr>
          <w:color w:val="000000" w:themeColor="text1"/>
          <w:sz w:val="24"/>
          <w:szCs w:val="24"/>
        </w:rPr>
        <w:t>w Trzebiatowie, ul. Zagórska 21, 72-321 Trzebiatów.</w:t>
      </w:r>
    </w:p>
    <w:p w14:paraId="66E67267" w14:textId="67C2679F" w:rsidR="00AA38A3" w:rsidRDefault="00AA38A3" w:rsidP="00F0726A">
      <w:pPr>
        <w:pStyle w:val="Akapitzlist"/>
        <w:ind w:left="1211"/>
        <w:jc w:val="both"/>
        <w:rPr>
          <w:color w:val="000000" w:themeColor="text1"/>
          <w:sz w:val="24"/>
          <w:szCs w:val="24"/>
        </w:rPr>
      </w:pPr>
      <w:r>
        <w:rPr>
          <w:color w:val="000000" w:themeColor="text1"/>
          <w:sz w:val="24"/>
          <w:szCs w:val="24"/>
        </w:rPr>
        <w:t xml:space="preserve">Magazyn żywnościowy zlokalizowany na terenie kompleksu wojskowego </w:t>
      </w:r>
      <w:r w:rsidR="009B5A6B">
        <w:rPr>
          <w:color w:val="000000" w:themeColor="text1"/>
          <w:sz w:val="24"/>
          <w:szCs w:val="24"/>
        </w:rPr>
        <w:br/>
      </w:r>
      <w:r>
        <w:rPr>
          <w:color w:val="000000" w:themeColor="text1"/>
          <w:sz w:val="24"/>
          <w:szCs w:val="24"/>
        </w:rPr>
        <w:t xml:space="preserve">w Mirosławcu, 78-651 Mirosławiec. </w:t>
      </w:r>
    </w:p>
    <w:p w14:paraId="241FC7AA" w14:textId="18B8435E" w:rsidR="00AA38A3" w:rsidRDefault="00266D36" w:rsidP="00F0726A">
      <w:pPr>
        <w:pStyle w:val="Akapitzlist"/>
        <w:ind w:left="1211"/>
        <w:jc w:val="both"/>
        <w:rPr>
          <w:color w:val="000000" w:themeColor="text1"/>
          <w:sz w:val="24"/>
          <w:szCs w:val="24"/>
        </w:rPr>
      </w:pPr>
      <w:r>
        <w:rPr>
          <w:color w:val="000000" w:themeColor="text1"/>
          <w:sz w:val="24"/>
          <w:szCs w:val="24"/>
        </w:rPr>
        <w:t xml:space="preserve">w ilościach przedstawionych w notatce z szacowania przedmiotu zamówienia dla poszczególnych lokalizacji. </w:t>
      </w:r>
    </w:p>
    <w:p w14:paraId="3908988A" w14:textId="77777777" w:rsidR="00266D36" w:rsidRDefault="00266D36" w:rsidP="00F0726A">
      <w:pPr>
        <w:pStyle w:val="Akapitzlist"/>
        <w:ind w:left="1211"/>
        <w:jc w:val="both"/>
        <w:rPr>
          <w:color w:val="000000" w:themeColor="text1"/>
          <w:sz w:val="24"/>
          <w:szCs w:val="24"/>
        </w:rPr>
      </w:pPr>
    </w:p>
    <w:p w14:paraId="4C0E412A" w14:textId="5BE5A629" w:rsidR="00F0726A" w:rsidRDefault="008A3460" w:rsidP="00D23376">
      <w:pPr>
        <w:pStyle w:val="Akapitzlist"/>
        <w:numPr>
          <w:ilvl w:val="1"/>
          <w:numId w:val="9"/>
        </w:numPr>
        <w:jc w:val="both"/>
        <w:rPr>
          <w:color w:val="000000" w:themeColor="text1"/>
          <w:sz w:val="24"/>
          <w:szCs w:val="24"/>
        </w:rPr>
      </w:pPr>
      <w:r w:rsidRPr="00F46BD6">
        <w:rPr>
          <w:color w:val="000000" w:themeColor="text1"/>
          <w:sz w:val="24"/>
          <w:szCs w:val="24"/>
        </w:rPr>
        <w:t xml:space="preserve">Kary </w:t>
      </w:r>
      <w:r w:rsidR="009B5A6B">
        <w:rPr>
          <w:color w:val="000000" w:themeColor="text1"/>
          <w:sz w:val="24"/>
          <w:szCs w:val="24"/>
        </w:rPr>
        <w:t>umowne w wysokości co najmniej 2</w:t>
      </w:r>
      <w:r w:rsidRPr="00F46BD6">
        <w:rPr>
          <w:color w:val="000000" w:themeColor="text1"/>
          <w:sz w:val="24"/>
          <w:szCs w:val="24"/>
        </w:rPr>
        <w:t xml:space="preserve"> % wartości umowy w przypadku </w:t>
      </w:r>
      <w:r w:rsidRPr="00F0726A">
        <w:rPr>
          <w:color w:val="000000" w:themeColor="text1"/>
          <w:sz w:val="24"/>
          <w:szCs w:val="24"/>
        </w:rPr>
        <w:t xml:space="preserve">potwierdzonych wynikami badań niezgodności z normami jakościowymi </w:t>
      </w:r>
      <w:r w:rsidRPr="00F0726A">
        <w:rPr>
          <w:color w:val="000000" w:themeColor="text1"/>
          <w:sz w:val="24"/>
          <w:szCs w:val="24"/>
        </w:rPr>
        <w:br/>
        <w:t>i opisu przedmiotu zamówienia dostarczanych środków spożywczych;</w:t>
      </w:r>
    </w:p>
    <w:p w14:paraId="14246982" w14:textId="77777777" w:rsidR="00D93A9A" w:rsidRDefault="00D93A9A" w:rsidP="00D93A9A">
      <w:pPr>
        <w:pStyle w:val="Akapitzlist"/>
        <w:ind w:left="1211"/>
        <w:jc w:val="both"/>
        <w:rPr>
          <w:color w:val="000000" w:themeColor="text1"/>
          <w:sz w:val="24"/>
          <w:szCs w:val="24"/>
        </w:rPr>
      </w:pPr>
    </w:p>
    <w:p w14:paraId="20BA8F08" w14:textId="768B5FC3" w:rsidR="002C7A5C" w:rsidRDefault="002C7A5C" w:rsidP="00D23376">
      <w:pPr>
        <w:pStyle w:val="Akapitzlist"/>
        <w:numPr>
          <w:ilvl w:val="1"/>
          <w:numId w:val="9"/>
        </w:numPr>
        <w:jc w:val="both"/>
        <w:rPr>
          <w:color w:val="000000" w:themeColor="text1"/>
          <w:sz w:val="24"/>
          <w:szCs w:val="24"/>
        </w:rPr>
      </w:pPr>
      <w:r>
        <w:rPr>
          <w:color w:val="000000" w:themeColor="text1"/>
          <w:sz w:val="24"/>
          <w:szCs w:val="24"/>
        </w:rPr>
        <w:t xml:space="preserve">Strony </w:t>
      </w:r>
      <w:r w:rsidR="00D93A9A">
        <w:rPr>
          <w:color w:val="000000" w:themeColor="text1"/>
          <w:sz w:val="24"/>
          <w:szCs w:val="24"/>
        </w:rPr>
        <w:t>zgodnie postanawiają, iż maksymalna wysokość kar umownych z tytułu niewykonania lub nienależytego wykonania umowy wynosi 20% wynagrodzenia brutto określonego w § 5 ust. 1.</w:t>
      </w:r>
    </w:p>
    <w:p w14:paraId="60E00279" w14:textId="77777777" w:rsidR="00D23376" w:rsidRPr="00D23376" w:rsidRDefault="00D23376" w:rsidP="00D23376">
      <w:pPr>
        <w:pStyle w:val="Akapitzlist"/>
        <w:ind w:left="1211"/>
        <w:jc w:val="both"/>
        <w:rPr>
          <w:color w:val="000000" w:themeColor="text1"/>
          <w:sz w:val="24"/>
          <w:szCs w:val="24"/>
        </w:rPr>
      </w:pPr>
    </w:p>
    <w:p w14:paraId="11095573" w14:textId="77777777" w:rsidR="007C2989" w:rsidRPr="00F46BD6" w:rsidRDefault="007C2989" w:rsidP="00D97A8E">
      <w:pPr>
        <w:pStyle w:val="Akapitzlist"/>
        <w:numPr>
          <w:ilvl w:val="1"/>
          <w:numId w:val="9"/>
        </w:numPr>
        <w:jc w:val="both"/>
        <w:rPr>
          <w:b/>
          <w:color w:val="000000" w:themeColor="text1"/>
          <w:sz w:val="24"/>
          <w:szCs w:val="24"/>
        </w:rPr>
      </w:pPr>
      <w:r w:rsidRPr="00F46BD6">
        <w:rPr>
          <w:rFonts w:eastAsia="Times New Roman"/>
          <w:color w:val="000000" w:themeColor="text1"/>
          <w:sz w:val="24"/>
          <w:szCs w:val="24"/>
          <w:lang w:eastAsia="pl-PL"/>
        </w:rPr>
        <w:t>Wykonawca zobowiązuje się do posiadania przez okres realizowania umowy, aktualnych dokumentów:</w:t>
      </w:r>
    </w:p>
    <w:p w14:paraId="3394D9C9" w14:textId="360F2E5A" w:rsidR="00D97A8E" w:rsidRDefault="007C2989" w:rsidP="00D97A8E">
      <w:pPr>
        <w:pStyle w:val="Akapitzlist"/>
        <w:numPr>
          <w:ilvl w:val="0"/>
          <w:numId w:val="13"/>
        </w:numPr>
        <w:spacing w:after="0" w:line="240" w:lineRule="auto"/>
        <w:jc w:val="both"/>
        <w:rPr>
          <w:rFonts w:eastAsia="Times New Roman"/>
          <w:color w:val="000000" w:themeColor="text1"/>
          <w:sz w:val="24"/>
          <w:szCs w:val="24"/>
          <w:lang w:eastAsia="pl-PL"/>
        </w:rPr>
      </w:pPr>
      <w:r w:rsidRPr="00D97A8E">
        <w:rPr>
          <w:rFonts w:eastAsia="Times New Roman"/>
          <w:color w:val="000000" w:themeColor="text1"/>
          <w:sz w:val="24"/>
          <w:szCs w:val="24"/>
          <w:lang w:eastAsia="pl-PL"/>
        </w:rPr>
        <w:t xml:space="preserve">potwierdzenia wdrożonego systemu HACCP w formie certyfikatu systemu HACCP wydanego przez firmy posiadające akredytacje i uprawnienia Polskiego Centrum Akredytacji z siedzibą w Warszawie lub krajowej organizacji akredytacyjnej dla danego kraju </w:t>
      </w:r>
      <w:r w:rsidR="00981329" w:rsidRPr="00981329">
        <w:rPr>
          <w:rFonts w:eastAsia="Times New Roman"/>
          <w:b/>
          <w:color w:val="000000" w:themeColor="text1"/>
          <w:sz w:val="24"/>
          <w:szCs w:val="24"/>
          <w:lang w:eastAsia="pl-PL"/>
        </w:rPr>
        <w:t>lub</w:t>
      </w:r>
      <w:r w:rsidRPr="00981329">
        <w:rPr>
          <w:rFonts w:eastAsia="Times New Roman"/>
          <w:b/>
          <w:color w:val="000000" w:themeColor="text1"/>
          <w:sz w:val="24"/>
          <w:szCs w:val="24"/>
          <w:lang w:eastAsia="pl-PL"/>
        </w:rPr>
        <w:t xml:space="preserve"> </w:t>
      </w:r>
      <w:r w:rsidRPr="00D97A8E">
        <w:rPr>
          <w:rFonts w:eastAsia="Times New Roman"/>
          <w:color w:val="000000" w:themeColor="text1"/>
          <w:sz w:val="24"/>
          <w:szCs w:val="24"/>
          <w:lang w:eastAsia="pl-PL"/>
        </w:rPr>
        <w:t xml:space="preserve">zaświadczenia właściwego organu Państwowej Inspekcji Sanitarnej </w:t>
      </w:r>
      <w:r w:rsidRPr="00981329">
        <w:rPr>
          <w:rFonts w:eastAsia="Times New Roman"/>
          <w:b/>
          <w:color w:val="000000" w:themeColor="text1"/>
          <w:sz w:val="24"/>
          <w:szCs w:val="24"/>
          <w:lang w:eastAsia="pl-PL"/>
        </w:rPr>
        <w:t>lub</w:t>
      </w:r>
      <w:r w:rsidR="00981329">
        <w:rPr>
          <w:rFonts w:eastAsia="Times New Roman"/>
          <w:color w:val="000000" w:themeColor="text1"/>
          <w:sz w:val="24"/>
          <w:szCs w:val="24"/>
          <w:lang w:eastAsia="pl-PL"/>
        </w:rPr>
        <w:t xml:space="preserve"> organu Inspekcji </w:t>
      </w:r>
      <w:r w:rsidRPr="00D97A8E">
        <w:rPr>
          <w:rFonts w:eastAsia="Times New Roman"/>
          <w:color w:val="000000" w:themeColor="text1"/>
          <w:sz w:val="24"/>
          <w:szCs w:val="24"/>
          <w:lang w:eastAsia="pl-PL"/>
        </w:rPr>
        <w:t>Weterynaryjnej o sprawowaniu nadzoru nad stosowaniem wdrożonego systemu HACCP,</w:t>
      </w:r>
    </w:p>
    <w:p w14:paraId="0AFF4F29" w14:textId="0F1655EC" w:rsidR="004D089A" w:rsidRPr="00C93132" w:rsidRDefault="00C93132" w:rsidP="00C93132">
      <w:pPr>
        <w:pStyle w:val="Akapitzlist"/>
        <w:numPr>
          <w:ilvl w:val="0"/>
          <w:numId w:val="13"/>
        </w:numPr>
        <w:spacing w:after="0" w:line="240" w:lineRule="auto"/>
        <w:jc w:val="both"/>
        <w:rPr>
          <w:rFonts w:eastAsia="Times New Roman"/>
          <w:color w:val="000000" w:themeColor="text1"/>
          <w:sz w:val="24"/>
          <w:szCs w:val="24"/>
          <w:lang w:eastAsia="pl-PL"/>
        </w:rPr>
      </w:pPr>
      <w:r w:rsidRPr="00C93132">
        <w:rPr>
          <w:rFonts w:eastAsia="Times New Roman"/>
          <w:color w:val="000000" w:themeColor="text1"/>
          <w:sz w:val="24"/>
          <w:szCs w:val="24"/>
          <w:lang w:eastAsia="pl-PL"/>
        </w:rPr>
        <w:lastRenderedPageBreak/>
        <w:t xml:space="preserve">aktualnej decyzji administracyjnej właściwego powiatowego lekarza weterynarii w sprawie zatwierdzania, warunkowego zatwierdzania albo przedłużania warunkowego zatwierdzania zakładów, zgodnie z art. 20 ust. 1 pkt 2 ustawy z dnia 16 grudnia 2005r. o produktach pochodzenia zwierzęcego (Dz. U. z 2006r. Nr 17, poz. 127 ze zm.), lub właściwego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 1 pkt 2 ustawy z dnia 25 sierpnia 2006r. o bezpieczeństwie żywności i żywienia tj. Dz. U. z 2020r., poz.2021, lub zaświadczenie o wpisie do rejestru zakładów zgodne z rozporządzeniem Ministra Zdrowia z dnia 29 maja 2007r., w sprawie wzorów dokumentów dotyczących rejestracji i zatwierdzania zakładów produkujących lub wprowadzających do obrotu żywność podlegających urzędowej kontroli Państwowej Inspekcji Sanitarnej (Dz. U. Nr 106, poz. 730 ze zm.). Wykonawca zobowiązuje się do przedstawienia dokumentów określonych </w:t>
      </w:r>
      <w:r w:rsidRPr="00C93132">
        <w:rPr>
          <w:rFonts w:eastAsia="Times New Roman"/>
          <w:color w:val="000000" w:themeColor="text1"/>
          <w:sz w:val="24"/>
          <w:szCs w:val="24"/>
          <w:lang w:eastAsia="pl-PL"/>
        </w:rPr>
        <w:br/>
        <w:t>w ust. 1 na każde żądanie Zamawiającego.</w:t>
      </w:r>
    </w:p>
    <w:p w14:paraId="4D2A946D" w14:textId="122541F9" w:rsidR="004D089A" w:rsidRPr="00D97A8E" w:rsidRDefault="007C2989" w:rsidP="00D97A8E">
      <w:pPr>
        <w:pStyle w:val="Akapitzlist"/>
        <w:numPr>
          <w:ilvl w:val="1"/>
          <w:numId w:val="9"/>
        </w:numPr>
        <w:spacing w:after="0" w:line="240" w:lineRule="auto"/>
        <w:ind w:left="993" w:hanging="785"/>
        <w:jc w:val="both"/>
        <w:rPr>
          <w:rFonts w:eastAsia="Times New Roman"/>
          <w:color w:val="000000" w:themeColor="text1"/>
          <w:sz w:val="24"/>
          <w:szCs w:val="24"/>
          <w:lang w:eastAsia="pl-PL"/>
        </w:rPr>
      </w:pPr>
      <w:r w:rsidRPr="00F46BD6">
        <w:rPr>
          <w:rFonts w:eastAsia="Times New Roman"/>
          <w:color w:val="000000" w:themeColor="text1"/>
          <w:sz w:val="24"/>
          <w:szCs w:val="24"/>
          <w:lang w:eastAsia="pl-PL"/>
        </w:rPr>
        <w:t xml:space="preserve">Wykonawca zobowiązuje się, że każda osoba realizująca przedmiot umowy </w:t>
      </w:r>
      <w:r w:rsidR="009A2817">
        <w:rPr>
          <w:rFonts w:eastAsia="Times New Roman"/>
          <w:color w:val="000000" w:themeColor="text1"/>
          <w:sz w:val="24"/>
          <w:szCs w:val="24"/>
          <w:lang w:eastAsia="pl-PL"/>
        </w:rPr>
        <w:br/>
      </w:r>
      <w:r w:rsidRPr="00F46BD6">
        <w:rPr>
          <w:rFonts w:eastAsia="Times New Roman"/>
          <w:color w:val="000000" w:themeColor="text1"/>
          <w:sz w:val="24"/>
          <w:szCs w:val="24"/>
          <w:lang w:eastAsia="pl-PL"/>
        </w:rPr>
        <w:t>na terenie jednostki wojskowej musi posiadać obywatelstwo polskie.</w:t>
      </w:r>
      <w:r w:rsidR="004D089A" w:rsidRPr="00F46BD6">
        <w:rPr>
          <w:rFonts w:eastAsia="Times New Roman"/>
          <w:color w:val="000000" w:themeColor="text1"/>
          <w:sz w:val="24"/>
          <w:szCs w:val="24"/>
          <w:lang w:eastAsia="pl-PL"/>
        </w:rPr>
        <w:t xml:space="preserve"> </w:t>
      </w:r>
      <w:r w:rsidR="00616D7B" w:rsidRPr="00D97A8E">
        <w:rPr>
          <w:rFonts w:eastAsia="Times New Roman"/>
          <w:color w:val="000000" w:themeColor="text1"/>
          <w:sz w:val="24"/>
          <w:szCs w:val="24"/>
          <w:lang w:eastAsia="pl-PL"/>
        </w:rPr>
        <w:t>Wykonawca lub pracownicy Wykonawcy, nieposiadający obywatelstwa polskiego, mogą wejść na teren jednostki wojskowej, celem realizacji przedmiotu umowy, wyłącznie po uzyskaniu pisemnej, pozytywnej opinii Dyrektora Zarządu operacyjnego</w:t>
      </w:r>
      <w:r w:rsidR="009A2817">
        <w:rPr>
          <w:rFonts w:eastAsia="Times New Roman"/>
          <w:color w:val="000000" w:themeColor="text1"/>
          <w:sz w:val="24"/>
          <w:szCs w:val="24"/>
          <w:lang w:eastAsia="pl-PL"/>
        </w:rPr>
        <w:t xml:space="preserve"> Służby Kontrwywiadu Wojskowego</w:t>
      </w:r>
      <w:r w:rsidR="009B5A6B">
        <w:rPr>
          <w:rFonts w:eastAsia="Times New Roman"/>
          <w:color w:val="000000" w:themeColor="text1"/>
          <w:sz w:val="24"/>
          <w:szCs w:val="24"/>
          <w:lang w:eastAsia="pl-PL"/>
        </w:rPr>
        <w:t xml:space="preserve"> </w:t>
      </w:r>
      <w:r w:rsidR="00C93132">
        <w:rPr>
          <w:rFonts w:eastAsia="Times New Roman"/>
          <w:sz w:val="24"/>
          <w:szCs w:val="24"/>
          <w:lang w:eastAsia="pl-PL"/>
        </w:rPr>
        <w:t>(podstawa prawna: Decyzja nr 107</w:t>
      </w:r>
      <w:r w:rsidR="009B5A6B" w:rsidRPr="00E077C5">
        <w:rPr>
          <w:rFonts w:eastAsia="Times New Roman"/>
          <w:sz w:val="24"/>
          <w:szCs w:val="24"/>
          <w:lang w:eastAsia="pl-PL"/>
        </w:rPr>
        <w:t>/MON Mi</w:t>
      </w:r>
      <w:r w:rsidR="00C93132">
        <w:rPr>
          <w:rFonts w:eastAsia="Times New Roman"/>
          <w:sz w:val="24"/>
          <w:szCs w:val="24"/>
          <w:lang w:eastAsia="pl-PL"/>
        </w:rPr>
        <w:t>nistra Obrony Narodowej z dn. 18.08.2021</w:t>
      </w:r>
      <w:r w:rsidR="009B5A6B" w:rsidRPr="00E077C5">
        <w:rPr>
          <w:rFonts w:eastAsia="Times New Roman"/>
          <w:sz w:val="24"/>
          <w:szCs w:val="24"/>
          <w:lang w:eastAsia="pl-PL"/>
        </w:rPr>
        <w:t>r. w sprawie planowania i realizowania przedsięwzięć współpracy międzynarodowej w resorcie obrony narodowej</w:t>
      </w:r>
      <w:r w:rsidR="009B5A6B">
        <w:rPr>
          <w:rFonts w:eastAsia="Times New Roman"/>
          <w:sz w:val="24"/>
          <w:szCs w:val="24"/>
          <w:lang w:eastAsia="pl-PL"/>
        </w:rPr>
        <w:t>)</w:t>
      </w:r>
      <w:r w:rsidR="009A2817">
        <w:rPr>
          <w:rFonts w:eastAsia="Times New Roman"/>
          <w:color w:val="000000" w:themeColor="text1"/>
          <w:sz w:val="24"/>
          <w:szCs w:val="24"/>
          <w:lang w:eastAsia="pl-PL"/>
        </w:rPr>
        <w:t>.</w:t>
      </w:r>
    </w:p>
    <w:p w14:paraId="758CF3BC" w14:textId="77777777" w:rsidR="007C2989" w:rsidRPr="00F46BD6" w:rsidRDefault="007C2989" w:rsidP="00D97A8E">
      <w:pPr>
        <w:pStyle w:val="Akapitzlist"/>
        <w:numPr>
          <w:ilvl w:val="1"/>
          <w:numId w:val="9"/>
        </w:numPr>
        <w:spacing w:after="0" w:line="240" w:lineRule="auto"/>
        <w:ind w:left="993" w:hanging="709"/>
        <w:jc w:val="both"/>
        <w:rPr>
          <w:rFonts w:eastAsia="Times New Roman"/>
          <w:color w:val="000000" w:themeColor="text1"/>
          <w:sz w:val="24"/>
          <w:szCs w:val="24"/>
          <w:lang w:eastAsia="pl-PL"/>
        </w:rPr>
      </w:pPr>
      <w:r w:rsidRPr="00F46BD6">
        <w:rPr>
          <w:rFonts w:eastAsia="Times New Roman"/>
          <w:color w:val="000000" w:themeColor="text1"/>
          <w:sz w:val="24"/>
          <w:szCs w:val="24"/>
          <w:lang w:eastAsia="pl-PL"/>
        </w:rPr>
        <w:t>Przedmiot umowy powinien odpowiadać następującym wymogom:</w:t>
      </w:r>
    </w:p>
    <w:p w14:paraId="3B6F60D8" w14:textId="77777777" w:rsidR="004D089A" w:rsidRPr="00F46BD6" w:rsidRDefault="007C2989" w:rsidP="008A3460">
      <w:pPr>
        <w:pStyle w:val="Akapitzlist"/>
        <w:numPr>
          <w:ilvl w:val="2"/>
          <w:numId w:val="9"/>
        </w:numPr>
        <w:spacing w:after="0" w:line="240" w:lineRule="auto"/>
        <w:jc w:val="both"/>
        <w:rPr>
          <w:rFonts w:eastAsia="Times New Roman"/>
          <w:color w:val="000000" w:themeColor="text1"/>
          <w:sz w:val="24"/>
          <w:szCs w:val="24"/>
        </w:rPr>
      </w:pPr>
      <w:r w:rsidRPr="00F46BD6">
        <w:rPr>
          <w:rFonts w:eastAsia="Times New Roman"/>
          <w:color w:val="000000" w:themeColor="text1"/>
          <w:sz w:val="24"/>
          <w:szCs w:val="24"/>
          <w:lang w:eastAsia="pl-PL"/>
        </w:rPr>
        <w:t>będzie I klasy (jakości);</w:t>
      </w:r>
    </w:p>
    <w:p w14:paraId="3AE30786" w14:textId="77777777" w:rsidR="007C2989" w:rsidRPr="00F46BD6" w:rsidRDefault="007C2989" w:rsidP="008A3460">
      <w:pPr>
        <w:pStyle w:val="Akapitzlist"/>
        <w:numPr>
          <w:ilvl w:val="2"/>
          <w:numId w:val="9"/>
        </w:numPr>
        <w:spacing w:after="0" w:line="240" w:lineRule="auto"/>
        <w:jc w:val="both"/>
        <w:rPr>
          <w:rFonts w:eastAsia="Times New Roman"/>
          <w:color w:val="000000" w:themeColor="text1"/>
          <w:sz w:val="24"/>
          <w:szCs w:val="24"/>
        </w:rPr>
      </w:pPr>
      <w:r w:rsidRPr="00F46BD6">
        <w:rPr>
          <w:rFonts w:eastAsia="Times New Roman"/>
          <w:color w:val="000000" w:themeColor="text1"/>
          <w:sz w:val="24"/>
          <w:szCs w:val="24"/>
          <w:lang w:eastAsia="pl-PL"/>
        </w:rPr>
        <w:t>przy ich produkcji i obrocie zachowane będą zasady przewidziane w przepisach:</w:t>
      </w:r>
    </w:p>
    <w:p w14:paraId="3C1BDDC7" w14:textId="77777777" w:rsidR="00C93132" w:rsidRPr="00F46BD6" w:rsidRDefault="00C93132" w:rsidP="00C93132">
      <w:pPr>
        <w:numPr>
          <w:ilvl w:val="2"/>
          <w:numId w:val="4"/>
        </w:numPr>
        <w:autoSpaceDE w:val="0"/>
        <w:autoSpaceDN w:val="0"/>
        <w:adjustRightInd w:val="0"/>
        <w:spacing w:after="0" w:line="240" w:lineRule="auto"/>
        <w:ind w:left="1418" w:hanging="425"/>
        <w:jc w:val="both"/>
        <w:rPr>
          <w:rFonts w:eastAsia="Times New Roman"/>
          <w:color w:val="000000" w:themeColor="text1"/>
          <w:sz w:val="24"/>
          <w:szCs w:val="24"/>
        </w:rPr>
      </w:pPr>
      <w:r w:rsidRPr="00F46BD6">
        <w:rPr>
          <w:rFonts w:eastAsia="Times New Roman"/>
          <w:color w:val="000000" w:themeColor="text1"/>
          <w:sz w:val="24"/>
          <w:szCs w:val="24"/>
        </w:rPr>
        <w:t xml:space="preserve">ustawy z dnia 25 sierpnia 2006 r. </w:t>
      </w:r>
      <w:r w:rsidRPr="00F46BD6">
        <w:rPr>
          <w:rFonts w:eastAsia="Times New Roman"/>
          <w:bCs/>
          <w:iCs/>
          <w:color w:val="000000" w:themeColor="text1"/>
          <w:sz w:val="24"/>
          <w:szCs w:val="24"/>
        </w:rPr>
        <w:t>o bezpiecze</w:t>
      </w:r>
      <w:r w:rsidRPr="00F46BD6">
        <w:rPr>
          <w:rFonts w:eastAsia="Times New Roman"/>
          <w:color w:val="000000" w:themeColor="text1"/>
          <w:sz w:val="24"/>
          <w:szCs w:val="24"/>
        </w:rPr>
        <w:t>ń</w:t>
      </w:r>
      <w:r w:rsidRPr="00F46BD6">
        <w:rPr>
          <w:rFonts w:eastAsia="Times New Roman"/>
          <w:bCs/>
          <w:iCs/>
          <w:color w:val="000000" w:themeColor="text1"/>
          <w:sz w:val="24"/>
          <w:szCs w:val="24"/>
        </w:rPr>
        <w:t xml:space="preserve">stwie </w:t>
      </w:r>
      <w:r w:rsidRPr="00F46BD6">
        <w:rPr>
          <w:rFonts w:eastAsia="Times New Roman"/>
          <w:color w:val="000000" w:themeColor="text1"/>
          <w:sz w:val="24"/>
          <w:szCs w:val="24"/>
        </w:rPr>
        <w:t>ż</w:t>
      </w:r>
      <w:r w:rsidRPr="00F46BD6">
        <w:rPr>
          <w:rFonts w:eastAsia="Times New Roman"/>
          <w:bCs/>
          <w:iCs/>
          <w:color w:val="000000" w:themeColor="text1"/>
          <w:sz w:val="24"/>
          <w:szCs w:val="24"/>
        </w:rPr>
        <w:t>ywno</w:t>
      </w:r>
      <w:r w:rsidRPr="00F46BD6">
        <w:rPr>
          <w:rFonts w:eastAsia="Times New Roman"/>
          <w:color w:val="000000" w:themeColor="text1"/>
          <w:sz w:val="24"/>
          <w:szCs w:val="24"/>
        </w:rPr>
        <w:t>ś</w:t>
      </w:r>
      <w:r w:rsidRPr="00F46BD6">
        <w:rPr>
          <w:rFonts w:eastAsia="Times New Roman"/>
          <w:bCs/>
          <w:iCs/>
          <w:color w:val="000000" w:themeColor="text1"/>
          <w:sz w:val="24"/>
          <w:szCs w:val="24"/>
        </w:rPr>
        <w:t xml:space="preserve">ci i </w:t>
      </w:r>
      <w:r w:rsidRPr="00F46BD6">
        <w:rPr>
          <w:rFonts w:eastAsia="Times New Roman"/>
          <w:color w:val="000000" w:themeColor="text1"/>
          <w:sz w:val="24"/>
          <w:szCs w:val="24"/>
        </w:rPr>
        <w:t>ż</w:t>
      </w:r>
      <w:r w:rsidRPr="00F46BD6">
        <w:rPr>
          <w:rFonts w:eastAsia="Times New Roman"/>
          <w:bCs/>
          <w:iCs/>
          <w:color w:val="000000" w:themeColor="text1"/>
          <w:sz w:val="24"/>
          <w:szCs w:val="24"/>
        </w:rPr>
        <w:t xml:space="preserve">ywienia </w:t>
      </w:r>
      <w:r>
        <w:rPr>
          <w:rFonts w:eastAsia="Times New Roman"/>
          <w:color w:val="000000" w:themeColor="text1"/>
          <w:sz w:val="24"/>
          <w:szCs w:val="24"/>
        </w:rPr>
        <w:t>(t.j. Dz.U. z 2020</w:t>
      </w:r>
      <w:r w:rsidRPr="00F46BD6">
        <w:rPr>
          <w:rFonts w:eastAsia="Times New Roman"/>
          <w:color w:val="000000" w:themeColor="text1"/>
          <w:sz w:val="24"/>
          <w:szCs w:val="24"/>
        </w:rPr>
        <w:t xml:space="preserve"> r. </w:t>
      </w:r>
      <w:r>
        <w:rPr>
          <w:rFonts w:eastAsia="Times New Roman"/>
          <w:color w:val="000000" w:themeColor="text1"/>
          <w:sz w:val="24"/>
          <w:szCs w:val="24"/>
        </w:rPr>
        <w:t>poz. 2021</w:t>
      </w:r>
      <w:r w:rsidRPr="00F46BD6">
        <w:rPr>
          <w:rFonts w:eastAsia="Times New Roman"/>
          <w:color w:val="000000" w:themeColor="text1"/>
          <w:sz w:val="24"/>
          <w:szCs w:val="24"/>
        </w:rPr>
        <w:t xml:space="preserve">); i aktów wykonawczych do tej ustawy oraz rozporządzenia (WE) Nr 178/2002 Parlamentu Europejskiego i Rady z dnia 28 stycznia 2002 r. </w:t>
      </w:r>
      <w:r w:rsidRPr="00F46BD6">
        <w:rPr>
          <w:rFonts w:eastAsia="Times New Roman"/>
          <w:bCs/>
          <w:iCs/>
          <w:color w:val="000000" w:themeColor="text1"/>
          <w:sz w:val="24"/>
          <w:szCs w:val="24"/>
        </w:rPr>
        <w:t>ustanawiaj</w:t>
      </w:r>
      <w:r w:rsidRPr="00F46BD6">
        <w:rPr>
          <w:rFonts w:eastAsia="Times New Roman"/>
          <w:color w:val="000000" w:themeColor="text1"/>
          <w:sz w:val="24"/>
          <w:szCs w:val="24"/>
        </w:rPr>
        <w:t>ą</w:t>
      </w:r>
      <w:r w:rsidRPr="00F46BD6">
        <w:rPr>
          <w:rFonts w:eastAsia="Times New Roman"/>
          <w:bCs/>
          <w:iCs/>
          <w:color w:val="000000" w:themeColor="text1"/>
          <w:sz w:val="24"/>
          <w:szCs w:val="24"/>
        </w:rPr>
        <w:t xml:space="preserve">ce ogólne zasady i wymagania prawa </w:t>
      </w:r>
      <w:r w:rsidRPr="00F46BD6">
        <w:rPr>
          <w:rFonts w:eastAsia="Times New Roman"/>
          <w:color w:val="000000" w:themeColor="text1"/>
          <w:sz w:val="24"/>
          <w:szCs w:val="24"/>
        </w:rPr>
        <w:t>ż</w:t>
      </w:r>
      <w:r w:rsidRPr="00F46BD6">
        <w:rPr>
          <w:rFonts w:eastAsia="Times New Roman"/>
          <w:bCs/>
          <w:iCs/>
          <w:color w:val="000000" w:themeColor="text1"/>
          <w:sz w:val="24"/>
          <w:szCs w:val="24"/>
        </w:rPr>
        <w:t>ywno</w:t>
      </w:r>
      <w:r w:rsidRPr="00F46BD6">
        <w:rPr>
          <w:rFonts w:eastAsia="Times New Roman"/>
          <w:color w:val="000000" w:themeColor="text1"/>
          <w:sz w:val="24"/>
          <w:szCs w:val="24"/>
        </w:rPr>
        <w:t>ś</w:t>
      </w:r>
      <w:r w:rsidRPr="00F46BD6">
        <w:rPr>
          <w:rFonts w:eastAsia="Times New Roman"/>
          <w:bCs/>
          <w:iCs/>
          <w:color w:val="000000" w:themeColor="text1"/>
          <w:sz w:val="24"/>
          <w:szCs w:val="24"/>
        </w:rPr>
        <w:t>ciowego, powołuj</w:t>
      </w:r>
      <w:r w:rsidRPr="00F46BD6">
        <w:rPr>
          <w:rFonts w:eastAsia="Times New Roman"/>
          <w:color w:val="000000" w:themeColor="text1"/>
          <w:sz w:val="24"/>
          <w:szCs w:val="24"/>
        </w:rPr>
        <w:t>ą</w:t>
      </w:r>
      <w:r w:rsidRPr="00F46BD6">
        <w:rPr>
          <w:rFonts w:eastAsia="Times New Roman"/>
          <w:bCs/>
          <w:iCs/>
          <w:color w:val="000000" w:themeColor="text1"/>
          <w:sz w:val="24"/>
          <w:szCs w:val="24"/>
        </w:rPr>
        <w:t>ce Europejski Urz</w:t>
      </w:r>
      <w:r w:rsidRPr="00F46BD6">
        <w:rPr>
          <w:rFonts w:eastAsia="Times New Roman"/>
          <w:color w:val="000000" w:themeColor="text1"/>
          <w:sz w:val="24"/>
          <w:szCs w:val="24"/>
        </w:rPr>
        <w:t>ą</w:t>
      </w:r>
      <w:r w:rsidRPr="00F46BD6">
        <w:rPr>
          <w:rFonts w:eastAsia="Times New Roman"/>
          <w:bCs/>
          <w:iCs/>
          <w:color w:val="000000" w:themeColor="text1"/>
          <w:sz w:val="24"/>
          <w:szCs w:val="24"/>
        </w:rPr>
        <w:t>d ds. Bezpiecze</w:t>
      </w:r>
      <w:r w:rsidRPr="00F46BD6">
        <w:rPr>
          <w:rFonts w:eastAsia="Times New Roman"/>
          <w:color w:val="000000" w:themeColor="text1"/>
          <w:sz w:val="24"/>
          <w:szCs w:val="24"/>
        </w:rPr>
        <w:t>ń</w:t>
      </w:r>
      <w:r w:rsidRPr="00F46BD6">
        <w:rPr>
          <w:rFonts w:eastAsia="Times New Roman"/>
          <w:bCs/>
          <w:iCs/>
          <w:color w:val="000000" w:themeColor="text1"/>
          <w:sz w:val="24"/>
          <w:szCs w:val="24"/>
        </w:rPr>
        <w:t>stwa Żywno</w:t>
      </w:r>
      <w:r w:rsidRPr="00F46BD6">
        <w:rPr>
          <w:rFonts w:eastAsia="Times New Roman"/>
          <w:color w:val="000000" w:themeColor="text1"/>
          <w:sz w:val="24"/>
          <w:szCs w:val="24"/>
        </w:rPr>
        <w:t>ś</w:t>
      </w:r>
      <w:r w:rsidRPr="00F46BD6">
        <w:rPr>
          <w:rFonts w:eastAsia="Times New Roman"/>
          <w:bCs/>
          <w:iCs/>
          <w:color w:val="000000" w:themeColor="text1"/>
          <w:sz w:val="24"/>
          <w:szCs w:val="24"/>
        </w:rPr>
        <w:t>ci oraz ustanawiaj</w:t>
      </w:r>
      <w:r w:rsidRPr="00F46BD6">
        <w:rPr>
          <w:rFonts w:eastAsia="Times New Roman"/>
          <w:color w:val="000000" w:themeColor="text1"/>
          <w:sz w:val="24"/>
          <w:szCs w:val="24"/>
        </w:rPr>
        <w:t>ą</w:t>
      </w:r>
      <w:r w:rsidRPr="00F46BD6">
        <w:rPr>
          <w:rFonts w:eastAsia="Times New Roman"/>
          <w:bCs/>
          <w:iCs/>
          <w:color w:val="000000" w:themeColor="text1"/>
          <w:sz w:val="24"/>
          <w:szCs w:val="24"/>
        </w:rPr>
        <w:t>ce procedury w zakresie bezpiecze</w:t>
      </w:r>
      <w:r w:rsidRPr="00F46BD6">
        <w:rPr>
          <w:rFonts w:eastAsia="Times New Roman"/>
          <w:color w:val="000000" w:themeColor="text1"/>
          <w:sz w:val="24"/>
          <w:szCs w:val="24"/>
        </w:rPr>
        <w:t>ń</w:t>
      </w:r>
      <w:r w:rsidRPr="00F46BD6">
        <w:rPr>
          <w:rFonts w:eastAsia="Times New Roman"/>
          <w:bCs/>
          <w:iCs/>
          <w:color w:val="000000" w:themeColor="text1"/>
          <w:sz w:val="24"/>
          <w:szCs w:val="24"/>
        </w:rPr>
        <w:t xml:space="preserve">stwa </w:t>
      </w:r>
      <w:r w:rsidRPr="00F46BD6">
        <w:rPr>
          <w:rFonts w:eastAsia="Times New Roman"/>
          <w:color w:val="000000" w:themeColor="text1"/>
          <w:sz w:val="24"/>
          <w:szCs w:val="24"/>
        </w:rPr>
        <w:t>ż</w:t>
      </w:r>
      <w:r w:rsidRPr="00F46BD6">
        <w:rPr>
          <w:rFonts w:eastAsia="Times New Roman"/>
          <w:bCs/>
          <w:iCs/>
          <w:color w:val="000000" w:themeColor="text1"/>
          <w:sz w:val="24"/>
          <w:szCs w:val="24"/>
        </w:rPr>
        <w:t>ywno</w:t>
      </w:r>
      <w:r w:rsidRPr="00F46BD6">
        <w:rPr>
          <w:rFonts w:eastAsia="Times New Roman"/>
          <w:color w:val="000000" w:themeColor="text1"/>
          <w:sz w:val="24"/>
          <w:szCs w:val="24"/>
        </w:rPr>
        <w:t>ś</w:t>
      </w:r>
      <w:r w:rsidRPr="00F46BD6">
        <w:rPr>
          <w:rFonts w:eastAsia="Times New Roman"/>
          <w:bCs/>
          <w:iCs/>
          <w:color w:val="000000" w:themeColor="text1"/>
          <w:sz w:val="24"/>
          <w:szCs w:val="24"/>
        </w:rPr>
        <w:t xml:space="preserve">ci </w:t>
      </w:r>
      <w:r w:rsidRPr="00F46BD6">
        <w:rPr>
          <w:rFonts w:eastAsia="Times New Roman"/>
          <w:color w:val="000000" w:themeColor="text1"/>
          <w:sz w:val="24"/>
          <w:szCs w:val="24"/>
        </w:rPr>
        <w:t>(Urz. L 31 z 1.2 2002 r. str.1-24;Polskie wydanie specjalne; Rozdział 15 tom 06 P.463-486 ze zm.,);</w:t>
      </w:r>
    </w:p>
    <w:p w14:paraId="72BA1256" w14:textId="77777777" w:rsidR="00C93132" w:rsidRPr="00F46BD6" w:rsidRDefault="00C93132" w:rsidP="00C93132">
      <w:pPr>
        <w:numPr>
          <w:ilvl w:val="2"/>
          <w:numId w:val="4"/>
        </w:numPr>
        <w:autoSpaceDE w:val="0"/>
        <w:autoSpaceDN w:val="0"/>
        <w:adjustRightInd w:val="0"/>
        <w:spacing w:after="0" w:line="240" w:lineRule="auto"/>
        <w:ind w:left="1418" w:hanging="425"/>
        <w:jc w:val="both"/>
        <w:rPr>
          <w:rFonts w:eastAsia="Times New Roman"/>
          <w:color w:val="000000" w:themeColor="text1"/>
          <w:sz w:val="24"/>
          <w:szCs w:val="24"/>
        </w:rPr>
      </w:pPr>
      <w:r w:rsidRPr="00F46BD6">
        <w:rPr>
          <w:rFonts w:eastAsia="Times New Roman"/>
          <w:color w:val="000000" w:themeColor="text1"/>
          <w:sz w:val="24"/>
          <w:szCs w:val="24"/>
        </w:rPr>
        <w:t xml:space="preserve">rozporządzenia (WE) Nr 1935/2004 Parlamentu Europejskiego i Rady z dnia 27 października 2004 r. </w:t>
      </w:r>
      <w:r w:rsidRPr="00F46BD6">
        <w:rPr>
          <w:rFonts w:eastAsia="Times New Roman"/>
          <w:bCs/>
          <w:iCs/>
          <w:color w:val="000000" w:themeColor="text1"/>
          <w:sz w:val="24"/>
          <w:szCs w:val="24"/>
        </w:rPr>
        <w:t xml:space="preserve">w sprawie materiałów i wyrobów przeznaczonych do kontaktu z </w:t>
      </w:r>
      <w:r w:rsidRPr="00F46BD6">
        <w:rPr>
          <w:rFonts w:eastAsia="Times New Roman"/>
          <w:color w:val="000000" w:themeColor="text1"/>
          <w:sz w:val="24"/>
          <w:szCs w:val="24"/>
        </w:rPr>
        <w:t>ż</w:t>
      </w:r>
      <w:r w:rsidRPr="00F46BD6">
        <w:rPr>
          <w:rFonts w:eastAsia="Times New Roman"/>
          <w:bCs/>
          <w:iCs/>
          <w:color w:val="000000" w:themeColor="text1"/>
          <w:sz w:val="24"/>
          <w:szCs w:val="24"/>
        </w:rPr>
        <w:t>ywno</w:t>
      </w:r>
      <w:r w:rsidRPr="00F46BD6">
        <w:rPr>
          <w:rFonts w:eastAsia="Times New Roman"/>
          <w:color w:val="000000" w:themeColor="text1"/>
          <w:sz w:val="24"/>
          <w:szCs w:val="24"/>
        </w:rPr>
        <w:t>ś</w:t>
      </w:r>
      <w:r w:rsidRPr="00F46BD6">
        <w:rPr>
          <w:rFonts w:eastAsia="Times New Roman"/>
          <w:bCs/>
          <w:iCs/>
          <w:color w:val="000000" w:themeColor="text1"/>
          <w:sz w:val="24"/>
          <w:szCs w:val="24"/>
        </w:rPr>
        <w:t>ci</w:t>
      </w:r>
      <w:r w:rsidRPr="00F46BD6">
        <w:rPr>
          <w:rFonts w:eastAsia="Times New Roman"/>
          <w:color w:val="000000" w:themeColor="text1"/>
          <w:sz w:val="24"/>
          <w:szCs w:val="24"/>
        </w:rPr>
        <w:t xml:space="preserve">ą </w:t>
      </w:r>
      <w:r w:rsidRPr="00F46BD6">
        <w:rPr>
          <w:rFonts w:eastAsia="Times New Roman"/>
          <w:bCs/>
          <w:iCs/>
          <w:color w:val="000000" w:themeColor="text1"/>
          <w:sz w:val="24"/>
          <w:szCs w:val="24"/>
        </w:rPr>
        <w:t>oraz uchylaj</w:t>
      </w:r>
      <w:r w:rsidRPr="00F46BD6">
        <w:rPr>
          <w:rFonts w:eastAsia="Times New Roman"/>
          <w:color w:val="000000" w:themeColor="text1"/>
          <w:sz w:val="24"/>
          <w:szCs w:val="24"/>
        </w:rPr>
        <w:t>ą</w:t>
      </w:r>
      <w:r w:rsidRPr="00F46BD6">
        <w:rPr>
          <w:rFonts w:eastAsia="Times New Roman"/>
          <w:bCs/>
          <w:iCs/>
          <w:color w:val="000000" w:themeColor="text1"/>
          <w:sz w:val="24"/>
          <w:szCs w:val="24"/>
        </w:rPr>
        <w:t>ce Dyrektywy 80</w:t>
      </w:r>
      <w:r>
        <w:rPr>
          <w:rFonts w:eastAsia="Times New Roman"/>
          <w:bCs/>
          <w:iCs/>
          <w:color w:val="000000" w:themeColor="text1"/>
          <w:sz w:val="24"/>
          <w:szCs w:val="24"/>
        </w:rPr>
        <w:t>/590/EWG i 89/109/EWG (Dz.U. UE.</w:t>
      </w:r>
      <w:r w:rsidRPr="00F46BD6">
        <w:rPr>
          <w:rFonts w:eastAsia="Times New Roman"/>
          <w:bCs/>
          <w:iCs/>
          <w:color w:val="000000" w:themeColor="text1"/>
          <w:sz w:val="24"/>
          <w:szCs w:val="24"/>
        </w:rPr>
        <w:t>L</w:t>
      </w:r>
      <w:r>
        <w:rPr>
          <w:rFonts w:eastAsia="Times New Roman"/>
          <w:bCs/>
          <w:iCs/>
          <w:color w:val="000000" w:themeColor="text1"/>
          <w:sz w:val="24"/>
          <w:szCs w:val="24"/>
        </w:rPr>
        <w:t>.2004.338 z dnia 13.11.</w:t>
      </w:r>
      <w:r w:rsidRPr="00F46BD6">
        <w:rPr>
          <w:rFonts w:eastAsia="Times New Roman"/>
          <w:bCs/>
          <w:iCs/>
          <w:color w:val="000000" w:themeColor="text1"/>
          <w:sz w:val="24"/>
          <w:szCs w:val="24"/>
        </w:rPr>
        <w:t>2004 r. str. 4-17);</w:t>
      </w:r>
    </w:p>
    <w:p w14:paraId="675E5FCE" w14:textId="77777777" w:rsidR="00C93132" w:rsidRPr="00F46BD6" w:rsidRDefault="00C93132" w:rsidP="00C93132">
      <w:pPr>
        <w:numPr>
          <w:ilvl w:val="2"/>
          <w:numId w:val="4"/>
        </w:numPr>
        <w:autoSpaceDE w:val="0"/>
        <w:autoSpaceDN w:val="0"/>
        <w:adjustRightInd w:val="0"/>
        <w:spacing w:after="0" w:line="240" w:lineRule="auto"/>
        <w:ind w:left="1418" w:hanging="425"/>
        <w:jc w:val="both"/>
        <w:rPr>
          <w:rFonts w:eastAsia="Times New Roman"/>
          <w:color w:val="000000" w:themeColor="text1"/>
          <w:sz w:val="24"/>
          <w:szCs w:val="24"/>
        </w:rPr>
      </w:pPr>
      <w:r w:rsidRPr="00F46BD6">
        <w:rPr>
          <w:rFonts w:eastAsia="Times New Roman"/>
          <w:color w:val="000000" w:themeColor="text1"/>
          <w:sz w:val="24"/>
          <w:szCs w:val="24"/>
        </w:rPr>
        <w:t xml:space="preserve">rozporządzenia Ministra Rolnictwa i Rozwoju Wsi z dnia </w:t>
      </w:r>
      <w:r>
        <w:rPr>
          <w:rFonts w:eastAsia="Times New Roman"/>
          <w:color w:val="000000" w:themeColor="text1"/>
          <w:sz w:val="24"/>
          <w:szCs w:val="24"/>
        </w:rPr>
        <w:t>z dnia 23 grudnia 2014 roku w sprawie znakowani poszczególnych rodzajów środków spożywczych ( Dz.U. z 2015r. poz.29)</w:t>
      </w:r>
    </w:p>
    <w:p w14:paraId="2A8E57B3" w14:textId="77777777" w:rsidR="00C93132" w:rsidRPr="00F46BD6" w:rsidRDefault="00C93132" w:rsidP="00C93132">
      <w:pPr>
        <w:numPr>
          <w:ilvl w:val="2"/>
          <w:numId w:val="4"/>
        </w:numPr>
        <w:tabs>
          <w:tab w:val="num" w:pos="1560"/>
        </w:tabs>
        <w:autoSpaceDE w:val="0"/>
        <w:autoSpaceDN w:val="0"/>
        <w:adjustRightInd w:val="0"/>
        <w:spacing w:after="0" w:line="240" w:lineRule="auto"/>
        <w:ind w:left="1418" w:hanging="425"/>
        <w:jc w:val="both"/>
        <w:rPr>
          <w:rFonts w:eastAsia="Times New Roman"/>
          <w:color w:val="000000" w:themeColor="text1"/>
          <w:sz w:val="24"/>
          <w:szCs w:val="24"/>
          <w:lang w:eastAsia="pl-PL"/>
        </w:rPr>
      </w:pPr>
      <w:r w:rsidRPr="00F46BD6">
        <w:rPr>
          <w:rFonts w:eastAsia="Times New Roman"/>
          <w:color w:val="000000" w:themeColor="text1"/>
          <w:sz w:val="24"/>
          <w:szCs w:val="24"/>
        </w:rPr>
        <w:t xml:space="preserve">ustawy z dnia 21 grudnia 2000 r. </w:t>
      </w:r>
      <w:r w:rsidRPr="00F46BD6">
        <w:rPr>
          <w:rFonts w:eastAsia="Times New Roman"/>
          <w:bCs/>
          <w:iCs/>
          <w:color w:val="000000" w:themeColor="text1"/>
          <w:sz w:val="24"/>
          <w:szCs w:val="24"/>
        </w:rPr>
        <w:t>o jako</w:t>
      </w:r>
      <w:r w:rsidRPr="00F46BD6">
        <w:rPr>
          <w:rFonts w:eastAsia="Times New Roman"/>
          <w:color w:val="000000" w:themeColor="text1"/>
          <w:sz w:val="24"/>
          <w:szCs w:val="24"/>
        </w:rPr>
        <w:t>ś</w:t>
      </w:r>
      <w:r w:rsidRPr="00F46BD6">
        <w:rPr>
          <w:rFonts w:eastAsia="Times New Roman"/>
          <w:bCs/>
          <w:iCs/>
          <w:color w:val="000000" w:themeColor="text1"/>
          <w:sz w:val="24"/>
          <w:szCs w:val="24"/>
        </w:rPr>
        <w:t>ci handlowej artykułów rolno-spo</w:t>
      </w:r>
      <w:r w:rsidRPr="00F46BD6">
        <w:rPr>
          <w:rFonts w:eastAsia="Times New Roman"/>
          <w:color w:val="000000" w:themeColor="text1"/>
          <w:sz w:val="24"/>
          <w:szCs w:val="24"/>
        </w:rPr>
        <w:t>ż</w:t>
      </w:r>
      <w:r w:rsidRPr="00F46BD6">
        <w:rPr>
          <w:rFonts w:eastAsia="Times New Roman"/>
          <w:bCs/>
          <w:iCs/>
          <w:color w:val="000000" w:themeColor="text1"/>
          <w:sz w:val="24"/>
          <w:szCs w:val="24"/>
        </w:rPr>
        <w:t xml:space="preserve">ywczych </w:t>
      </w:r>
      <w:r>
        <w:rPr>
          <w:rFonts w:eastAsia="Times New Roman"/>
          <w:color w:val="000000" w:themeColor="text1"/>
          <w:sz w:val="24"/>
          <w:szCs w:val="24"/>
        </w:rPr>
        <w:t>(Dz.U. z 2022r., poz.1688)</w:t>
      </w:r>
    </w:p>
    <w:p w14:paraId="31C73D27" w14:textId="77777777" w:rsidR="00C93132" w:rsidRDefault="00C93132" w:rsidP="00C93132">
      <w:pPr>
        <w:numPr>
          <w:ilvl w:val="2"/>
          <w:numId w:val="4"/>
        </w:numPr>
        <w:tabs>
          <w:tab w:val="clear" w:pos="1070"/>
        </w:tabs>
        <w:autoSpaceDE w:val="0"/>
        <w:autoSpaceDN w:val="0"/>
        <w:adjustRightInd w:val="0"/>
        <w:spacing w:after="0" w:line="240" w:lineRule="auto"/>
        <w:ind w:left="1418" w:hanging="425"/>
        <w:jc w:val="both"/>
        <w:rPr>
          <w:rFonts w:eastAsia="Times New Roman"/>
          <w:color w:val="000000" w:themeColor="text1"/>
          <w:sz w:val="24"/>
          <w:szCs w:val="24"/>
          <w:lang w:eastAsia="pl-PL"/>
        </w:rPr>
      </w:pPr>
      <w:r w:rsidRPr="00F46BD6">
        <w:rPr>
          <w:rFonts w:eastAsia="Times New Roman"/>
          <w:color w:val="000000" w:themeColor="text1"/>
          <w:sz w:val="24"/>
          <w:szCs w:val="24"/>
          <w:lang w:eastAsia="pl-PL"/>
        </w:rPr>
        <w:t xml:space="preserve">rozporządzenia Parlamentu Europejskiego i Rady (UE) NR 1169/2011 z dnia </w:t>
      </w:r>
      <w:r w:rsidRPr="00F46BD6">
        <w:rPr>
          <w:rFonts w:eastAsia="Times New Roman"/>
          <w:color w:val="000000" w:themeColor="text1"/>
          <w:sz w:val="24"/>
          <w:szCs w:val="24"/>
          <w:lang w:eastAsia="pl-PL"/>
        </w:rPr>
        <w:br/>
        <w:t xml:space="preserve">25 października 2011r. w sprawie przekazywania konsumentom informacji na temat żywności, zmian rozporządzeń Parlamentu Europejskiego i Rady (WE) nr 1924/2006 i (WE) nr 1925/2006 oraz uchylenia  dyrektywy Komisji </w:t>
      </w:r>
      <w:r w:rsidRPr="00F46BD6">
        <w:rPr>
          <w:rFonts w:eastAsia="Times New Roman"/>
          <w:color w:val="000000" w:themeColor="text1"/>
          <w:sz w:val="24"/>
          <w:szCs w:val="24"/>
          <w:lang w:eastAsia="pl-PL"/>
        </w:rPr>
        <w:lastRenderedPageBreak/>
        <w:t xml:space="preserve">87/250/EWG, dyrektywy Rady 90/496/EWG, dyrektywy Komisji 1999/10/WE, dyrektywy 2000/13/WE Parlamentu Europejskiego i Rady, dyrektywy Komisji 2002/67/WE i 2008/5/WE oraz rozporządzenia Komisji (WE) nr 608/2004 </w:t>
      </w:r>
      <w:r>
        <w:rPr>
          <w:rFonts w:eastAsia="Times New Roman"/>
          <w:color w:val="000000" w:themeColor="text1"/>
          <w:sz w:val="24"/>
          <w:szCs w:val="24"/>
          <w:lang w:eastAsia="pl-PL"/>
        </w:rPr>
        <w:t>(Dz. Urz. UE.L.2011.304.1 z dnia 22.11.2011r.)</w:t>
      </w:r>
    </w:p>
    <w:p w14:paraId="4381D3D0" w14:textId="66A7B9D0" w:rsidR="00C93132" w:rsidRDefault="00C93132" w:rsidP="00C93132">
      <w:pPr>
        <w:numPr>
          <w:ilvl w:val="2"/>
          <w:numId w:val="4"/>
        </w:numPr>
        <w:tabs>
          <w:tab w:val="clear" w:pos="1070"/>
        </w:tabs>
        <w:autoSpaceDE w:val="0"/>
        <w:autoSpaceDN w:val="0"/>
        <w:adjustRightInd w:val="0"/>
        <w:spacing w:after="0" w:line="240" w:lineRule="auto"/>
        <w:ind w:left="1418" w:hanging="425"/>
        <w:jc w:val="both"/>
        <w:rPr>
          <w:rFonts w:eastAsia="Times New Roman"/>
          <w:color w:val="000000" w:themeColor="text1"/>
          <w:sz w:val="24"/>
          <w:szCs w:val="24"/>
          <w:lang w:eastAsia="pl-PL"/>
        </w:rPr>
      </w:pPr>
      <w:r w:rsidRPr="00EB3A44">
        <w:rPr>
          <w:rFonts w:eastAsia="Times New Roman"/>
          <w:color w:val="000000" w:themeColor="text1"/>
          <w:sz w:val="24"/>
          <w:szCs w:val="24"/>
          <w:lang w:eastAsia="pl-PL"/>
        </w:rPr>
        <w:t>Rozporządzenie (WE) Nr 852/2004 Parlamentu Europejskiego i Rady z dnia 29 kwietnia 2004r. w sprawie h</w:t>
      </w:r>
      <w:r>
        <w:rPr>
          <w:rFonts w:eastAsia="Times New Roman"/>
          <w:color w:val="000000" w:themeColor="text1"/>
          <w:sz w:val="24"/>
          <w:szCs w:val="24"/>
          <w:lang w:eastAsia="pl-PL"/>
        </w:rPr>
        <w:t>igieny środków spożywczych (Dz.U.UE.L.2004.139.1 z dnia 30.04.2004 r. Polskie wydanie specjalne: Rozdział 13 Tom 34 P.319-337 ze zm.)</w:t>
      </w:r>
    </w:p>
    <w:p w14:paraId="4B9045F1" w14:textId="77777777" w:rsidR="00C93132" w:rsidRPr="00EB3A44" w:rsidRDefault="00C93132" w:rsidP="00C93132">
      <w:pPr>
        <w:autoSpaceDE w:val="0"/>
        <w:autoSpaceDN w:val="0"/>
        <w:adjustRightInd w:val="0"/>
        <w:spacing w:after="0" w:line="240" w:lineRule="auto"/>
        <w:ind w:left="1418"/>
        <w:jc w:val="both"/>
        <w:rPr>
          <w:rFonts w:eastAsia="Times New Roman"/>
          <w:color w:val="000000" w:themeColor="text1"/>
          <w:sz w:val="24"/>
          <w:szCs w:val="24"/>
          <w:lang w:eastAsia="pl-PL"/>
        </w:rPr>
      </w:pPr>
    </w:p>
    <w:p w14:paraId="31342562" w14:textId="4340C8D7" w:rsidR="002E0978" w:rsidRDefault="00896112" w:rsidP="002E0978">
      <w:pPr>
        <w:pStyle w:val="Akapitzlist"/>
        <w:numPr>
          <w:ilvl w:val="1"/>
          <w:numId w:val="9"/>
        </w:numPr>
        <w:autoSpaceDE w:val="0"/>
        <w:autoSpaceDN w:val="0"/>
        <w:adjustRightInd w:val="0"/>
        <w:spacing w:after="0" w:line="240" w:lineRule="auto"/>
        <w:ind w:left="1276" w:hanging="567"/>
        <w:jc w:val="both"/>
        <w:rPr>
          <w:rFonts w:eastAsia="Times New Roman"/>
          <w:color w:val="000000" w:themeColor="text1"/>
          <w:sz w:val="24"/>
          <w:szCs w:val="24"/>
          <w:lang w:eastAsia="pl-PL"/>
        </w:rPr>
      </w:pPr>
      <w:r w:rsidRPr="00F46BD6">
        <w:rPr>
          <w:rFonts w:eastAsia="Times New Roman"/>
          <w:color w:val="000000" w:themeColor="text1"/>
          <w:sz w:val="24"/>
          <w:szCs w:val="24"/>
          <w:lang w:eastAsia="pl-PL"/>
        </w:rPr>
        <w:t>P</w:t>
      </w:r>
      <w:r w:rsidR="008A3460" w:rsidRPr="00F46BD6">
        <w:rPr>
          <w:rFonts w:eastAsia="Times New Roman"/>
          <w:color w:val="000000" w:themeColor="text1"/>
          <w:sz w:val="24"/>
          <w:szCs w:val="24"/>
          <w:lang w:eastAsia="pl-PL"/>
        </w:rPr>
        <w:t>ostanowienie zobowiązujące dos</w:t>
      </w:r>
      <w:r w:rsidR="006600EF">
        <w:rPr>
          <w:rFonts w:eastAsia="Times New Roman"/>
          <w:color w:val="000000" w:themeColor="text1"/>
          <w:sz w:val="24"/>
          <w:szCs w:val="24"/>
          <w:lang w:eastAsia="pl-PL"/>
        </w:rPr>
        <w:t xml:space="preserve">tawcę do pisemnego informowania </w:t>
      </w:r>
      <w:r w:rsidR="008A3460" w:rsidRPr="006600EF">
        <w:rPr>
          <w:rFonts w:eastAsia="Times New Roman"/>
          <w:color w:val="000000" w:themeColor="text1"/>
          <w:sz w:val="24"/>
          <w:szCs w:val="24"/>
          <w:lang w:eastAsia="pl-PL"/>
        </w:rPr>
        <w:t>Za</w:t>
      </w:r>
      <w:r w:rsidRPr="006600EF">
        <w:rPr>
          <w:rFonts w:eastAsia="Times New Roman"/>
          <w:color w:val="000000" w:themeColor="text1"/>
          <w:sz w:val="24"/>
          <w:szCs w:val="24"/>
          <w:lang w:eastAsia="pl-PL"/>
        </w:rPr>
        <w:t>mawiaj</w:t>
      </w:r>
      <w:r w:rsidR="008A3460" w:rsidRPr="006600EF">
        <w:rPr>
          <w:rFonts w:eastAsia="Times New Roman"/>
          <w:color w:val="000000" w:themeColor="text1"/>
          <w:sz w:val="24"/>
          <w:szCs w:val="24"/>
          <w:lang w:eastAsia="pl-PL"/>
        </w:rPr>
        <w:t xml:space="preserve">ącego w przypadku zmiany występowania alergenów </w:t>
      </w:r>
      <w:r w:rsidR="006600EF">
        <w:rPr>
          <w:rFonts w:eastAsia="Times New Roman"/>
          <w:color w:val="000000" w:themeColor="text1"/>
          <w:sz w:val="24"/>
          <w:szCs w:val="24"/>
          <w:lang w:eastAsia="pl-PL"/>
        </w:rPr>
        <w:t>w dostarczanych produktach;</w:t>
      </w:r>
    </w:p>
    <w:p w14:paraId="2765B0CE" w14:textId="77777777" w:rsidR="002E0978" w:rsidRDefault="002E0978" w:rsidP="002E0978">
      <w:pPr>
        <w:pStyle w:val="Akapitzlist"/>
        <w:autoSpaceDE w:val="0"/>
        <w:autoSpaceDN w:val="0"/>
        <w:adjustRightInd w:val="0"/>
        <w:spacing w:after="0" w:line="240" w:lineRule="auto"/>
        <w:ind w:left="1276"/>
        <w:jc w:val="both"/>
        <w:rPr>
          <w:rFonts w:eastAsia="Times New Roman"/>
          <w:color w:val="000000" w:themeColor="text1"/>
          <w:sz w:val="24"/>
          <w:szCs w:val="24"/>
          <w:lang w:eastAsia="pl-PL"/>
        </w:rPr>
      </w:pPr>
    </w:p>
    <w:p w14:paraId="12BE2756" w14:textId="4606E636" w:rsidR="002E0978" w:rsidRDefault="002E0978" w:rsidP="002E0978">
      <w:pPr>
        <w:pStyle w:val="Akapitzlist"/>
        <w:numPr>
          <w:ilvl w:val="1"/>
          <w:numId w:val="9"/>
        </w:numPr>
        <w:autoSpaceDE w:val="0"/>
        <w:autoSpaceDN w:val="0"/>
        <w:adjustRightInd w:val="0"/>
        <w:spacing w:after="0" w:line="240" w:lineRule="auto"/>
        <w:ind w:left="1276" w:hanging="567"/>
        <w:jc w:val="both"/>
        <w:rPr>
          <w:rFonts w:eastAsia="Times New Roman"/>
          <w:color w:val="000000" w:themeColor="text1"/>
          <w:sz w:val="24"/>
          <w:szCs w:val="24"/>
          <w:lang w:eastAsia="pl-PL"/>
        </w:rPr>
      </w:pPr>
      <w:r w:rsidRPr="002E0978">
        <w:rPr>
          <w:rFonts w:eastAsia="Times New Roman"/>
          <w:color w:val="000000" w:themeColor="text1"/>
          <w:sz w:val="24"/>
          <w:szCs w:val="24"/>
          <w:lang w:eastAsia="pl-PL"/>
        </w:rPr>
        <w:t>Postanowienie zobowiązujące dostawcę</w:t>
      </w:r>
      <w:r w:rsidR="007C2989" w:rsidRPr="002E0978">
        <w:rPr>
          <w:rFonts w:eastAsia="Times New Roman"/>
          <w:color w:val="000000" w:themeColor="text1"/>
          <w:sz w:val="24"/>
          <w:szCs w:val="24"/>
          <w:lang w:eastAsia="pl-PL"/>
        </w:rPr>
        <w:t xml:space="preserve"> do udzielenia </w:t>
      </w:r>
      <w:r w:rsidR="006600EF" w:rsidRPr="002E0978">
        <w:rPr>
          <w:rFonts w:eastAsia="Times New Roman"/>
          <w:color w:val="000000" w:themeColor="text1"/>
          <w:sz w:val="24"/>
          <w:szCs w:val="24"/>
          <w:lang w:eastAsia="pl-PL"/>
        </w:rPr>
        <w:t xml:space="preserve">gwarancji jakości dostarczonych </w:t>
      </w:r>
      <w:r w:rsidR="007C2989" w:rsidRPr="002E0978">
        <w:rPr>
          <w:rFonts w:eastAsia="Times New Roman"/>
          <w:color w:val="000000" w:themeColor="text1"/>
          <w:sz w:val="24"/>
          <w:szCs w:val="24"/>
          <w:lang w:eastAsia="pl-PL"/>
        </w:rPr>
        <w:t xml:space="preserve">wyrobów na warunkach określonych </w:t>
      </w:r>
      <w:r w:rsidR="006600EF" w:rsidRPr="002E0978">
        <w:rPr>
          <w:rFonts w:eastAsia="Times New Roman"/>
          <w:color w:val="000000" w:themeColor="text1"/>
          <w:sz w:val="24"/>
          <w:szCs w:val="24"/>
          <w:lang w:eastAsia="pl-PL"/>
        </w:rPr>
        <w:t>w opisie przedmiotu zamówienia.</w:t>
      </w:r>
      <w:r w:rsidRPr="002E0978">
        <w:rPr>
          <w:rFonts w:eastAsia="Times New Roman"/>
          <w:color w:val="000000" w:themeColor="text1"/>
          <w:sz w:val="24"/>
          <w:szCs w:val="24"/>
          <w:lang w:eastAsia="pl-PL"/>
        </w:rPr>
        <w:t xml:space="preserve"> </w:t>
      </w:r>
      <w:r w:rsidR="007C2989" w:rsidRPr="002E0978">
        <w:rPr>
          <w:rFonts w:eastAsia="Times New Roman"/>
          <w:color w:val="000000" w:themeColor="text1"/>
          <w:sz w:val="24"/>
          <w:szCs w:val="24"/>
          <w:lang w:eastAsia="pl-PL"/>
        </w:rPr>
        <w:t>Gwarancja obowiązuj</w:t>
      </w:r>
      <w:r w:rsidR="006600EF" w:rsidRPr="002E0978">
        <w:rPr>
          <w:rFonts w:eastAsia="Times New Roman"/>
          <w:color w:val="000000" w:themeColor="text1"/>
          <w:sz w:val="24"/>
          <w:szCs w:val="24"/>
          <w:lang w:eastAsia="pl-PL"/>
        </w:rPr>
        <w:t xml:space="preserve">e od daty </w:t>
      </w:r>
      <w:r w:rsidR="00266D36">
        <w:rPr>
          <w:rFonts w:eastAsia="Times New Roman"/>
          <w:color w:val="000000" w:themeColor="text1"/>
          <w:sz w:val="24"/>
          <w:szCs w:val="24"/>
          <w:lang w:eastAsia="pl-PL"/>
        </w:rPr>
        <w:t>odbioru danej dostawy.</w:t>
      </w:r>
    </w:p>
    <w:p w14:paraId="3842F980" w14:textId="77777777" w:rsidR="00266D36" w:rsidRPr="00266D36" w:rsidRDefault="00266D36" w:rsidP="00266D36">
      <w:pPr>
        <w:pStyle w:val="Akapitzlist"/>
        <w:rPr>
          <w:rFonts w:eastAsia="Times New Roman"/>
          <w:color w:val="000000" w:themeColor="text1"/>
          <w:sz w:val="24"/>
          <w:szCs w:val="24"/>
          <w:lang w:eastAsia="pl-PL"/>
        </w:rPr>
      </w:pPr>
    </w:p>
    <w:p w14:paraId="435CF814" w14:textId="033C9A5E" w:rsidR="004D089A" w:rsidRDefault="007C2989" w:rsidP="002E0978">
      <w:pPr>
        <w:pStyle w:val="Akapitzlist"/>
        <w:numPr>
          <w:ilvl w:val="1"/>
          <w:numId w:val="9"/>
        </w:numPr>
        <w:autoSpaceDE w:val="0"/>
        <w:autoSpaceDN w:val="0"/>
        <w:adjustRightInd w:val="0"/>
        <w:spacing w:after="0" w:line="240" w:lineRule="auto"/>
        <w:ind w:left="1276" w:hanging="567"/>
        <w:jc w:val="both"/>
        <w:rPr>
          <w:rFonts w:eastAsia="Times New Roman"/>
          <w:color w:val="000000" w:themeColor="text1"/>
          <w:sz w:val="24"/>
          <w:szCs w:val="24"/>
          <w:lang w:eastAsia="pl-PL"/>
        </w:rPr>
      </w:pPr>
      <w:r w:rsidRPr="002E0978">
        <w:rPr>
          <w:rFonts w:eastAsia="Times New Roman"/>
          <w:color w:val="000000" w:themeColor="text1"/>
          <w:sz w:val="24"/>
          <w:szCs w:val="24"/>
          <w:lang w:eastAsia="pl-PL"/>
        </w:rPr>
        <w:t>Dla określenia jakości odbieranego towaru Zamawiający zastrzega sobie prawo kontroli przez: inspektora PIS (IW), WOMP, laboratorium Zamawiającego (także w obecności uprawnionego przedstawiciela Zamawiającego) w zakresie: procesów technologicznych, jakości surowców użytych do produkcji, stanu sanitarno-higienicznego pomieszczeń, urządzeń i maszyn produkcyjnych, higieny osobistej zatrudnionego personelu, warunków socjalnych, warunków magazynowania surowców i gotowych przetworów, sposobu transportu towarów</w:t>
      </w:r>
      <w:r w:rsidR="004B39AA" w:rsidRPr="002E0978">
        <w:rPr>
          <w:rFonts w:eastAsia="Times New Roman"/>
          <w:color w:val="000000" w:themeColor="text1"/>
          <w:sz w:val="24"/>
          <w:szCs w:val="24"/>
          <w:lang w:eastAsia="pl-PL"/>
        </w:rPr>
        <w:t xml:space="preserve"> oraz pobierania prób żywnościowych;</w:t>
      </w:r>
    </w:p>
    <w:p w14:paraId="1C86B498" w14:textId="77777777" w:rsidR="002E0978" w:rsidRPr="002E0978" w:rsidRDefault="002E0978" w:rsidP="002E0978">
      <w:pPr>
        <w:pStyle w:val="Akapitzlist"/>
        <w:rPr>
          <w:rFonts w:eastAsia="Times New Roman"/>
          <w:color w:val="000000" w:themeColor="text1"/>
          <w:sz w:val="24"/>
          <w:szCs w:val="24"/>
          <w:lang w:eastAsia="pl-PL"/>
        </w:rPr>
      </w:pPr>
    </w:p>
    <w:p w14:paraId="60A5DE5F" w14:textId="690C795A" w:rsidR="00305C08" w:rsidRPr="002E0978" w:rsidRDefault="007C2989" w:rsidP="002E0978">
      <w:pPr>
        <w:pStyle w:val="Akapitzlist"/>
        <w:numPr>
          <w:ilvl w:val="1"/>
          <w:numId w:val="9"/>
        </w:numPr>
        <w:autoSpaceDE w:val="0"/>
        <w:autoSpaceDN w:val="0"/>
        <w:adjustRightInd w:val="0"/>
        <w:spacing w:after="0" w:line="240" w:lineRule="auto"/>
        <w:ind w:left="1276" w:hanging="567"/>
        <w:jc w:val="both"/>
        <w:rPr>
          <w:rFonts w:eastAsia="Times New Roman"/>
          <w:color w:val="000000" w:themeColor="text1"/>
          <w:sz w:val="24"/>
          <w:szCs w:val="24"/>
          <w:lang w:eastAsia="pl-PL"/>
        </w:rPr>
      </w:pPr>
      <w:r w:rsidRPr="002E0978">
        <w:rPr>
          <w:rFonts w:eastAsia="Times New Roman"/>
          <w:color w:val="000000" w:themeColor="text1"/>
          <w:sz w:val="24"/>
          <w:szCs w:val="24"/>
          <w:lang w:eastAsia="pl-PL"/>
        </w:rPr>
        <w:t xml:space="preserve">Wykonawca wyraża zgodę na pobieranie prób żywności i jej przebadanie we właściwym miejscowo (dla Zamawiającego) laboratorium Wojewódzkiej Stacji Sanitarno-Epidemiologicznej, laboratorium WOMP lub w akredytowanym laboratorium lub laboratorium spełniającym wymagania i normy PN-EN </w:t>
      </w:r>
      <w:r w:rsidR="008A3460" w:rsidRPr="002E0978">
        <w:rPr>
          <w:rFonts w:eastAsia="Times New Roman"/>
          <w:color w:val="000000" w:themeColor="text1"/>
          <w:sz w:val="24"/>
          <w:szCs w:val="24"/>
          <w:lang w:eastAsia="pl-PL"/>
        </w:rPr>
        <w:t>ISO/IEC 17025 (w tym dwukrotnie</w:t>
      </w:r>
      <w:r w:rsidRPr="002E0978">
        <w:rPr>
          <w:rFonts w:eastAsia="Times New Roman"/>
          <w:color w:val="000000" w:themeColor="text1"/>
          <w:sz w:val="24"/>
          <w:szCs w:val="24"/>
          <w:lang w:eastAsia="pl-PL"/>
        </w:rPr>
        <w:t xml:space="preserve"> na koszt Wykonawcy) celem określenia jakości zdrowotnej i handlowej dostarczanych, w r</w:t>
      </w:r>
      <w:r w:rsidR="004D089A" w:rsidRPr="002E0978">
        <w:rPr>
          <w:rFonts w:eastAsia="Times New Roman"/>
          <w:color w:val="000000" w:themeColor="text1"/>
          <w:sz w:val="24"/>
          <w:szCs w:val="24"/>
          <w:lang w:eastAsia="pl-PL"/>
        </w:rPr>
        <w:t>amach niniejszej umowy towarów</w:t>
      </w:r>
      <w:r w:rsidR="004B39AA" w:rsidRPr="002E0978">
        <w:rPr>
          <w:rFonts w:eastAsia="Times New Roman"/>
          <w:color w:val="000000" w:themeColor="text1"/>
          <w:sz w:val="24"/>
          <w:szCs w:val="24"/>
          <w:lang w:eastAsia="pl-PL"/>
        </w:rPr>
        <w:t xml:space="preserve"> potwierdzających</w:t>
      </w:r>
      <w:r w:rsidR="00305C08" w:rsidRPr="002E0978">
        <w:rPr>
          <w:rFonts w:eastAsia="Times New Roman"/>
          <w:color w:val="000000" w:themeColor="text1"/>
          <w:sz w:val="24"/>
          <w:szCs w:val="24"/>
          <w:lang w:eastAsia="pl-PL"/>
        </w:rPr>
        <w:t xml:space="preserve"> zgodność produktów z opisem przedmiotu zamówienia</w:t>
      </w:r>
      <w:r w:rsidR="004D089A" w:rsidRPr="002E0978">
        <w:rPr>
          <w:rFonts w:eastAsia="Times New Roman"/>
          <w:color w:val="000000" w:themeColor="text1"/>
          <w:sz w:val="24"/>
          <w:szCs w:val="24"/>
          <w:lang w:eastAsia="pl-PL"/>
        </w:rPr>
        <w:t>.</w:t>
      </w:r>
      <w:r w:rsidR="00305C08" w:rsidRPr="002E0978">
        <w:rPr>
          <w:rFonts w:eastAsia="Times New Roman"/>
          <w:color w:val="000000" w:themeColor="text1"/>
          <w:sz w:val="24"/>
          <w:szCs w:val="24"/>
          <w:lang w:eastAsia="pl-PL"/>
        </w:rPr>
        <w:t xml:space="preserve"> Wykonawca zobowiązuje się do dostarczenia na własny koszt wskazanych przez Zamawiającego próbek do badań oraz pokrycie kosztów przeprowadzenia badań. W tym celu Wykonawca: </w:t>
      </w:r>
    </w:p>
    <w:p w14:paraId="5650CAD0" w14:textId="21558EF8" w:rsidR="00305C08" w:rsidRPr="00F46BD6" w:rsidRDefault="00305C08" w:rsidP="00305C08">
      <w:pPr>
        <w:pStyle w:val="Akapitzlist"/>
        <w:numPr>
          <w:ilvl w:val="3"/>
          <w:numId w:val="4"/>
        </w:numPr>
        <w:autoSpaceDE w:val="0"/>
        <w:autoSpaceDN w:val="0"/>
        <w:adjustRightInd w:val="0"/>
        <w:spacing w:after="0" w:line="240" w:lineRule="auto"/>
        <w:jc w:val="both"/>
        <w:rPr>
          <w:rFonts w:eastAsia="Times New Roman"/>
          <w:color w:val="000000" w:themeColor="text1"/>
          <w:sz w:val="24"/>
          <w:szCs w:val="24"/>
          <w:lang w:eastAsia="pl-PL"/>
        </w:rPr>
      </w:pPr>
      <w:r w:rsidRPr="00F46BD6">
        <w:rPr>
          <w:rFonts w:eastAsia="Times New Roman"/>
          <w:color w:val="000000" w:themeColor="text1"/>
          <w:sz w:val="24"/>
          <w:szCs w:val="24"/>
          <w:lang w:eastAsia="pl-PL"/>
        </w:rPr>
        <w:t xml:space="preserve">wyraża </w:t>
      </w:r>
      <w:r w:rsidR="00461D20" w:rsidRPr="00F46BD6">
        <w:rPr>
          <w:rFonts w:eastAsia="Times New Roman"/>
          <w:color w:val="000000" w:themeColor="text1"/>
          <w:sz w:val="24"/>
          <w:szCs w:val="24"/>
          <w:lang w:eastAsia="pl-PL"/>
        </w:rPr>
        <w:t>zgodę, że</w:t>
      </w:r>
      <w:r w:rsidRPr="00F46BD6">
        <w:rPr>
          <w:rFonts w:eastAsia="Times New Roman"/>
          <w:color w:val="000000" w:themeColor="text1"/>
          <w:sz w:val="24"/>
          <w:szCs w:val="24"/>
          <w:lang w:eastAsia="pl-PL"/>
        </w:rPr>
        <w:t>by faktura za wykonane badania była wyst</w:t>
      </w:r>
      <w:r w:rsidR="002E0978">
        <w:rPr>
          <w:rFonts w:eastAsia="Times New Roman"/>
          <w:color w:val="000000" w:themeColor="text1"/>
          <w:sz w:val="24"/>
          <w:szCs w:val="24"/>
          <w:lang w:eastAsia="pl-PL"/>
        </w:rPr>
        <w:t>awiona bezpośrednio na Wykonawcę</w:t>
      </w:r>
      <w:r w:rsidRPr="00F46BD6">
        <w:rPr>
          <w:rFonts w:eastAsia="Times New Roman"/>
          <w:color w:val="000000" w:themeColor="text1"/>
          <w:sz w:val="24"/>
          <w:szCs w:val="24"/>
          <w:lang w:eastAsia="pl-PL"/>
        </w:rPr>
        <w:t xml:space="preserve"> </w:t>
      </w:r>
      <w:r w:rsidR="00461D20" w:rsidRPr="00F46BD6">
        <w:rPr>
          <w:rFonts w:eastAsia="Times New Roman"/>
          <w:color w:val="000000" w:themeColor="text1"/>
          <w:sz w:val="24"/>
          <w:szCs w:val="24"/>
          <w:lang w:eastAsia="pl-PL"/>
        </w:rPr>
        <w:t xml:space="preserve">i </w:t>
      </w:r>
      <w:r w:rsidRPr="00F46BD6">
        <w:rPr>
          <w:rFonts w:eastAsia="Times New Roman"/>
          <w:color w:val="000000" w:themeColor="text1"/>
          <w:sz w:val="24"/>
          <w:szCs w:val="24"/>
          <w:lang w:eastAsia="pl-PL"/>
        </w:rPr>
        <w:t xml:space="preserve">zobowiązuje się do jej niezwłocznego </w:t>
      </w:r>
      <w:r w:rsidR="002E0978">
        <w:rPr>
          <w:rFonts w:eastAsia="Times New Roman"/>
          <w:color w:val="000000" w:themeColor="text1"/>
          <w:sz w:val="24"/>
          <w:szCs w:val="24"/>
          <w:lang w:eastAsia="pl-PL"/>
        </w:rPr>
        <w:t>opłacenia</w:t>
      </w:r>
      <w:r w:rsidRPr="00F46BD6">
        <w:rPr>
          <w:rFonts w:eastAsia="Times New Roman"/>
          <w:color w:val="000000" w:themeColor="text1"/>
          <w:sz w:val="24"/>
          <w:szCs w:val="24"/>
          <w:lang w:eastAsia="pl-PL"/>
        </w:rPr>
        <w:t>,</w:t>
      </w:r>
    </w:p>
    <w:p w14:paraId="2282B670" w14:textId="35F7640F" w:rsidR="00305C08" w:rsidRPr="009B5A6B" w:rsidRDefault="00981329" w:rsidP="009B5A6B">
      <w:pPr>
        <w:pStyle w:val="Akapitzlist"/>
        <w:numPr>
          <w:ilvl w:val="3"/>
          <w:numId w:val="4"/>
        </w:numPr>
        <w:autoSpaceDE w:val="0"/>
        <w:autoSpaceDN w:val="0"/>
        <w:adjustRightInd w:val="0"/>
        <w:spacing w:after="0" w:line="240" w:lineRule="auto"/>
        <w:jc w:val="both"/>
        <w:rPr>
          <w:rFonts w:eastAsia="Times New Roman"/>
          <w:sz w:val="24"/>
          <w:szCs w:val="24"/>
          <w:lang w:eastAsia="pl-PL"/>
        </w:rPr>
      </w:pPr>
      <w:r>
        <w:rPr>
          <w:rFonts w:eastAsia="Times New Roman"/>
          <w:color w:val="000000" w:themeColor="text1"/>
          <w:sz w:val="24"/>
          <w:szCs w:val="24"/>
          <w:lang w:eastAsia="pl-PL"/>
        </w:rPr>
        <w:t>dokona korekty</w:t>
      </w:r>
      <w:r w:rsidR="00305C08" w:rsidRPr="009B5A6B">
        <w:rPr>
          <w:rFonts w:eastAsia="Times New Roman"/>
          <w:color w:val="000000" w:themeColor="text1"/>
          <w:sz w:val="24"/>
          <w:szCs w:val="24"/>
          <w:lang w:eastAsia="pl-PL"/>
        </w:rPr>
        <w:t xml:space="preserve"> faktury na ilość i wartość pobranych próbek do badań. Zamawiający zleci osobom uprawnionym (prób</w:t>
      </w:r>
      <w:r w:rsidR="002E0978" w:rsidRPr="009B5A6B">
        <w:rPr>
          <w:rFonts w:eastAsia="Times New Roman"/>
          <w:color w:val="000000" w:themeColor="text1"/>
          <w:sz w:val="24"/>
          <w:szCs w:val="24"/>
          <w:lang w:eastAsia="pl-PL"/>
        </w:rPr>
        <w:t>k</w:t>
      </w:r>
      <w:r w:rsidR="00305C08" w:rsidRPr="009B5A6B">
        <w:rPr>
          <w:rFonts w:eastAsia="Times New Roman"/>
          <w:color w:val="000000" w:themeColor="text1"/>
          <w:sz w:val="24"/>
          <w:szCs w:val="24"/>
          <w:lang w:eastAsia="pl-PL"/>
        </w:rPr>
        <w:t xml:space="preserve">obiorca-rzeczoznawca) pobranie prób i wykonanie badań w laboratorium akredytowanym </w:t>
      </w:r>
      <w:r w:rsidR="00461D20" w:rsidRPr="009B5A6B">
        <w:rPr>
          <w:rFonts w:eastAsia="Times New Roman"/>
          <w:color w:val="000000" w:themeColor="text1"/>
          <w:sz w:val="24"/>
          <w:szCs w:val="24"/>
          <w:lang w:eastAsia="pl-PL"/>
        </w:rPr>
        <w:br/>
      </w:r>
      <w:r w:rsidR="00305C08" w:rsidRPr="009B5A6B">
        <w:rPr>
          <w:rFonts w:eastAsia="Times New Roman"/>
          <w:color w:val="000000" w:themeColor="text1"/>
          <w:sz w:val="24"/>
          <w:szCs w:val="24"/>
          <w:lang w:eastAsia="pl-PL"/>
        </w:rPr>
        <w:t xml:space="preserve">w zleconym kierunku i zakresie badań, a w przypadku braku takiej możliwości w laboratorium spełniającym wymagania normy PN –EN ISO/IEC 17025. </w:t>
      </w:r>
      <w:r w:rsidR="00461D20" w:rsidRPr="009B5A6B">
        <w:rPr>
          <w:rFonts w:eastAsia="Times New Roman"/>
          <w:color w:val="000000" w:themeColor="text1"/>
          <w:sz w:val="24"/>
          <w:szCs w:val="24"/>
          <w:lang w:eastAsia="pl-PL"/>
        </w:rPr>
        <w:t xml:space="preserve"> </w:t>
      </w:r>
      <w:r w:rsidR="009A2817" w:rsidRPr="009B5A6B">
        <w:rPr>
          <w:rFonts w:eastAsia="Times New Roman"/>
          <w:color w:val="000000" w:themeColor="text1"/>
          <w:sz w:val="24"/>
          <w:szCs w:val="24"/>
          <w:lang w:eastAsia="pl-PL"/>
        </w:rPr>
        <w:br/>
      </w:r>
      <w:r w:rsidR="00305C08" w:rsidRPr="009B5A6B">
        <w:rPr>
          <w:rFonts w:eastAsia="Times New Roman"/>
          <w:color w:val="000000" w:themeColor="text1"/>
          <w:sz w:val="24"/>
          <w:szCs w:val="24"/>
          <w:lang w:eastAsia="pl-PL"/>
        </w:rPr>
        <w:t xml:space="preserve">W przypadku braku możliwości wykonania badań według metod przywołanych w opisie przedmiotu zamówienia, określenia metod </w:t>
      </w:r>
      <w:r w:rsidR="00461D20" w:rsidRPr="009B5A6B">
        <w:rPr>
          <w:rFonts w:eastAsia="Times New Roman"/>
          <w:color w:val="000000" w:themeColor="text1"/>
          <w:sz w:val="24"/>
          <w:szCs w:val="24"/>
          <w:lang w:eastAsia="pl-PL"/>
        </w:rPr>
        <w:t>równoważnych dokona Zamawiający. St</w:t>
      </w:r>
      <w:r w:rsidR="002E0978" w:rsidRPr="009B5A6B">
        <w:rPr>
          <w:rFonts w:eastAsia="Times New Roman"/>
          <w:color w:val="000000" w:themeColor="text1"/>
          <w:sz w:val="24"/>
          <w:szCs w:val="24"/>
          <w:lang w:eastAsia="pl-PL"/>
        </w:rPr>
        <w:t xml:space="preserve">wierdzenie niezgodności wyrobu </w:t>
      </w:r>
      <w:r w:rsidR="009B5A6B">
        <w:rPr>
          <w:rFonts w:eastAsia="Times New Roman"/>
          <w:color w:val="000000" w:themeColor="text1"/>
          <w:sz w:val="24"/>
          <w:szCs w:val="24"/>
          <w:lang w:eastAsia="pl-PL"/>
        </w:rPr>
        <w:br/>
      </w:r>
      <w:r w:rsidR="00461D20" w:rsidRPr="009B5A6B">
        <w:rPr>
          <w:rFonts w:eastAsia="Times New Roman"/>
          <w:color w:val="000000" w:themeColor="text1"/>
          <w:sz w:val="24"/>
          <w:szCs w:val="24"/>
          <w:lang w:eastAsia="pl-PL"/>
        </w:rPr>
        <w:t xml:space="preserve">z opisem przedmiotu zamówienia będzie podstawą do </w:t>
      </w:r>
      <w:r w:rsidR="009B5A6B">
        <w:rPr>
          <w:rFonts w:eastAsia="Times New Roman"/>
          <w:sz w:val="24"/>
          <w:szCs w:val="24"/>
          <w:lang w:eastAsia="pl-PL"/>
        </w:rPr>
        <w:t xml:space="preserve">naliczania kar lub odstąpienia od umowy. </w:t>
      </w:r>
    </w:p>
    <w:p w14:paraId="5C3D439D" w14:textId="77777777" w:rsidR="009B5A6B" w:rsidRPr="009B5A6B" w:rsidRDefault="009B5A6B" w:rsidP="009B5A6B">
      <w:pPr>
        <w:pStyle w:val="Akapitzlist"/>
        <w:autoSpaceDE w:val="0"/>
        <w:autoSpaceDN w:val="0"/>
        <w:adjustRightInd w:val="0"/>
        <w:spacing w:after="0" w:line="240" w:lineRule="auto"/>
        <w:ind w:left="1637"/>
        <w:jc w:val="both"/>
        <w:rPr>
          <w:rFonts w:eastAsia="Times New Roman"/>
          <w:color w:val="000000" w:themeColor="text1"/>
          <w:sz w:val="24"/>
          <w:szCs w:val="24"/>
          <w:lang w:eastAsia="pl-PL"/>
        </w:rPr>
      </w:pPr>
    </w:p>
    <w:p w14:paraId="0B9DB0A5" w14:textId="77ED7995" w:rsidR="004D089A" w:rsidRDefault="007C2989" w:rsidP="00266D36">
      <w:pPr>
        <w:pStyle w:val="Akapitzlist"/>
        <w:numPr>
          <w:ilvl w:val="1"/>
          <w:numId w:val="9"/>
        </w:numPr>
        <w:autoSpaceDE w:val="0"/>
        <w:autoSpaceDN w:val="0"/>
        <w:adjustRightInd w:val="0"/>
        <w:spacing w:after="0" w:line="240" w:lineRule="auto"/>
        <w:ind w:hanging="644"/>
        <w:jc w:val="both"/>
        <w:rPr>
          <w:rFonts w:eastAsia="Times New Roman"/>
          <w:color w:val="000000" w:themeColor="text1"/>
          <w:sz w:val="24"/>
          <w:szCs w:val="24"/>
          <w:lang w:eastAsia="pl-PL"/>
        </w:rPr>
      </w:pPr>
      <w:r w:rsidRPr="002E0978">
        <w:rPr>
          <w:rFonts w:eastAsia="Times New Roman"/>
          <w:color w:val="000000" w:themeColor="text1"/>
          <w:sz w:val="24"/>
          <w:szCs w:val="24"/>
          <w:lang w:eastAsia="pl-PL"/>
        </w:rPr>
        <w:t>W przypadku dwukrotnego naruszenia norm jakościowych określonych umową, potw</w:t>
      </w:r>
      <w:r w:rsidR="002E0978">
        <w:rPr>
          <w:rFonts w:eastAsia="Times New Roman"/>
          <w:color w:val="000000" w:themeColor="text1"/>
          <w:sz w:val="24"/>
          <w:szCs w:val="24"/>
          <w:lang w:eastAsia="pl-PL"/>
        </w:rPr>
        <w:t>ierdzonego przez PIS (IW), WOMP, akredytowane laboratorium lub</w:t>
      </w:r>
      <w:r w:rsidRPr="002E0978">
        <w:rPr>
          <w:rFonts w:eastAsia="Times New Roman"/>
          <w:color w:val="000000" w:themeColor="text1"/>
          <w:sz w:val="24"/>
          <w:szCs w:val="24"/>
          <w:lang w:eastAsia="pl-PL"/>
        </w:rPr>
        <w:t xml:space="preserve"> </w:t>
      </w:r>
      <w:r w:rsidRPr="002E0978">
        <w:rPr>
          <w:rFonts w:eastAsia="Times New Roman"/>
          <w:color w:val="000000" w:themeColor="text1"/>
          <w:sz w:val="24"/>
          <w:szCs w:val="24"/>
          <w:lang w:eastAsia="pl-PL"/>
        </w:rPr>
        <w:lastRenderedPageBreak/>
        <w:t>laboratorium spełniające wymagania normy PN-EN ISO/IEC 17025, bądź dwukrotnego potwierdzenia przez te instytucje innych nieprawidłowości, Zamawiający zastrzega sobie prawo odstąpienia od umowy.</w:t>
      </w:r>
    </w:p>
    <w:p w14:paraId="6C5E3267" w14:textId="77777777" w:rsidR="002E0978" w:rsidRDefault="002E0978" w:rsidP="002E0978">
      <w:pPr>
        <w:pStyle w:val="Akapitzlist"/>
        <w:autoSpaceDE w:val="0"/>
        <w:autoSpaceDN w:val="0"/>
        <w:adjustRightInd w:val="0"/>
        <w:spacing w:after="0" w:line="240" w:lineRule="auto"/>
        <w:ind w:left="1211"/>
        <w:jc w:val="both"/>
        <w:rPr>
          <w:rFonts w:eastAsia="Times New Roman"/>
          <w:color w:val="000000" w:themeColor="text1"/>
          <w:sz w:val="24"/>
          <w:szCs w:val="24"/>
          <w:lang w:eastAsia="pl-PL"/>
        </w:rPr>
      </w:pPr>
    </w:p>
    <w:p w14:paraId="3B8E6822" w14:textId="1DC50D29" w:rsidR="004D089A" w:rsidRDefault="007C2989" w:rsidP="002E0978">
      <w:pPr>
        <w:pStyle w:val="Akapitzlist"/>
        <w:numPr>
          <w:ilvl w:val="1"/>
          <w:numId w:val="9"/>
        </w:numPr>
        <w:autoSpaceDE w:val="0"/>
        <w:autoSpaceDN w:val="0"/>
        <w:adjustRightInd w:val="0"/>
        <w:spacing w:after="0" w:line="240" w:lineRule="auto"/>
        <w:ind w:hanging="644"/>
        <w:jc w:val="both"/>
        <w:rPr>
          <w:rFonts w:eastAsia="Times New Roman"/>
          <w:color w:val="000000" w:themeColor="text1"/>
          <w:sz w:val="24"/>
          <w:szCs w:val="24"/>
          <w:lang w:eastAsia="pl-PL"/>
        </w:rPr>
      </w:pPr>
      <w:r w:rsidRPr="002E0978">
        <w:rPr>
          <w:rFonts w:eastAsia="Times New Roman"/>
          <w:color w:val="000000" w:themeColor="text1"/>
          <w:sz w:val="24"/>
          <w:szCs w:val="24"/>
          <w:lang w:eastAsia="pl-PL"/>
        </w:rPr>
        <w:t>Wykonawca przez okres trwania umowy poddaje się stałemu nadzorowi właściwego miejscowo Państwowego Inspektora Sanitarnego lub Inspektora Weterynaryjnego, Inspektora WOMP (działającego w obecności przedstawiciela PIS lub IW) w zakresie: procesów technologicznych, jakości surowców użytych do produkcji, stanu sanitarno-higienicznego pomieszczeń, urządzeń i maszyn produkcyjnych, higieny osobistej zatrudnionego personelu, warunków socjalnych, warunków magazynowania surowców i gotowych przetworów, sposobu transportu towarów, oraz w zakresie stosowania i funkcjonowania wdrożonego systemu HACCP.</w:t>
      </w:r>
    </w:p>
    <w:p w14:paraId="4D0B5BE3" w14:textId="77777777" w:rsidR="002E0978" w:rsidRPr="002E0978" w:rsidRDefault="002E0978" w:rsidP="002E0978">
      <w:pPr>
        <w:pStyle w:val="Akapitzlist"/>
        <w:rPr>
          <w:rFonts w:eastAsia="Times New Roman"/>
          <w:color w:val="000000" w:themeColor="text1"/>
          <w:sz w:val="24"/>
          <w:szCs w:val="24"/>
          <w:lang w:eastAsia="pl-PL"/>
        </w:rPr>
      </w:pPr>
    </w:p>
    <w:p w14:paraId="73F8E67A" w14:textId="5A8A2508" w:rsidR="002E0978" w:rsidRDefault="007C2989" w:rsidP="00065755">
      <w:pPr>
        <w:pStyle w:val="Akapitzlist"/>
        <w:numPr>
          <w:ilvl w:val="1"/>
          <w:numId w:val="9"/>
        </w:numPr>
        <w:autoSpaceDE w:val="0"/>
        <w:autoSpaceDN w:val="0"/>
        <w:adjustRightInd w:val="0"/>
        <w:spacing w:after="0" w:line="240" w:lineRule="auto"/>
        <w:ind w:hanging="644"/>
        <w:jc w:val="both"/>
        <w:rPr>
          <w:rFonts w:eastAsia="Times New Roman"/>
          <w:color w:val="000000" w:themeColor="text1"/>
          <w:sz w:val="24"/>
          <w:szCs w:val="24"/>
          <w:lang w:eastAsia="pl-PL"/>
        </w:rPr>
      </w:pPr>
      <w:r w:rsidRPr="00981329">
        <w:rPr>
          <w:rFonts w:eastAsia="Times New Roman"/>
          <w:color w:val="000000" w:themeColor="text1"/>
          <w:sz w:val="24"/>
          <w:szCs w:val="24"/>
          <w:lang w:eastAsia="pl-PL"/>
        </w:rPr>
        <w:t>Ilościowy i jakościowy odbiór towaru będzie dokonywany przez Zamawiającego lub osobę upoważnioną, w jego magazynie w oparciu o podpisaną umowę, obowiązujące normy jakościowe oraz zgod</w:t>
      </w:r>
      <w:r w:rsidR="00981329">
        <w:rPr>
          <w:rFonts w:eastAsia="Times New Roman"/>
          <w:color w:val="000000" w:themeColor="text1"/>
          <w:sz w:val="24"/>
          <w:szCs w:val="24"/>
          <w:lang w:eastAsia="pl-PL"/>
        </w:rPr>
        <w:t>nie z procedurami systemu HACCP.</w:t>
      </w:r>
    </w:p>
    <w:p w14:paraId="00BB8E15" w14:textId="00E0A563" w:rsidR="00981329" w:rsidRPr="00981329" w:rsidRDefault="00981329" w:rsidP="00981329">
      <w:pPr>
        <w:autoSpaceDE w:val="0"/>
        <w:autoSpaceDN w:val="0"/>
        <w:adjustRightInd w:val="0"/>
        <w:spacing w:after="0" w:line="240" w:lineRule="auto"/>
        <w:jc w:val="both"/>
        <w:rPr>
          <w:rFonts w:eastAsia="Times New Roman"/>
          <w:color w:val="000000" w:themeColor="text1"/>
          <w:sz w:val="24"/>
          <w:szCs w:val="24"/>
          <w:lang w:eastAsia="pl-PL"/>
        </w:rPr>
      </w:pPr>
    </w:p>
    <w:p w14:paraId="16BE0B41" w14:textId="570D6279" w:rsidR="004D089A" w:rsidRDefault="007C2989" w:rsidP="002E0978">
      <w:pPr>
        <w:pStyle w:val="Akapitzlist"/>
        <w:numPr>
          <w:ilvl w:val="1"/>
          <w:numId w:val="9"/>
        </w:numPr>
        <w:autoSpaceDE w:val="0"/>
        <w:autoSpaceDN w:val="0"/>
        <w:adjustRightInd w:val="0"/>
        <w:spacing w:after="0" w:line="240" w:lineRule="auto"/>
        <w:ind w:hanging="644"/>
        <w:jc w:val="both"/>
        <w:rPr>
          <w:rFonts w:eastAsia="Times New Roman"/>
          <w:color w:val="000000" w:themeColor="text1"/>
          <w:sz w:val="24"/>
          <w:szCs w:val="24"/>
          <w:lang w:eastAsia="pl-PL"/>
        </w:rPr>
      </w:pPr>
      <w:r w:rsidRPr="002E0978">
        <w:rPr>
          <w:rFonts w:eastAsia="Times New Roman"/>
          <w:color w:val="000000" w:themeColor="text1"/>
          <w:sz w:val="24"/>
          <w:szCs w:val="24"/>
          <w:lang w:eastAsia="pl-PL"/>
        </w:rPr>
        <w:t xml:space="preserve">W przypadku stwierdzenia w czasie odbioru dostawy, nieprawidłowości </w:t>
      </w:r>
      <w:r w:rsidR="002E0978">
        <w:rPr>
          <w:rFonts w:eastAsia="Times New Roman"/>
          <w:color w:val="000000" w:themeColor="text1"/>
          <w:sz w:val="24"/>
          <w:szCs w:val="24"/>
          <w:lang w:eastAsia="pl-PL"/>
        </w:rPr>
        <w:br/>
      </w:r>
      <w:r w:rsidRPr="002E0978">
        <w:rPr>
          <w:rFonts w:eastAsia="Times New Roman"/>
          <w:color w:val="000000" w:themeColor="text1"/>
          <w:sz w:val="24"/>
          <w:szCs w:val="24"/>
          <w:lang w:eastAsia="pl-PL"/>
        </w:rPr>
        <w:t>w zakresie ilości, asortymentu lub jakości (np. rozerwane opakowanie hermetyczne, widoczne odbarwienia, pleśń itp.), Zamawiający odmówi przyjęcia tych produktów. Wykonawca</w:t>
      </w:r>
      <w:r w:rsidR="00981329">
        <w:rPr>
          <w:rFonts w:eastAsia="Times New Roman"/>
          <w:color w:val="000000" w:themeColor="text1"/>
          <w:sz w:val="24"/>
          <w:szCs w:val="24"/>
          <w:lang w:eastAsia="pl-PL"/>
        </w:rPr>
        <w:t xml:space="preserve"> zobowiązuje się do ich wymiany w ciągu tego samego dnia lub następnego dnia roboczego</w:t>
      </w:r>
      <w:r w:rsidRPr="002E0978">
        <w:rPr>
          <w:rFonts w:eastAsia="Times New Roman"/>
          <w:color w:val="000000" w:themeColor="text1"/>
          <w:sz w:val="24"/>
          <w:szCs w:val="24"/>
          <w:lang w:eastAsia="pl-PL"/>
        </w:rPr>
        <w:t xml:space="preserve"> do ustalonej prze</w:t>
      </w:r>
      <w:r w:rsidR="00981329">
        <w:rPr>
          <w:rFonts w:eastAsia="Times New Roman"/>
          <w:color w:val="000000" w:themeColor="text1"/>
          <w:sz w:val="24"/>
          <w:szCs w:val="24"/>
          <w:lang w:eastAsia="pl-PL"/>
        </w:rPr>
        <w:t>z</w:t>
      </w:r>
      <w:r w:rsidRPr="002E0978">
        <w:rPr>
          <w:rFonts w:eastAsia="Times New Roman"/>
          <w:color w:val="000000" w:themeColor="text1"/>
          <w:sz w:val="24"/>
          <w:szCs w:val="24"/>
          <w:lang w:eastAsia="pl-PL"/>
        </w:rPr>
        <w:t xml:space="preserve"> Zamawiającego godziny.</w:t>
      </w:r>
    </w:p>
    <w:p w14:paraId="3131E77B" w14:textId="77777777" w:rsidR="002E0978" w:rsidRPr="002E0978" w:rsidRDefault="002E0978" w:rsidP="002E0978">
      <w:pPr>
        <w:pStyle w:val="Akapitzlist"/>
        <w:rPr>
          <w:rFonts w:eastAsia="Times New Roman"/>
          <w:color w:val="000000" w:themeColor="text1"/>
          <w:sz w:val="24"/>
          <w:szCs w:val="24"/>
          <w:lang w:eastAsia="pl-PL"/>
        </w:rPr>
      </w:pPr>
    </w:p>
    <w:p w14:paraId="545E8DFE" w14:textId="77777777" w:rsidR="002E0978" w:rsidRDefault="007C2989" w:rsidP="002E0978">
      <w:pPr>
        <w:pStyle w:val="Akapitzlist"/>
        <w:numPr>
          <w:ilvl w:val="1"/>
          <w:numId w:val="9"/>
        </w:numPr>
        <w:autoSpaceDE w:val="0"/>
        <w:autoSpaceDN w:val="0"/>
        <w:adjustRightInd w:val="0"/>
        <w:spacing w:after="0" w:line="240" w:lineRule="auto"/>
        <w:ind w:hanging="644"/>
        <w:jc w:val="both"/>
        <w:rPr>
          <w:rFonts w:eastAsia="Times New Roman"/>
          <w:color w:val="000000" w:themeColor="text1"/>
          <w:sz w:val="24"/>
          <w:szCs w:val="24"/>
          <w:lang w:eastAsia="pl-PL"/>
        </w:rPr>
      </w:pPr>
      <w:r w:rsidRPr="002E0978">
        <w:rPr>
          <w:rFonts w:eastAsia="Times New Roman"/>
          <w:color w:val="000000" w:themeColor="text1"/>
          <w:sz w:val="24"/>
          <w:szCs w:val="24"/>
          <w:lang w:eastAsia="pl-PL"/>
        </w:rPr>
        <w:t xml:space="preserve">W przypadku wystąpienia zatruć spowodowanych złą jakością dostarczonych wyrobów Wykonawca zobowiązany jest pokryć wszelkie koszty leczenia </w:t>
      </w:r>
      <w:r w:rsidR="002E0978">
        <w:rPr>
          <w:rFonts w:eastAsia="Times New Roman"/>
          <w:color w:val="000000" w:themeColor="text1"/>
          <w:sz w:val="24"/>
          <w:szCs w:val="24"/>
          <w:lang w:eastAsia="pl-PL"/>
        </w:rPr>
        <w:br/>
      </w:r>
      <w:r w:rsidRPr="002E0978">
        <w:rPr>
          <w:rFonts w:eastAsia="Times New Roman"/>
          <w:color w:val="000000" w:themeColor="text1"/>
          <w:sz w:val="24"/>
          <w:szCs w:val="24"/>
          <w:lang w:eastAsia="pl-PL"/>
        </w:rPr>
        <w:t xml:space="preserve">i przeprowadzenia wszelkich zabiegów sanitarnych (w tym m.in. dezynfekcji </w:t>
      </w:r>
      <w:r w:rsidR="002E0978">
        <w:rPr>
          <w:rFonts w:eastAsia="Times New Roman"/>
          <w:color w:val="000000" w:themeColor="text1"/>
          <w:sz w:val="24"/>
          <w:szCs w:val="24"/>
          <w:lang w:eastAsia="pl-PL"/>
        </w:rPr>
        <w:br/>
      </w:r>
      <w:r w:rsidRPr="002E0978">
        <w:rPr>
          <w:rFonts w:eastAsia="Times New Roman"/>
          <w:color w:val="000000" w:themeColor="text1"/>
          <w:sz w:val="24"/>
          <w:szCs w:val="24"/>
          <w:lang w:eastAsia="pl-PL"/>
        </w:rPr>
        <w:t>i dezaktywacji) oraz do wypłaty wszelkich roszczeń odszkodowawczych będących wynikiem zatrucia.</w:t>
      </w:r>
    </w:p>
    <w:p w14:paraId="4A7A2FED" w14:textId="77777777" w:rsidR="002E0978" w:rsidRPr="002E0978" w:rsidRDefault="002E0978" w:rsidP="002E0978">
      <w:pPr>
        <w:pStyle w:val="Akapitzlist"/>
        <w:rPr>
          <w:color w:val="000000" w:themeColor="text1"/>
          <w:sz w:val="24"/>
          <w:szCs w:val="24"/>
        </w:rPr>
      </w:pPr>
    </w:p>
    <w:p w14:paraId="064D93A7" w14:textId="51625269" w:rsidR="002E0978" w:rsidRPr="002E0978" w:rsidRDefault="007C2989" w:rsidP="002E0978">
      <w:pPr>
        <w:pStyle w:val="Akapitzlist"/>
        <w:numPr>
          <w:ilvl w:val="1"/>
          <w:numId w:val="9"/>
        </w:numPr>
        <w:autoSpaceDE w:val="0"/>
        <w:autoSpaceDN w:val="0"/>
        <w:adjustRightInd w:val="0"/>
        <w:spacing w:after="0" w:line="240" w:lineRule="auto"/>
        <w:ind w:hanging="644"/>
        <w:jc w:val="both"/>
        <w:rPr>
          <w:rFonts w:eastAsia="Times New Roman"/>
          <w:color w:val="000000" w:themeColor="text1"/>
          <w:sz w:val="24"/>
          <w:szCs w:val="24"/>
          <w:lang w:eastAsia="pl-PL"/>
        </w:rPr>
      </w:pPr>
      <w:r w:rsidRPr="002E0978">
        <w:rPr>
          <w:color w:val="000000" w:themeColor="text1"/>
          <w:sz w:val="24"/>
          <w:szCs w:val="24"/>
        </w:rPr>
        <w:t>Dla dostarczanych produktów żywnościowych obowiązuje bezwzg</w:t>
      </w:r>
      <w:r w:rsidR="00650AEA" w:rsidRPr="002E0978">
        <w:rPr>
          <w:color w:val="000000" w:themeColor="text1"/>
          <w:sz w:val="24"/>
          <w:szCs w:val="24"/>
        </w:rPr>
        <w:t xml:space="preserve">lędny zakaz stosowania opakowań </w:t>
      </w:r>
      <w:r w:rsidRPr="002E0978">
        <w:rPr>
          <w:color w:val="000000" w:themeColor="text1"/>
          <w:sz w:val="24"/>
          <w:szCs w:val="24"/>
        </w:rPr>
        <w:t>zastępczych.</w:t>
      </w:r>
      <w:r w:rsidR="006B6F46" w:rsidRPr="002E0978">
        <w:rPr>
          <w:color w:val="000000" w:themeColor="text1"/>
          <w:sz w:val="24"/>
          <w:szCs w:val="24"/>
        </w:rPr>
        <w:t xml:space="preserve">   </w:t>
      </w:r>
      <w:r w:rsidR="00650AEA" w:rsidRPr="002E0978">
        <w:rPr>
          <w:color w:val="000000" w:themeColor="text1"/>
          <w:sz w:val="24"/>
          <w:szCs w:val="24"/>
        </w:rPr>
        <w:t xml:space="preserve">                                  </w:t>
      </w:r>
      <w:r w:rsidR="006B6F46" w:rsidRPr="002E0978">
        <w:rPr>
          <w:color w:val="000000" w:themeColor="text1"/>
          <w:sz w:val="24"/>
          <w:szCs w:val="24"/>
        </w:rPr>
        <w:t xml:space="preserve">                                                                                                         </w:t>
      </w:r>
      <w:r w:rsidR="00650AEA" w:rsidRPr="002E0978">
        <w:rPr>
          <w:color w:val="000000" w:themeColor="text1"/>
          <w:sz w:val="24"/>
          <w:szCs w:val="24"/>
        </w:rPr>
        <w:t xml:space="preserve">           </w:t>
      </w:r>
    </w:p>
    <w:p w14:paraId="6926250A" w14:textId="77777777" w:rsidR="002E0978" w:rsidRPr="002E0978" w:rsidRDefault="002E0978" w:rsidP="002E0978">
      <w:pPr>
        <w:pStyle w:val="Akapitzlist"/>
        <w:rPr>
          <w:color w:val="000000" w:themeColor="text1"/>
          <w:sz w:val="24"/>
          <w:szCs w:val="24"/>
        </w:rPr>
      </w:pPr>
    </w:p>
    <w:p w14:paraId="7A86229A" w14:textId="440063A8" w:rsidR="002E0978" w:rsidRPr="002E0978" w:rsidRDefault="006B6F46" w:rsidP="002E0978">
      <w:pPr>
        <w:pStyle w:val="Akapitzlist"/>
        <w:numPr>
          <w:ilvl w:val="1"/>
          <w:numId w:val="9"/>
        </w:numPr>
        <w:autoSpaceDE w:val="0"/>
        <w:autoSpaceDN w:val="0"/>
        <w:adjustRightInd w:val="0"/>
        <w:spacing w:after="0" w:line="240" w:lineRule="auto"/>
        <w:ind w:hanging="644"/>
        <w:jc w:val="both"/>
        <w:rPr>
          <w:rFonts w:eastAsia="Times New Roman"/>
          <w:color w:val="000000" w:themeColor="text1"/>
          <w:sz w:val="24"/>
          <w:szCs w:val="24"/>
          <w:lang w:eastAsia="pl-PL"/>
        </w:rPr>
      </w:pPr>
      <w:r w:rsidRPr="002E0978">
        <w:rPr>
          <w:color w:val="000000" w:themeColor="text1"/>
          <w:sz w:val="24"/>
          <w:szCs w:val="24"/>
        </w:rPr>
        <w:t>W</w:t>
      </w:r>
      <w:r w:rsidR="007C2989" w:rsidRPr="002E0978">
        <w:rPr>
          <w:color w:val="000000" w:themeColor="text1"/>
          <w:sz w:val="24"/>
          <w:szCs w:val="24"/>
        </w:rPr>
        <w:t xml:space="preserve">ystawiona przez Wykonawcę faktura winna zawierać wyłącznie asortymenty wynikające z umowy, której dotyczy dostawa. Jeżeli dostawa dotyczy towaru </w:t>
      </w:r>
      <w:r w:rsidR="009A2817">
        <w:rPr>
          <w:color w:val="000000" w:themeColor="text1"/>
          <w:sz w:val="24"/>
          <w:szCs w:val="24"/>
        </w:rPr>
        <w:br/>
      </w:r>
      <w:r w:rsidR="007C2989" w:rsidRPr="002E0978">
        <w:rPr>
          <w:color w:val="000000" w:themeColor="text1"/>
          <w:sz w:val="24"/>
          <w:szCs w:val="24"/>
        </w:rPr>
        <w:t>z dwóch różnych umów Wykonawca zobowiązany jest do wystawiania dwóch oddzielnych faktur.</w:t>
      </w:r>
    </w:p>
    <w:p w14:paraId="06EA5700" w14:textId="77777777" w:rsidR="002E0978" w:rsidRPr="002E0978" w:rsidRDefault="002E0978" w:rsidP="002E0978">
      <w:pPr>
        <w:pStyle w:val="Akapitzlist"/>
        <w:rPr>
          <w:color w:val="000000" w:themeColor="text1"/>
          <w:sz w:val="24"/>
          <w:szCs w:val="24"/>
        </w:rPr>
      </w:pPr>
    </w:p>
    <w:p w14:paraId="1F87EA9D" w14:textId="5128C125" w:rsidR="002E0978" w:rsidRPr="00972F2F" w:rsidRDefault="006B6F46" w:rsidP="002E0978">
      <w:pPr>
        <w:pStyle w:val="Akapitzlist"/>
        <w:numPr>
          <w:ilvl w:val="1"/>
          <w:numId w:val="9"/>
        </w:numPr>
        <w:autoSpaceDE w:val="0"/>
        <w:autoSpaceDN w:val="0"/>
        <w:adjustRightInd w:val="0"/>
        <w:spacing w:after="0" w:line="240" w:lineRule="auto"/>
        <w:ind w:hanging="644"/>
        <w:jc w:val="both"/>
        <w:rPr>
          <w:rFonts w:eastAsia="Times New Roman"/>
          <w:color w:val="000000" w:themeColor="text1"/>
          <w:sz w:val="24"/>
          <w:szCs w:val="24"/>
          <w:lang w:eastAsia="pl-PL"/>
        </w:rPr>
      </w:pPr>
      <w:r w:rsidRPr="002E0978">
        <w:rPr>
          <w:color w:val="000000" w:themeColor="text1"/>
          <w:sz w:val="24"/>
          <w:szCs w:val="24"/>
        </w:rPr>
        <w:t>W</w:t>
      </w:r>
      <w:r w:rsidR="002160AF" w:rsidRPr="002E0978">
        <w:rPr>
          <w:color w:val="000000" w:themeColor="text1"/>
          <w:sz w:val="24"/>
          <w:szCs w:val="24"/>
        </w:rPr>
        <w:t>ykonawca zobowiązuje się</w:t>
      </w:r>
      <w:r w:rsidR="007C2989" w:rsidRPr="002E0978">
        <w:rPr>
          <w:color w:val="000000" w:themeColor="text1"/>
          <w:sz w:val="24"/>
          <w:szCs w:val="24"/>
        </w:rPr>
        <w:t>,</w:t>
      </w:r>
      <w:r w:rsidR="002160AF" w:rsidRPr="002E0978">
        <w:rPr>
          <w:color w:val="000000" w:themeColor="text1"/>
          <w:sz w:val="24"/>
          <w:szCs w:val="24"/>
        </w:rPr>
        <w:t xml:space="preserve"> </w:t>
      </w:r>
      <w:r w:rsidR="007C2989" w:rsidRPr="002E0978">
        <w:rPr>
          <w:color w:val="000000" w:themeColor="text1"/>
          <w:sz w:val="24"/>
          <w:szCs w:val="24"/>
        </w:rPr>
        <w:t xml:space="preserve">pod rygorem </w:t>
      </w:r>
      <w:r w:rsidR="00266D36">
        <w:rPr>
          <w:color w:val="000000" w:themeColor="text1"/>
          <w:sz w:val="24"/>
          <w:szCs w:val="24"/>
        </w:rPr>
        <w:t xml:space="preserve">niepłacenia faktury </w:t>
      </w:r>
      <w:r w:rsidR="007C2989" w:rsidRPr="002E0978">
        <w:rPr>
          <w:color w:val="000000" w:themeColor="text1"/>
          <w:sz w:val="24"/>
          <w:szCs w:val="24"/>
        </w:rPr>
        <w:t>przez Zamawiającego,</w:t>
      </w:r>
      <w:r w:rsidR="00AA5B11" w:rsidRPr="002E0978">
        <w:rPr>
          <w:color w:val="000000" w:themeColor="text1"/>
          <w:sz w:val="24"/>
          <w:szCs w:val="24"/>
        </w:rPr>
        <w:t xml:space="preserve"> </w:t>
      </w:r>
      <w:r w:rsidR="007C2989" w:rsidRPr="002E0978">
        <w:rPr>
          <w:color w:val="000000" w:themeColor="text1"/>
          <w:sz w:val="24"/>
          <w:szCs w:val="24"/>
        </w:rPr>
        <w:t>do dostarczania wyłącznie produktów będących przedmiotem um</w:t>
      </w:r>
      <w:r w:rsidR="00AA5B11" w:rsidRPr="002E0978">
        <w:rPr>
          <w:color w:val="000000" w:themeColor="text1"/>
          <w:sz w:val="24"/>
          <w:szCs w:val="24"/>
        </w:rPr>
        <w:t xml:space="preserve">owy </w:t>
      </w:r>
      <w:r w:rsidR="00972F2F">
        <w:rPr>
          <w:color w:val="000000" w:themeColor="text1"/>
          <w:sz w:val="24"/>
          <w:szCs w:val="24"/>
        </w:rPr>
        <w:t>do</w:t>
      </w:r>
      <w:r w:rsidR="00650AEA" w:rsidRPr="002E0978">
        <w:rPr>
          <w:color w:val="000000" w:themeColor="text1"/>
          <w:sz w:val="24"/>
          <w:szCs w:val="24"/>
        </w:rPr>
        <w:t xml:space="preserve"> wartości </w:t>
      </w:r>
      <w:r w:rsidR="007C2989" w:rsidRPr="002E0978">
        <w:rPr>
          <w:color w:val="000000" w:themeColor="text1"/>
          <w:sz w:val="24"/>
          <w:szCs w:val="24"/>
        </w:rPr>
        <w:t>przew</w:t>
      </w:r>
      <w:r w:rsidR="00972F2F">
        <w:rPr>
          <w:color w:val="000000" w:themeColor="text1"/>
          <w:sz w:val="24"/>
          <w:szCs w:val="24"/>
        </w:rPr>
        <w:t xml:space="preserve">idzianej w </w:t>
      </w:r>
      <w:r w:rsidR="007C2989" w:rsidRPr="002E0978">
        <w:rPr>
          <w:color w:val="000000" w:themeColor="text1"/>
          <w:sz w:val="24"/>
          <w:szCs w:val="24"/>
        </w:rPr>
        <w:t>umow</w:t>
      </w:r>
      <w:r w:rsidR="00972F2F">
        <w:rPr>
          <w:color w:val="000000" w:themeColor="text1"/>
          <w:sz w:val="24"/>
          <w:szCs w:val="24"/>
        </w:rPr>
        <w:t>ie</w:t>
      </w:r>
      <w:r w:rsidR="007C2989" w:rsidRPr="002E0978">
        <w:rPr>
          <w:color w:val="000000" w:themeColor="text1"/>
          <w:sz w:val="24"/>
          <w:szCs w:val="24"/>
        </w:rPr>
        <w:t>.</w:t>
      </w:r>
    </w:p>
    <w:p w14:paraId="08B361AE" w14:textId="77777777" w:rsidR="00972F2F" w:rsidRPr="00972F2F" w:rsidRDefault="00972F2F" w:rsidP="00972F2F">
      <w:pPr>
        <w:pStyle w:val="Akapitzlist"/>
        <w:rPr>
          <w:rFonts w:eastAsia="Times New Roman"/>
          <w:color w:val="000000" w:themeColor="text1"/>
          <w:sz w:val="24"/>
          <w:szCs w:val="24"/>
          <w:lang w:eastAsia="pl-PL"/>
        </w:rPr>
      </w:pPr>
    </w:p>
    <w:p w14:paraId="581715FD" w14:textId="60B0A1BA" w:rsidR="00972F2F" w:rsidRPr="009B5A6B" w:rsidRDefault="009B5A6B" w:rsidP="009B5A6B">
      <w:pPr>
        <w:pStyle w:val="Akapitzlist"/>
        <w:numPr>
          <w:ilvl w:val="1"/>
          <w:numId w:val="9"/>
        </w:numPr>
        <w:autoSpaceDE w:val="0"/>
        <w:autoSpaceDN w:val="0"/>
        <w:adjustRightInd w:val="0"/>
        <w:spacing w:after="0" w:line="240" w:lineRule="auto"/>
        <w:ind w:hanging="644"/>
        <w:jc w:val="both"/>
        <w:rPr>
          <w:rFonts w:eastAsia="Times New Roman"/>
          <w:color w:val="000000" w:themeColor="text1"/>
          <w:sz w:val="24"/>
          <w:szCs w:val="24"/>
          <w:lang w:eastAsia="pl-PL"/>
        </w:rPr>
      </w:pPr>
      <w:r w:rsidRPr="007A2778">
        <w:rPr>
          <w:rFonts w:eastAsia="Times New Roman"/>
          <w:color w:val="000000" w:themeColor="text1"/>
          <w:sz w:val="24"/>
          <w:szCs w:val="24"/>
          <w:lang w:eastAsia="pl-PL"/>
        </w:rPr>
        <w:t xml:space="preserve">Zamawiający jest uprawniony do zmiany asortymentów przewidzianych </w:t>
      </w:r>
      <w:r w:rsidRPr="007A2778">
        <w:rPr>
          <w:rFonts w:eastAsia="Times New Roman"/>
          <w:color w:val="000000" w:themeColor="text1"/>
          <w:sz w:val="24"/>
          <w:szCs w:val="24"/>
          <w:lang w:eastAsia="pl-PL"/>
        </w:rPr>
        <w:br/>
        <w:t>w umowie na inne asortymenty w niej przewidziane z zastrzeżeniem, że nie może ulec zmianie wartość całej umowy. Zmiana może dotyczyć rodzaju asortymentu (jego ilości) oraz miejsca dostawy (w przypadku realizacji dostaw do min</w:t>
      </w:r>
      <w:r w:rsidR="00612BBE">
        <w:rPr>
          <w:rFonts w:eastAsia="Times New Roman"/>
          <w:color w:val="000000" w:themeColor="text1"/>
          <w:sz w:val="24"/>
          <w:szCs w:val="24"/>
          <w:lang w:eastAsia="pl-PL"/>
        </w:rPr>
        <w:t>.</w:t>
      </w:r>
      <w:r w:rsidRPr="007A2778">
        <w:rPr>
          <w:rFonts w:eastAsia="Times New Roman"/>
          <w:color w:val="000000" w:themeColor="text1"/>
          <w:sz w:val="24"/>
          <w:szCs w:val="24"/>
          <w:lang w:eastAsia="pl-PL"/>
        </w:rPr>
        <w:t xml:space="preserve"> dwóch magazynów). </w:t>
      </w:r>
    </w:p>
    <w:p w14:paraId="3C404E32" w14:textId="77777777" w:rsidR="002E0978" w:rsidRPr="002E0978" w:rsidRDefault="002E0978" w:rsidP="002E0978">
      <w:pPr>
        <w:pStyle w:val="Akapitzlist"/>
        <w:rPr>
          <w:color w:val="000000" w:themeColor="text1"/>
          <w:sz w:val="24"/>
          <w:szCs w:val="24"/>
        </w:rPr>
      </w:pPr>
    </w:p>
    <w:p w14:paraId="7E6D8291" w14:textId="7F09F945" w:rsidR="002E0978" w:rsidRPr="002E0978" w:rsidRDefault="006B6F46" w:rsidP="002E0978">
      <w:pPr>
        <w:pStyle w:val="Akapitzlist"/>
        <w:numPr>
          <w:ilvl w:val="1"/>
          <w:numId w:val="9"/>
        </w:numPr>
        <w:autoSpaceDE w:val="0"/>
        <w:autoSpaceDN w:val="0"/>
        <w:adjustRightInd w:val="0"/>
        <w:spacing w:after="0" w:line="240" w:lineRule="auto"/>
        <w:ind w:hanging="644"/>
        <w:jc w:val="both"/>
        <w:rPr>
          <w:rFonts w:eastAsia="Times New Roman"/>
          <w:color w:val="000000" w:themeColor="text1"/>
          <w:sz w:val="24"/>
          <w:szCs w:val="24"/>
          <w:lang w:eastAsia="pl-PL"/>
        </w:rPr>
      </w:pPr>
      <w:r w:rsidRPr="002E0978">
        <w:rPr>
          <w:color w:val="000000" w:themeColor="text1"/>
          <w:sz w:val="24"/>
          <w:szCs w:val="24"/>
        </w:rPr>
        <w:t>W</w:t>
      </w:r>
      <w:r w:rsidR="007C2989" w:rsidRPr="002E0978">
        <w:rPr>
          <w:color w:val="000000" w:themeColor="text1"/>
          <w:sz w:val="24"/>
          <w:szCs w:val="24"/>
        </w:rPr>
        <w:t xml:space="preserve"> przypadku przekroczenia wartości dostaw asortymentu </w:t>
      </w:r>
      <w:r w:rsidR="002160AF" w:rsidRPr="002E0978">
        <w:rPr>
          <w:color w:val="000000" w:themeColor="text1"/>
          <w:sz w:val="24"/>
          <w:szCs w:val="24"/>
        </w:rPr>
        <w:t xml:space="preserve">wymienionego </w:t>
      </w:r>
      <w:r w:rsidR="00D23376">
        <w:rPr>
          <w:color w:val="000000" w:themeColor="text1"/>
          <w:sz w:val="24"/>
          <w:szCs w:val="24"/>
        </w:rPr>
        <w:br/>
      </w:r>
      <w:r w:rsidR="002160AF" w:rsidRPr="002E0978">
        <w:rPr>
          <w:color w:val="000000" w:themeColor="text1"/>
          <w:sz w:val="24"/>
          <w:szCs w:val="24"/>
        </w:rPr>
        <w:t>w umowie</w:t>
      </w:r>
      <w:r w:rsidRPr="002E0978">
        <w:rPr>
          <w:color w:val="000000" w:themeColor="text1"/>
          <w:sz w:val="24"/>
          <w:szCs w:val="24"/>
        </w:rPr>
        <w:t>,</w:t>
      </w:r>
      <w:r w:rsidR="002160AF" w:rsidRPr="002E0978">
        <w:rPr>
          <w:color w:val="000000" w:themeColor="text1"/>
          <w:sz w:val="24"/>
          <w:szCs w:val="24"/>
        </w:rPr>
        <w:t xml:space="preserve"> </w:t>
      </w:r>
      <w:r w:rsidRPr="002E0978">
        <w:rPr>
          <w:color w:val="000000" w:themeColor="text1"/>
          <w:sz w:val="24"/>
          <w:szCs w:val="24"/>
        </w:rPr>
        <w:t xml:space="preserve">Zamawiający odmówi </w:t>
      </w:r>
      <w:r w:rsidR="002160AF" w:rsidRPr="002E0978">
        <w:rPr>
          <w:color w:val="000000" w:themeColor="text1"/>
          <w:sz w:val="24"/>
          <w:szCs w:val="24"/>
        </w:rPr>
        <w:t>dokonania z tego tytułu zapłaty.</w:t>
      </w:r>
    </w:p>
    <w:p w14:paraId="4A36E717" w14:textId="77777777" w:rsidR="002E0978" w:rsidRPr="002E0978" w:rsidRDefault="002E0978" w:rsidP="002E0978">
      <w:pPr>
        <w:pStyle w:val="Akapitzlist"/>
        <w:rPr>
          <w:color w:val="000000" w:themeColor="text1"/>
          <w:sz w:val="24"/>
          <w:szCs w:val="24"/>
        </w:rPr>
      </w:pPr>
    </w:p>
    <w:p w14:paraId="0C7D29CF" w14:textId="0E219212" w:rsidR="006B6F46" w:rsidRPr="00972F2F" w:rsidRDefault="006B6F46" w:rsidP="002E0978">
      <w:pPr>
        <w:pStyle w:val="Akapitzlist"/>
        <w:numPr>
          <w:ilvl w:val="1"/>
          <w:numId w:val="9"/>
        </w:numPr>
        <w:autoSpaceDE w:val="0"/>
        <w:autoSpaceDN w:val="0"/>
        <w:adjustRightInd w:val="0"/>
        <w:spacing w:after="0" w:line="240" w:lineRule="auto"/>
        <w:ind w:hanging="644"/>
        <w:jc w:val="both"/>
        <w:rPr>
          <w:rFonts w:eastAsia="Times New Roman"/>
          <w:color w:val="000000" w:themeColor="text1"/>
          <w:sz w:val="24"/>
          <w:szCs w:val="24"/>
          <w:lang w:eastAsia="pl-PL"/>
        </w:rPr>
      </w:pPr>
      <w:r w:rsidRPr="002E0978">
        <w:rPr>
          <w:color w:val="000000" w:themeColor="text1"/>
          <w:sz w:val="24"/>
          <w:szCs w:val="24"/>
        </w:rPr>
        <w:t>W przypadku dostarczania przez Wykonawcę towaru w opakowaniach zwrotnych Odbiorca dokonuje zwrotu niniejszych opakowań przy następnej dostawie. Rozliczenie zbiorczych opakowań zwrotnych polega na wpisie dostarczanych /zwracanych ilości przez Odbiorcę. Wpis powyższy do</w:t>
      </w:r>
      <w:r w:rsidR="002E0978">
        <w:rPr>
          <w:color w:val="000000" w:themeColor="text1"/>
          <w:sz w:val="24"/>
          <w:szCs w:val="24"/>
        </w:rPr>
        <w:t>konuje się w dowodach dostaw (WZ</w:t>
      </w:r>
      <w:r w:rsidRPr="002E0978">
        <w:rPr>
          <w:color w:val="000000" w:themeColor="text1"/>
          <w:sz w:val="24"/>
          <w:szCs w:val="24"/>
        </w:rPr>
        <w:t>).</w:t>
      </w:r>
    </w:p>
    <w:p w14:paraId="56299CC5" w14:textId="77777777" w:rsidR="00F0726A" w:rsidRPr="00F0726A" w:rsidRDefault="00F0726A" w:rsidP="00F0726A">
      <w:pPr>
        <w:pStyle w:val="Akapitzlist"/>
        <w:rPr>
          <w:rFonts w:eastAsia="Times New Roman"/>
          <w:color w:val="000000" w:themeColor="text1"/>
          <w:sz w:val="24"/>
          <w:szCs w:val="24"/>
          <w:lang w:eastAsia="pl-PL"/>
        </w:rPr>
      </w:pPr>
    </w:p>
    <w:p w14:paraId="46F0A458" w14:textId="2DEA6234" w:rsidR="00936A13" w:rsidRPr="00D23376" w:rsidRDefault="00F0726A" w:rsidP="00D23376">
      <w:pPr>
        <w:pStyle w:val="Akapitzlist"/>
        <w:numPr>
          <w:ilvl w:val="1"/>
          <w:numId w:val="9"/>
        </w:numPr>
        <w:autoSpaceDE w:val="0"/>
        <w:autoSpaceDN w:val="0"/>
        <w:adjustRightInd w:val="0"/>
        <w:spacing w:after="0" w:line="240" w:lineRule="auto"/>
        <w:ind w:hanging="644"/>
        <w:jc w:val="both"/>
        <w:rPr>
          <w:rFonts w:eastAsia="Times New Roman"/>
          <w:color w:val="000000" w:themeColor="text1"/>
          <w:sz w:val="24"/>
          <w:szCs w:val="24"/>
          <w:lang w:eastAsia="pl-PL"/>
        </w:rPr>
      </w:pPr>
      <w:r>
        <w:rPr>
          <w:rFonts w:eastAsia="Times New Roman"/>
          <w:color w:val="000000" w:themeColor="text1"/>
          <w:sz w:val="24"/>
          <w:szCs w:val="24"/>
          <w:lang w:eastAsia="pl-PL"/>
        </w:rPr>
        <w:t xml:space="preserve">Dostawa </w:t>
      </w:r>
      <w:r w:rsidR="003B6189">
        <w:rPr>
          <w:rFonts w:eastAsia="Times New Roman"/>
          <w:color w:val="000000" w:themeColor="text1"/>
          <w:sz w:val="24"/>
          <w:szCs w:val="24"/>
          <w:lang w:eastAsia="pl-PL"/>
        </w:rPr>
        <w:t xml:space="preserve">– sukcesywnie, z częstotliwością wynikającą z potrzeb zamawiającego – </w:t>
      </w:r>
      <w:r w:rsidR="003B6189" w:rsidRPr="00C91D48">
        <w:rPr>
          <w:rFonts w:eastAsia="Times New Roman"/>
          <w:sz w:val="24"/>
          <w:szCs w:val="24"/>
          <w:lang w:eastAsia="pl-PL"/>
        </w:rPr>
        <w:t xml:space="preserve">nie częściej niż </w:t>
      </w:r>
      <w:r w:rsidR="009A2817">
        <w:rPr>
          <w:rFonts w:eastAsia="Times New Roman"/>
          <w:sz w:val="24"/>
          <w:szCs w:val="24"/>
          <w:lang w:eastAsia="pl-PL"/>
        </w:rPr>
        <w:t>2</w:t>
      </w:r>
      <w:r w:rsidRPr="00C91D48">
        <w:rPr>
          <w:rFonts w:eastAsia="Times New Roman"/>
          <w:sz w:val="24"/>
          <w:szCs w:val="24"/>
          <w:lang w:eastAsia="pl-PL"/>
        </w:rPr>
        <w:t xml:space="preserve"> x</w:t>
      </w:r>
      <w:r w:rsidR="00D11511">
        <w:rPr>
          <w:rFonts w:eastAsia="Times New Roman"/>
          <w:sz w:val="24"/>
          <w:szCs w:val="24"/>
          <w:lang w:eastAsia="pl-PL"/>
        </w:rPr>
        <w:t xml:space="preserve"> w </w:t>
      </w:r>
      <w:r w:rsidR="009A2817">
        <w:rPr>
          <w:rFonts w:eastAsia="Times New Roman"/>
          <w:sz w:val="24"/>
          <w:szCs w:val="24"/>
          <w:lang w:eastAsia="pl-PL"/>
        </w:rPr>
        <w:t>miesiącu</w:t>
      </w:r>
      <w:r w:rsidRPr="00C91D48">
        <w:rPr>
          <w:rFonts w:eastAsia="Times New Roman"/>
          <w:sz w:val="24"/>
          <w:szCs w:val="24"/>
          <w:lang w:eastAsia="pl-PL"/>
        </w:rPr>
        <w:t xml:space="preserve"> </w:t>
      </w:r>
      <w:r w:rsidR="006D5AB9" w:rsidRPr="00C91D48">
        <w:rPr>
          <w:rFonts w:eastAsia="Times New Roman"/>
          <w:sz w:val="24"/>
          <w:szCs w:val="24"/>
          <w:lang w:eastAsia="pl-PL"/>
        </w:rPr>
        <w:t xml:space="preserve">(w dni robocze) </w:t>
      </w:r>
      <w:r w:rsidRPr="00C91D48">
        <w:rPr>
          <w:rFonts w:eastAsia="Times New Roman"/>
          <w:sz w:val="24"/>
          <w:szCs w:val="24"/>
          <w:lang w:eastAsia="pl-PL"/>
        </w:rPr>
        <w:t xml:space="preserve">- bezpośrednio </w:t>
      </w:r>
      <w:r>
        <w:rPr>
          <w:rFonts w:eastAsia="Times New Roman"/>
          <w:color w:val="000000" w:themeColor="text1"/>
          <w:sz w:val="24"/>
          <w:szCs w:val="24"/>
          <w:lang w:eastAsia="pl-PL"/>
        </w:rPr>
        <w:t xml:space="preserve">do </w:t>
      </w:r>
      <w:r w:rsidR="00266D36">
        <w:rPr>
          <w:rFonts w:eastAsia="Times New Roman"/>
          <w:color w:val="000000" w:themeColor="text1"/>
          <w:sz w:val="24"/>
          <w:szCs w:val="24"/>
          <w:lang w:eastAsia="pl-PL"/>
        </w:rPr>
        <w:t xml:space="preserve">wskazanego </w:t>
      </w:r>
      <w:r>
        <w:rPr>
          <w:rFonts w:eastAsia="Times New Roman"/>
          <w:color w:val="000000" w:themeColor="text1"/>
          <w:sz w:val="24"/>
          <w:szCs w:val="24"/>
          <w:lang w:eastAsia="pl-PL"/>
        </w:rPr>
        <w:t xml:space="preserve">magazynu żywnościowego </w:t>
      </w:r>
      <w:r w:rsidRPr="006D5AB9">
        <w:rPr>
          <w:rFonts w:eastAsia="Times New Roman"/>
          <w:color w:val="000000" w:themeColor="text1"/>
          <w:sz w:val="24"/>
          <w:szCs w:val="24"/>
          <w:lang w:eastAsia="pl-PL"/>
        </w:rPr>
        <w:t>w godz. 07.30-13.00</w:t>
      </w:r>
      <w:r w:rsidR="00AA38A3" w:rsidRPr="006D5AB9">
        <w:rPr>
          <w:rFonts w:eastAsia="Times New Roman"/>
          <w:color w:val="000000" w:themeColor="text1"/>
          <w:sz w:val="24"/>
          <w:szCs w:val="24"/>
          <w:lang w:eastAsia="pl-PL"/>
        </w:rPr>
        <w:t>.</w:t>
      </w:r>
      <w:r w:rsidRPr="006D5AB9">
        <w:rPr>
          <w:rFonts w:eastAsia="Times New Roman"/>
          <w:color w:val="000000" w:themeColor="text1"/>
          <w:sz w:val="24"/>
          <w:szCs w:val="24"/>
          <w:lang w:eastAsia="pl-PL"/>
        </w:rPr>
        <w:t xml:space="preserve"> </w:t>
      </w:r>
      <w:r w:rsidR="003B6189">
        <w:rPr>
          <w:rFonts w:eastAsia="Times New Roman"/>
          <w:color w:val="000000" w:themeColor="text1"/>
          <w:sz w:val="24"/>
          <w:szCs w:val="24"/>
          <w:lang w:eastAsia="pl-PL"/>
        </w:rPr>
        <w:t>– na podstawie zamówień składanych telefonicznie lub za pośrednictwem faks przez upoważnionych przedstawicieli Zamawiającego.</w:t>
      </w:r>
    </w:p>
    <w:sectPr w:rsidR="00936A13" w:rsidRPr="00D23376" w:rsidSect="001D6051">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79B75" w14:textId="77777777" w:rsidR="00C0246F" w:rsidRDefault="00C0246F" w:rsidP="009A2817">
      <w:pPr>
        <w:spacing w:after="0" w:line="240" w:lineRule="auto"/>
      </w:pPr>
      <w:r>
        <w:separator/>
      </w:r>
    </w:p>
  </w:endnote>
  <w:endnote w:type="continuationSeparator" w:id="0">
    <w:p w14:paraId="407E2E66" w14:textId="77777777" w:rsidR="00C0246F" w:rsidRDefault="00C0246F" w:rsidP="009A2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8D285" w14:textId="77777777" w:rsidR="00C0246F" w:rsidRDefault="00C0246F" w:rsidP="009A2817">
      <w:pPr>
        <w:spacing w:after="0" w:line="240" w:lineRule="auto"/>
      </w:pPr>
      <w:r>
        <w:separator/>
      </w:r>
    </w:p>
  </w:footnote>
  <w:footnote w:type="continuationSeparator" w:id="0">
    <w:p w14:paraId="6AE09872" w14:textId="77777777" w:rsidR="00C0246F" w:rsidRDefault="00C0246F" w:rsidP="009A28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2AB2"/>
    <w:multiLevelType w:val="hybridMultilevel"/>
    <w:tmpl w:val="1D56C6AA"/>
    <w:lvl w:ilvl="0" w:tplc="25EC5554">
      <w:start w:val="1"/>
      <w:numFmt w:val="lowerLetter"/>
      <w:lvlText w:val="%1)"/>
      <w:lvlJc w:val="left"/>
      <w:pPr>
        <w:tabs>
          <w:tab w:val="num" w:pos="1440"/>
        </w:tabs>
        <w:ind w:left="1440" w:hanging="360"/>
      </w:pPr>
      <w:rPr>
        <w:i w:val="0"/>
      </w:rPr>
    </w:lvl>
    <w:lvl w:ilvl="1" w:tplc="5E323DEC">
      <w:start w:val="1"/>
      <w:numFmt w:val="decimal"/>
      <w:lvlText w:val="%2."/>
      <w:lvlJc w:val="left"/>
      <w:pPr>
        <w:tabs>
          <w:tab w:val="num" w:pos="360"/>
        </w:tabs>
        <w:ind w:left="360" w:hanging="360"/>
      </w:pPr>
    </w:lvl>
    <w:lvl w:ilvl="2" w:tplc="4D8085D8">
      <w:start w:val="1"/>
      <w:numFmt w:val="decimal"/>
      <w:lvlText w:val="%3)"/>
      <w:lvlJc w:val="left"/>
      <w:pPr>
        <w:tabs>
          <w:tab w:val="num" w:pos="3060"/>
        </w:tabs>
        <w:ind w:left="3060" w:hanging="360"/>
      </w:pPr>
      <w:rPr>
        <w:i w:val="0"/>
        <w:color w:val="auto"/>
      </w:r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1" w15:restartNumberingAfterBreak="0">
    <w:nsid w:val="0C2B09DB"/>
    <w:multiLevelType w:val="hybridMultilevel"/>
    <w:tmpl w:val="60C6F3D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13472D6B"/>
    <w:multiLevelType w:val="hybridMultilevel"/>
    <w:tmpl w:val="41CEC9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5B617B0"/>
    <w:multiLevelType w:val="hybridMultilevel"/>
    <w:tmpl w:val="CF86E1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F8737D1"/>
    <w:multiLevelType w:val="hybridMultilevel"/>
    <w:tmpl w:val="2E98E134"/>
    <w:lvl w:ilvl="0" w:tplc="DB9A3E38">
      <w:start w:val="1"/>
      <w:numFmt w:val="decimal"/>
      <w:lvlText w:val="%1."/>
      <w:lvlJc w:val="left"/>
      <w:pPr>
        <w:tabs>
          <w:tab w:val="num" w:pos="720"/>
        </w:tabs>
        <w:ind w:left="720" w:hanging="360"/>
      </w:pPr>
    </w:lvl>
    <w:lvl w:ilvl="1" w:tplc="60BEF762">
      <w:start w:val="1"/>
      <w:numFmt w:val="decimal"/>
      <w:lvlText w:val="%2)."/>
      <w:lvlJc w:val="left"/>
      <w:pPr>
        <w:tabs>
          <w:tab w:val="num" w:pos="1440"/>
        </w:tabs>
        <w:ind w:left="1420" w:hanging="340"/>
      </w:pPr>
      <w:rPr>
        <w:rFonts w:ascii="Times New Roman" w:hAnsi="Times New Roman" w:cs="Times New Roman" w:hint="default"/>
        <w:b w:val="0"/>
        <w:i w:val="0"/>
        <w:sz w:val="24"/>
      </w:rPr>
    </w:lvl>
    <w:lvl w:ilvl="2" w:tplc="3D78A576">
      <w:start w:val="1"/>
      <w:numFmt w:val="lowerLetter"/>
      <w:lvlText w:val="%3)"/>
      <w:lvlJc w:val="left"/>
      <w:pPr>
        <w:tabs>
          <w:tab w:val="num" w:pos="1070"/>
        </w:tabs>
        <w:ind w:left="1070" w:hanging="360"/>
      </w:pPr>
      <w:rPr>
        <w:color w:val="auto"/>
      </w:rPr>
    </w:lvl>
    <w:lvl w:ilvl="3" w:tplc="4D8085D8">
      <w:start w:val="1"/>
      <w:numFmt w:val="decimal"/>
      <w:lvlText w:val="%4)"/>
      <w:lvlJc w:val="left"/>
      <w:pPr>
        <w:tabs>
          <w:tab w:val="num" w:pos="1637"/>
        </w:tabs>
        <w:ind w:left="1637" w:hanging="360"/>
      </w:pPr>
      <w:rPr>
        <w:color w:val="auto"/>
      </w:rPr>
    </w:lvl>
    <w:lvl w:ilvl="4" w:tplc="D852854A">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2C405835"/>
    <w:multiLevelType w:val="multilevel"/>
    <w:tmpl w:val="26CE2FEE"/>
    <w:lvl w:ilvl="0">
      <w:start w:val="2"/>
      <w:numFmt w:val="decimal"/>
      <w:lvlText w:val="%1"/>
      <w:lvlJc w:val="left"/>
      <w:pPr>
        <w:ind w:left="360" w:hanging="360"/>
      </w:pPr>
      <w:rPr>
        <w:rFonts w:eastAsia="Times New Roman" w:hint="default"/>
        <w:b w:val="0"/>
      </w:rPr>
    </w:lvl>
    <w:lvl w:ilvl="1">
      <w:start w:val="1"/>
      <w:numFmt w:val="decimal"/>
      <w:lvlText w:val="%1.%2"/>
      <w:lvlJc w:val="left"/>
      <w:pPr>
        <w:ind w:left="1211" w:hanging="360"/>
      </w:pPr>
      <w:rPr>
        <w:rFonts w:eastAsia="Times New Roman" w:hint="default"/>
        <w:b w:val="0"/>
      </w:rPr>
    </w:lvl>
    <w:lvl w:ilvl="2">
      <w:start w:val="1"/>
      <w:numFmt w:val="decimal"/>
      <w:lvlText w:val="%1.%2.%3"/>
      <w:lvlJc w:val="left"/>
      <w:pPr>
        <w:ind w:left="2880" w:hanging="720"/>
      </w:pPr>
      <w:rPr>
        <w:rFonts w:eastAsia="Times New Roman" w:hint="default"/>
        <w:b w:val="0"/>
      </w:rPr>
    </w:lvl>
    <w:lvl w:ilvl="3">
      <w:start w:val="1"/>
      <w:numFmt w:val="decimal"/>
      <w:lvlText w:val="%1.%2.%3.%4"/>
      <w:lvlJc w:val="left"/>
      <w:pPr>
        <w:ind w:left="3960" w:hanging="720"/>
      </w:pPr>
      <w:rPr>
        <w:rFonts w:eastAsia="Times New Roman" w:hint="default"/>
        <w:b w:val="0"/>
      </w:rPr>
    </w:lvl>
    <w:lvl w:ilvl="4">
      <w:start w:val="1"/>
      <w:numFmt w:val="decimal"/>
      <w:lvlText w:val="%1.%2.%3.%4.%5"/>
      <w:lvlJc w:val="left"/>
      <w:pPr>
        <w:ind w:left="5400" w:hanging="1080"/>
      </w:pPr>
      <w:rPr>
        <w:rFonts w:eastAsia="Times New Roman" w:hint="default"/>
        <w:b w:val="0"/>
      </w:rPr>
    </w:lvl>
    <w:lvl w:ilvl="5">
      <w:start w:val="1"/>
      <w:numFmt w:val="decimal"/>
      <w:lvlText w:val="%1.%2.%3.%4.%5.%6"/>
      <w:lvlJc w:val="left"/>
      <w:pPr>
        <w:ind w:left="6480" w:hanging="1080"/>
      </w:pPr>
      <w:rPr>
        <w:rFonts w:eastAsia="Times New Roman" w:hint="default"/>
        <w:b w:val="0"/>
      </w:rPr>
    </w:lvl>
    <w:lvl w:ilvl="6">
      <w:start w:val="1"/>
      <w:numFmt w:val="decimal"/>
      <w:lvlText w:val="%1.%2.%3.%4.%5.%6.%7"/>
      <w:lvlJc w:val="left"/>
      <w:pPr>
        <w:ind w:left="7920" w:hanging="1440"/>
      </w:pPr>
      <w:rPr>
        <w:rFonts w:eastAsia="Times New Roman" w:hint="default"/>
        <w:b w:val="0"/>
      </w:rPr>
    </w:lvl>
    <w:lvl w:ilvl="7">
      <w:start w:val="1"/>
      <w:numFmt w:val="decimal"/>
      <w:lvlText w:val="%1.%2.%3.%4.%5.%6.%7.%8"/>
      <w:lvlJc w:val="left"/>
      <w:pPr>
        <w:ind w:left="9000" w:hanging="1440"/>
      </w:pPr>
      <w:rPr>
        <w:rFonts w:eastAsia="Times New Roman" w:hint="default"/>
        <w:b w:val="0"/>
      </w:rPr>
    </w:lvl>
    <w:lvl w:ilvl="8">
      <w:start w:val="1"/>
      <w:numFmt w:val="decimal"/>
      <w:lvlText w:val="%1.%2.%3.%4.%5.%6.%7.%8.%9"/>
      <w:lvlJc w:val="left"/>
      <w:pPr>
        <w:ind w:left="10440" w:hanging="1800"/>
      </w:pPr>
      <w:rPr>
        <w:rFonts w:eastAsia="Times New Roman" w:hint="default"/>
        <w:b w:val="0"/>
      </w:rPr>
    </w:lvl>
  </w:abstractNum>
  <w:abstractNum w:abstractNumId="6" w15:restartNumberingAfterBreak="0">
    <w:nsid w:val="463D4F71"/>
    <w:multiLevelType w:val="multilevel"/>
    <w:tmpl w:val="E264A282"/>
    <w:lvl w:ilvl="0">
      <w:start w:val="2"/>
      <w:numFmt w:val="decimal"/>
      <w:lvlText w:val="%1"/>
      <w:lvlJc w:val="left"/>
      <w:pPr>
        <w:ind w:left="360" w:hanging="360"/>
      </w:pPr>
      <w:rPr>
        <w:rFonts w:hint="default"/>
      </w:rPr>
    </w:lvl>
    <w:lvl w:ilvl="1">
      <w:start w:val="8"/>
      <w:numFmt w:val="decimal"/>
      <w:lvlText w:val="%1.%2"/>
      <w:lvlJc w:val="left"/>
      <w:pPr>
        <w:ind w:left="1211"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5259657A"/>
    <w:multiLevelType w:val="hybridMultilevel"/>
    <w:tmpl w:val="39827C8C"/>
    <w:lvl w:ilvl="0" w:tplc="636222EC">
      <w:start w:val="1"/>
      <w:numFmt w:val="decimal"/>
      <w:lvlText w:val="1%1)"/>
      <w:lvlJc w:val="left"/>
      <w:pPr>
        <w:ind w:left="1080" w:hanging="360"/>
      </w:pPr>
      <w:rPr>
        <w:rFonts w:hint="default"/>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5D9445FB"/>
    <w:multiLevelType w:val="hybridMultilevel"/>
    <w:tmpl w:val="C92AE2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DD03BE6"/>
    <w:multiLevelType w:val="hybridMultilevel"/>
    <w:tmpl w:val="60C6F3D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603C18BF"/>
    <w:multiLevelType w:val="hybridMultilevel"/>
    <w:tmpl w:val="253610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14D5DF6"/>
    <w:multiLevelType w:val="multilevel"/>
    <w:tmpl w:val="599E717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1"/>
  </w:num>
  <w:num w:numId="8">
    <w:abstractNumId w:val="3"/>
  </w:num>
  <w:num w:numId="9">
    <w:abstractNumId w:val="5"/>
  </w:num>
  <w:num w:numId="10">
    <w:abstractNumId w:val="6"/>
  </w:num>
  <w:num w:numId="11">
    <w:abstractNumId w:val="7"/>
  </w:num>
  <w:num w:numId="12">
    <w:abstractNumId w:val="0"/>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989"/>
    <w:rsid w:val="0001606A"/>
    <w:rsid w:val="00045134"/>
    <w:rsid w:val="000806A9"/>
    <w:rsid w:val="000841FE"/>
    <w:rsid w:val="000C66B0"/>
    <w:rsid w:val="000D7C22"/>
    <w:rsid w:val="001B75A9"/>
    <w:rsid w:val="001D6051"/>
    <w:rsid w:val="001E238F"/>
    <w:rsid w:val="002160AF"/>
    <w:rsid w:val="00235D3C"/>
    <w:rsid w:val="00266D36"/>
    <w:rsid w:val="00270A30"/>
    <w:rsid w:val="002C7A5C"/>
    <w:rsid w:val="002E0978"/>
    <w:rsid w:val="00300304"/>
    <w:rsid w:val="00305C08"/>
    <w:rsid w:val="003B6189"/>
    <w:rsid w:val="003D6C86"/>
    <w:rsid w:val="003E6A68"/>
    <w:rsid w:val="00412138"/>
    <w:rsid w:val="00461D20"/>
    <w:rsid w:val="004B39AA"/>
    <w:rsid w:val="004B4FA7"/>
    <w:rsid w:val="004D089A"/>
    <w:rsid w:val="00534F6E"/>
    <w:rsid w:val="005A6A9E"/>
    <w:rsid w:val="00612BBE"/>
    <w:rsid w:val="00616D7B"/>
    <w:rsid w:val="00650AEA"/>
    <w:rsid w:val="006600EF"/>
    <w:rsid w:val="006A1804"/>
    <w:rsid w:val="006B6F46"/>
    <w:rsid w:val="006D5AB9"/>
    <w:rsid w:val="00763EB0"/>
    <w:rsid w:val="00786611"/>
    <w:rsid w:val="007C2989"/>
    <w:rsid w:val="00840C9F"/>
    <w:rsid w:val="00843625"/>
    <w:rsid w:val="00896112"/>
    <w:rsid w:val="008A3460"/>
    <w:rsid w:val="00936A13"/>
    <w:rsid w:val="00972F2F"/>
    <w:rsid w:val="009748BD"/>
    <w:rsid w:val="00981329"/>
    <w:rsid w:val="009874C2"/>
    <w:rsid w:val="00991042"/>
    <w:rsid w:val="009A2817"/>
    <w:rsid w:val="009B5A6B"/>
    <w:rsid w:val="00A83070"/>
    <w:rsid w:val="00AA38A3"/>
    <w:rsid w:val="00AA5B11"/>
    <w:rsid w:val="00B24C9F"/>
    <w:rsid w:val="00B32ACE"/>
    <w:rsid w:val="00B4584D"/>
    <w:rsid w:val="00B4707E"/>
    <w:rsid w:val="00BC5F73"/>
    <w:rsid w:val="00BE6F8E"/>
    <w:rsid w:val="00C0246F"/>
    <w:rsid w:val="00C734A9"/>
    <w:rsid w:val="00C8311A"/>
    <w:rsid w:val="00C91D48"/>
    <w:rsid w:val="00C93132"/>
    <w:rsid w:val="00CF24E5"/>
    <w:rsid w:val="00D11511"/>
    <w:rsid w:val="00D23376"/>
    <w:rsid w:val="00D93A9A"/>
    <w:rsid w:val="00D97A8E"/>
    <w:rsid w:val="00DC6588"/>
    <w:rsid w:val="00EA050D"/>
    <w:rsid w:val="00EB4280"/>
    <w:rsid w:val="00EE4DD4"/>
    <w:rsid w:val="00F0554E"/>
    <w:rsid w:val="00F0726A"/>
    <w:rsid w:val="00F26348"/>
    <w:rsid w:val="00F46BD6"/>
    <w:rsid w:val="00FD0B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A9555"/>
  <w15:docId w15:val="{692E15E7-9E0B-4A23-9D1F-7A129A23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2989"/>
    <w:rPr>
      <w:rFonts w:ascii="Times New Roman" w:eastAsia="Calibri"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C2989"/>
    <w:pPr>
      <w:ind w:left="720"/>
      <w:contextualSpacing/>
    </w:pPr>
  </w:style>
  <w:style w:type="paragraph" w:styleId="Tekstdymka">
    <w:name w:val="Balloon Text"/>
    <w:basedOn w:val="Normalny"/>
    <w:link w:val="TekstdymkaZnak"/>
    <w:uiPriority w:val="99"/>
    <w:semiHidden/>
    <w:unhideWhenUsed/>
    <w:rsid w:val="0030030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00304"/>
    <w:rPr>
      <w:rFonts w:ascii="Tahoma" w:eastAsia="Calibri" w:hAnsi="Tahoma" w:cs="Tahoma"/>
      <w:sz w:val="16"/>
      <w:szCs w:val="16"/>
    </w:rPr>
  </w:style>
  <w:style w:type="character" w:styleId="Odwoaniedokomentarza">
    <w:name w:val="annotation reference"/>
    <w:basedOn w:val="Domylnaczcionkaakapitu"/>
    <w:uiPriority w:val="99"/>
    <w:semiHidden/>
    <w:unhideWhenUsed/>
    <w:rsid w:val="00A83070"/>
    <w:rPr>
      <w:sz w:val="16"/>
      <w:szCs w:val="16"/>
    </w:rPr>
  </w:style>
  <w:style w:type="paragraph" w:styleId="Tekstkomentarza">
    <w:name w:val="annotation text"/>
    <w:basedOn w:val="Normalny"/>
    <w:link w:val="TekstkomentarzaZnak"/>
    <w:uiPriority w:val="99"/>
    <w:semiHidden/>
    <w:unhideWhenUsed/>
    <w:rsid w:val="00A8307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83070"/>
    <w:rPr>
      <w:rFonts w:ascii="Times New Roman" w:eastAsia="Calibri"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A83070"/>
    <w:rPr>
      <w:b/>
      <w:bCs/>
    </w:rPr>
  </w:style>
  <w:style w:type="character" w:customStyle="1" w:styleId="TematkomentarzaZnak">
    <w:name w:val="Temat komentarza Znak"/>
    <w:basedOn w:val="TekstkomentarzaZnak"/>
    <w:link w:val="Tematkomentarza"/>
    <w:uiPriority w:val="99"/>
    <w:semiHidden/>
    <w:rsid w:val="00A83070"/>
    <w:rPr>
      <w:rFonts w:ascii="Times New Roman" w:eastAsia="Calibri" w:hAnsi="Times New Roman" w:cs="Times New Roman"/>
      <w:b/>
      <w:bCs/>
      <w:sz w:val="20"/>
      <w:szCs w:val="20"/>
    </w:rPr>
  </w:style>
  <w:style w:type="paragraph" w:styleId="Nagwek">
    <w:name w:val="header"/>
    <w:basedOn w:val="Normalny"/>
    <w:link w:val="NagwekZnak"/>
    <w:uiPriority w:val="99"/>
    <w:unhideWhenUsed/>
    <w:rsid w:val="009A28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2817"/>
    <w:rPr>
      <w:rFonts w:ascii="Times New Roman" w:eastAsia="Calibri" w:hAnsi="Times New Roman" w:cs="Times New Roman"/>
    </w:rPr>
  </w:style>
  <w:style w:type="paragraph" w:styleId="Stopka">
    <w:name w:val="footer"/>
    <w:basedOn w:val="Normalny"/>
    <w:link w:val="StopkaZnak"/>
    <w:uiPriority w:val="99"/>
    <w:unhideWhenUsed/>
    <w:rsid w:val="009A28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2817"/>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38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3C589308-D9D4-4272-8BBC-D22F0239EE1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1722</Words>
  <Characters>10335</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Łazarczyk Katarzyna</dc:creator>
  <cp:lastModifiedBy>Wietrak Agata</cp:lastModifiedBy>
  <cp:revision>2</cp:revision>
  <cp:lastPrinted>2024-11-18T10:48:00Z</cp:lastPrinted>
  <dcterms:created xsi:type="dcterms:W3CDTF">2024-11-18T10:48:00Z</dcterms:created>
  <dcterms:modified xsi:type="dcterms:W3CDTF">2024-11-18T10:48:00Z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cb82e046-12c1-48d3-91d0-adebbbe1f9b5</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gbqF+6RdFi6k1YCM2xAse+EIrdsilZ2K</vt:lpwstr>
  </property>
  <property fmtid="{D5CDD505-2E9C-101B-9397-08002B2CF9AE}" pid="8" name="s5636:Creator type=author">
    <vt:lpwstr>Łazarczyk Katarzyna</vt:lpwstr>
  </property>
  <property fmtid="{D5CDD505-2E9C-101B-9397-08002B2CF9AE}" pid="9" name="s5636:Creator type=organization">
    <vt:lpwstr>MILNET-Z</vt:lpwstr>
  </property>
  <property fmtid="{D5CDD505-2E9C-101B-9397-08002B2CF9AE}" pid="10" name="s5636:Creator type=IP">
    <vt:lpwstr>10.60.175.216</vt:lpwstr>
  </property>
  <property fmtid="{D5CDD505-2E9C-101B-9397-08002B2CF9AE}" pid="11" name="bjPortionMark">
    <vt:lpwstr>[]</vt:lpwstr>
  </property>
</Properties>
</file>