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27F4DF2D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0" w:name="_Hlk176333117"/>
      <w:r w:rsidR="00F05170" w:rsidRPr="00606EFA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bookmarkEnd w:id="0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F5674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2EADB" w14:textId="77777777" w:rsidR="005A7560" w:rsidRDefault="005A7560" w:rsidP="00212BBB">
      <w:r>
        <w:separator/>
      </w:r>
    </w:p>
  </w:endnote>
  <w:endnote w:type="continuationSeparator" w:id="0">
    <w:p w14:paraId="5A6FC50E" w14:textId="77777777" w:rsidR="005A7560" w:rsidRDefault="005A756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F4552" w14:textId="77777777" w:rsidR="005A7560" w:rsidRDefault="005A7560" w:rsidP="00212BBB">
      <w:r>
        <w:separator/>
      </w:r>
    </w:p>
  </w:footnote>
  <w:footnote w:type="continuationSeparator" w:id="0">
    <w:p w14:paraId="09066A57" w14:textId="77777777" w:rsidR="005A7560" w:rsidRDefault="005A7560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9A14" w14:textId="59C117E9" w:rsidR="008345AD" w:rsidRPr="008566C1" w:rsidRDefault="008345AD" w:rsidP="008345AD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F05170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0969B984" w:rsidR="003E25D1" w:rsidRDefault="008345AD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A16BC" wp14:editId="73E6FC44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086B3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A7560"/>
    <w:rsid w:val="005C11C7"/>
    <w:rsid w:val="005D7412"/>
    <w:rsid w:val="006010D0"/>
    <w:rsid w:val="00613A0E"/>
    <w:rsid w:val="00672F01"/>
    <w:rsid w:val="00776EFB"/>
    <w:rsid w:val="007A2B4C"/>
    <w:rsid w:val="007C6C7F"/>
    <w:rsid w:val="008345AD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A4C76"/>
    <w:rsid w:val="00CC0751"/>
    <w:rsid w:val="00CC4C3D"/>
    <w:rsid w:val="00D94F09"/>
    <w:rsid w:val="00E24546"/>
    <w:rsid w:val="00E50ED9"/>
    <w:rsid w:val="00E95772"/>
    <w:rsid w:val="00F05170"/>
    <w:rsid w:val="00F257CD"/>
    <w:rsid w:val="00F5674F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2024-09-04T09:22:00Z</dcterms:modified>
</cp:coreProperties>
</file>