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7CC1" w:rsidRDefault="00247CC1">
      <w:pPr>
        <w:spacing w:line="240" w:lineRule="auto"/>
        <w:rPr>
          <w:sz w:val="22"/>
          <w:szCs w:val="22"/>
          <w:u w:val="single"/>
        </w:rPr>
      </w:pPr>
      <w:bookmarkStart w:id="0" w:name="_GoBack"/>
      <w:bookmarkEnd w:id="0"/>
    </w:p>
    <w:p w:rsidR="00247CC1" w:rsidRDefault="00247CC1">
      <w:pPr>
        <w:spacing w:line="240" w:lineRule="auto"/>
        <w:rPr>
          <w:sz w:val="22"/>
          <w:szCs w:val="22"/>
          <w:u w:val="single"/>
        </w:rPr>
      </w:pPr>
    </w:p>
    <w:p w:rsidR="00247CC1" w:rsidRDefault="007811AD">
      <w:pPr>
        <w:jc w:val="lef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Załącznik nr 7 do SIWZ – Wzór oświadczenia zobowiązującego Wykonawcę do zachowania poufnego charakteru informacji przekazywanych w toku postępowania o udzielenie zamówienia </w:t>
      </w:r>
    </w:p>
    <w:p w:rsidR="00247CC1" w:rsidRDefault="007811AD">
      <w:pPr>
        <w:spacing w:before="201" w:line="276" w:lineRule="auto"/>
        <w:ind w:left="3868" w:right="1122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OŚWIADCZENIE</w:t>
      </w:r>
    </w:p>
    <w:p w:rsidR="00247CC1" w:rsidRDefault="007811AD">
      <w:pPr>
        <w:spacing w:before="196" w:line="276" w:lineRule="auto"/>
        <w:ind w:left="2280" w:right="13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O ZACHOWANIU POUFNOŚCI OSOBY UPOWAŻNIONEJ </w:t>
      </w:r>
    </w:p>
    <w:p w:rsidR="00247CC1" w:rsidRDefault="007811AD">
      <w:pPr>
        <w:spacing w:before="196" w:line="276" w:lineRule="auto"/>
        <w:ind w:left="2280" w:right="13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sz w:val="19"/>
          <w:szCs w:val="19"/>
        </w:rPr>
        <w:t xml:space="preserve">         DO REPREZENTOWANI</w:t>
      </w:r>
      <w:r>
        <w:rPr>
          <w:rFonts w:ascii="Arial" w:eastAsia="Arial" w:hAnsi="Arial" w:cs="Arial"/>
          <w:b/>
          <w:sz w:val="19"/>
          <w:szCs w:val="19"/>
        </w:rPr>
        <w:t xml:space="preserve">A WYKONAWCY </w:t>
      </w:r>
    </w:p>
    <w:p w:rsidR="00247CC1" w:rsidRDefault="00247CC1">
      <w:pPr>
        <w:rPr>
          <w:rFonts w:ascii="Arial" w:eastAsia="Arial" w:hAnsi="Arial" w:cs="Arial"/>
          <w:color w:val="222222"/>
        </w:rPr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3795"/>
      </w:tblGrid>
      <w:tr w:rsidR="00247CC1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Osoba upoważniona do reprezentowania Wykonawcy: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Odpowiedź:</w:t>
            </w:r>
          </w:p>
        </w:tc>
      </w:tr>
      <w:tr w:rsidR="00247CC1">
        <w:trPr>
          <w:trHeight w:val="640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Imię i nazwisko,</w:t>
            </w:r>
          </w:p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wraz z datą i miejscem urodzenia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[......]</w:t>
            </w:r>
          </w:p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[......]</w:t>
            </w:r>
          </w:p>
        </w:tc>
      </w:tr>
      <w:tr w:rsidR="00247CC1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Stanowisko/działający(a) jako: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[......]</w:t>
            </w:r>
          </w:p>
        </w:tc>
      </w:tr>
      <w:tr w:rsidR="00247CC1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Adres pocztowy: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[......]</w:t>
            </w:r>
          </w:p>
        </w:tc>
      </w:tr>
      <w:tr w:rsidR="00247CC1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Telefon: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[......]</w:t>
            </w:r>
          </w:p>
        </w:tc>
      </w:tr>
      <w:tr w:rsidR="00247CC1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Adres e-mail: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[......]</w:t>
            </w:r>
          </w:p>
        </w:tc>
      </w:tr>
      <w:tr w:rsidR="00247CC1">
        <w:trPr>
          <w:trHeight w:val="860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781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CC1" w:rsidRDefault="0024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color w:val="222222"/>
              </w:rPr>
            </w:pPr>
          </w:p>
        </w:tc>
      </w:tr>
    </w:tbl>
    <w:p w:rsidR="00247CC1" w:rsidRDefault="007811AD">
      <w:pPr>
        <w:spacing w:before="1065" w:line="276" w:lineRule="auto"/>
        <w:ind w:left="-19" w:right="-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1. Oświadczam, iż w związku z uczestnictwem w Postępowaniu o udzielenie zamówienia prowadzonym w trybie przetargu nieograniczonego na „Wykonanie czynności piątego poziomu utrzymania (P5), wraz z pracami dodatkowymi dla autobusów szynowych typu 213Ma nr SA1</w:t>
      </w:r>
      <w:r>
        <w:rPr>
          <w:rFonts w:ascii="Arial" w:eastAsia="Arial" w:hAnsi="Arial" w:cs="Arial"/>
          <w:sz w:val="19"/>
          <w:szCs w:val="19"/>
        </w:rPr>
        <w:t>05-103 i typu 215M nr SA108-007” (Postępowanie nr PRTL3-251-01/2019) jako osoba reprezentująca .................................................................. (wpisać pełną nazwę, adres Wykonawcy) zostałem poinformowany o ustanawianiu przez Zamawiająceg</w:t>
      </w:r>
      <w:r>
        <w:rPr>
          <w:rFonts w:ascii="Arial" w:eastAsia="Arial" w:hAnsi="Arial" w:cs="Arial"/>
          <w:sz w:val="19"/>
          <w:szCs w:val="19"/>
        </w:rPr>
        <w:t>o „Przewozy Regionalne" sp. z o.o. ul. Kolejowa 1, 01-4217 Warszawa Oddział Podlaski z siedzibą w Białymstoku ul. Kopernika 60, 15-397 Białystok wymagań dotyczących zachowania poufnego charakteru informacji przekazanych w toku Postępowania przez Wykonawcę,</w:t>
      </w:r>
      <w:r>
        <w:rPr>
          <w:rFonts w:ascii="Arial" w:eastAsia="Arial" w:hAnsi="Arial" w:cs="Arial"/>
          <w:sz w:val="19"/>
          <w:szCs w:val="19"/>
        </w:rPr>
        <w:t xml:space="preserve"> którego reprezentuję. Poufny charakter informacji ma następująca część SIWZ: Załącznik do Opisu przedmiotu Umowy: Dokumentacja Systemu Utrzymania (DSU) Autobusu Szynowego serii SA105 typu 213 Ma i SA108 typu 215M. </w:t>
      </w:r>
    </w:p>
    <w:p w:rsidR="00247CC1" w:rsidRDefault="007811AD">
      <w:pPr>
        <w:spacing w:before="196" w:line="276" w:lineRule="auto"/>
        <w:ind w:left="-19" w:right="-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 Oświadczam, że otrzymana od Zamawiają</w:t>
      </w:r>
      <w:r>
        <w:rPr>
          <w:rFonts w:ascii="Arial" w:eastAsia="Arial" w:hAnsi="Arial" w:cs="Arial"/>
          <w:sz w:val="19"/>
          <w:szCs w:val="19"/>
        </w:rPr>
        <w:t>cego Przewozy Regionalne" sp. z o.o. ul. Kolejowa 1, 01-4217 Warszawa Oddział Podlaski z siedzibą w Białymstoku ul. Kopernika 60, 15-397 Białystok Dokumentacja Systemu Utrzymania (DSU) Autobusu Szynowego serii SA105 typu 213 Ma i SA108 typu 215M będzie wyk</w:t>
      </w:r>
      <w:r>
        <w:rPr>
          <w:rFonts w:ascii="Arial" w:eastAsia="Arial" w:hAnsi="Arial" w:cs="Arial"/>
          <w:sz w:val="19"/>
          <w:szCs w:val="19"/>
        </w:rPr>
        <w:t>orzystywana przez podmiot, który reprezentuję wyłącznie w zakresie bezpośrednio związanym z przygotowaniem oferty w Postępowaniu o udzielenie zamówienia ogłoszonym przez Zamawiającego „Przewozy Regionalne" sp. z o.o. ul. Kolejowa 1, 01-4217 Warszawa Oddzia</w:t>
      </w:r>
      <w:r>
        <w:rPr>
          <w:rFonts w:ascii="Arial" w:eastAsia="Arial" w:hAnsi="Arial" w:cs="Arial"/>
          <w:sz w:val="19"/>
          <w:szCs w:val="19"/>
        </w:rPr>
        <w:t xml:space="preserve">ł Podlaski z siedzibą w Białymstoku ul. Kopernika 60, 15-397 Białystok oraz z wyjątkiem przypadków wyraźnie przewidzianych w </w:t>
      </w:r>
      <w:r>
        <w:rPr>
          <w:rFonts w:ascii="Arial" w:eastAsia="Arial" w:hAnsi="Arial" w:cs="Arial"/>
          <w:sz w:val="19"/>
          <w:szCs w:val="19"/>
        </w:rPr>
        <w:lastRenderedPageBreak/>
        <w:t>niniejszym Oświadczeniu nie użyję Informacji Chronionych do celów niezwiązanych z Postępowaniem</w:t>
      </w:r>
      <w:r>
        <w:rPr>
          <w:rFonts w:ascii="Arial" w:eastAsia="Arial" w:hAnsi="Arial" w:cs="Arial"/>
          <w:b/>
          <w:sz w:val="19"/>
          <w:szCs w:val="19"/>
        </w:rPr>
        <w:t>˅</w:t>
      </w:r>
      <w:r>
        <w:rPr>
          <w:rFonts w:ascii="Arial" w:eastAsia="Arial" w:hAnsi="Arial" w:cs="Arial"/>
          <w:sz w:val="19"/>
          <w:szCs w:val="19"/>
        </w:rPr>
        <w:t xml:space="preserve">. </w:t>
      </w:r>
    </w:p>
    <w:p w:rsidR="00247CC1" w:rsidRDefault="007811AD">
      <w:pPr>
        <w:spacing w:before="196" w:line="276" w:lineRule="auto"/>
        <w:ind w:left="-19" w:right="-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3. Zobowiązuję się nie ujawniać </w:t>
      </w:r>
      <w:r>
        <w:rPr>
          <w:rFonts w:ascii="Arial" w:eastAsia="Arial" w:hAnsi="Arial" w:cs="Arial"/>
          <w:sz w:val="19"/>
          <w:szCs w:val="19"/>
        </w:rPr>
        <w:t xml:space="preserve">Dokumentacji Systemu Utrzymania (DSU) Autobusu Szynowego serii SA105 typu 213 Ma i SA108 typu 215M większej liczbie swoich pracowników, współpracowników i doradców niż jest to konieczne w związku z przygotowaniem oferty. </w:t>
      </w:r>
    </w:p>
    <w:p w:rsidR="00247CC1" w:rsidRDefault="007811AD">
      <w:pPr>
        <w:spacing w:before="201" w:line="276" w:lineRule="auto"/>
        <w:ind w:left="-19" w:right="-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4. Zapewniam, że wszelkie osoby, k</w:t>
      </w:r>
      <w:r>
        <w:rPr>
          <w:rFonts w:ascii="Arial" w:eastAsia="Arial" w:hAnsi="Arial" w:cs="Arial"/>
          <w:sz w:val="19"/>
          <w:szCs w:val="19"/>
        </w:rPr>
        <w:t>tórym ujawniona zostanie Dokumentacja Systemu Utrzymania (DSU) Autobusu Szynowego serii SA105 typu 213 Ma i SA108 typu 215M, zostaną pisemnie zobowiązane do</w:t>
      </w:r>
      <w:r>
        <w:rPr>
          <w:rFonts w:ascii="Arial" w:eastAsia="Arial" w:hAnsi="Arial" w:cs="Arial"/>
          <w:color w:val="E50000"/>
          <w:sz w:val="13"/>
          <w:szCs w:val="13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zachowania ich w tajemnicy oraz podpiszą oświadczenia o zachowaniu poufności, które na żądanie Zama</w:t>
      </w:r>
      <w:r>
        <w:rPr>
          <w:rFonts w:ascii="Arial" w:eastAsia="Arial" w:hAnsi="Arial" w:cs="Arial"/>
          <w:sz w:val="19"/>
          <w:szCs w:val="19"/>
        </w:rPr>
        <w:t xml:space="preserve">wiającego zostaną mu udostępnione. </w:t>
      </w:r>
    </w:p>
    <w:p w:rsidR="00247CC1" w:rsidRDefault="007811AD">
      <w:pPr>
        <w:spacing w:before="196" w:line="276" w:lineRule="auto"/>
        <w:ind w:left="-19" w:right="-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5. Jeżeli podmiot, który reprezentuję zakończy udział w Postępowaniu, o którym mowa w pkt 1, zobowiązuję się zwrócić do Zamawiającego „Przewozy Regionalne" sp. z o.o. ul. Kolejowa 1, 01-4217 Warszawa Oddział Podlaski z s</w:t>
      </w:r>
      <w:r>
        <w:rPr>
          <w:rFonts w:ascii="Arial" w:eastAsia="Arial" w:hAnsi="Arial" w:cs="Arial"/>
          <w:sz w:val="19"/>
          <w:szCs w:val="19"/>
        </w:rPr>
        <w:t>iedzibą w Białymstoku ul. Kopernika 60, 15-397 Białystok całość Dokumentacji Systemu Utrzymania (DSU) Autobusu Szynowego serii SA105 typu 213 Ma i SA108 typu 215M oraz potwierdzić Zamawiającemu Przewozy Regionalne" sp. z o.o. ul. Kolejowa 1, 01-4217 Warsza</w:t>
      </w:r>
      <w:r>
        <w:rPr>
          <w:rFonts w:ascii="Arial" w:eastAsia="Arial" w:hAnsi="Arial" w:cs="Arial"/>
          <w:sz w:val="19"/>
          <w:szCs w:val="19"/>
        </w:rPr>
        <w:t xml:space="preserve">wa Oddział Podlaski z siedzibą w Białymstoku ul. Kopernika 60, 15-397 Białystok fakt zniszczenia wszystkich kopii tejże Dokumentacji Systemu Utrzymania (DSU) Autobusu Szynowego serii SA105 typu 213 Ma i SA108 typu 215M. </w:t>
      </w:r>
    </w:p>
    <w:p w:rsidR="00247CC1" w:rsidRDefault="007811AD">
      <w:pPr>
        <w:spacing w:before="201" w:line="276" w:lineRule="auto"/>
        <w:ind w:left="-19" w:right="-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6. Jestem świadomy, że po zakończen</w:t>
      </w:r>
      <w:r>
        <w:rPr>
          <w:rFonts w:ascii="Arial" w:eastAsia="Arial" w:hAnsi="Arial" w:cs="Arial"/>
          <w:sz w:val="19"/>
          <w:szCs w:val="19"/>
        </w:rPr>
        <w:t xml:space="preserve">iu Postępowania obowiązek zachowania tajemnicy w zakresie przekazanych w trakcie Postępowania poufnych informacji nie ustaje (tj. pozostaje w mocy jako bezterminowe zobowiązanie), chyba, że informacje te staną się powszechnie znane. </w:t>
      </w:r>
    </w:p>
    <w:p w:rsidR="00247CC1" w:rsidRDefault="007811AD">
      <w:pPr>
        <w:spacing w:before="196" w:line="276" w:lineRule="auto"/>
        <w:ind w:left="-19" w:right="-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7. Jestem świadomy, iż</w:t>
      </w:r>
      <w:r>
        <w:rPr>
          <w:rFonts w:ascii="Arial" w:eastAsia="Arial" w:hAnsi="Arial" w:cs="Arial"/>
          <w:sz w:val="19"/>
          <w:szCs w:val="19"/>
        </w:rPr>
        <w:t xml:space="preserve"> w przypadku naruszenia obowiązku zachowania tajemnicy przez moich pracowników, współpracowników i doradców ponoszę pełną odpowiedzialność za wszelkie szkody spowodowane ujawnieniem Informacji Chronionych na zasadach określonych w ustawie z dnia 23 kwietni</w:t>
      </w:r>
      <w:r>
        <w:rPr>
          <w:rFonts w:ascii="Arial" w:eastAsia="Arial" w:hAnsi="Arial" w:cs="Arial"/>
          <w:sz w:val="19"/>
          <w:szCs w:val="19"/>
        </w:rPr>
        <w:t>a 1964 r. Kodeks Cywilny oraz ustawie z dnia 16 kwietnia 1993 r o zwalczaniu nieuczciwej konkurencji (</w:t>
      </w:r>
      <w:proofErr w:type="spellStart"/>
      <w:r>
        <w:rPr>
          <w:rFonts w:ascii="Arial" w:eastAsia="Arial" w:hAnsi="Arial" w:cs="Arial"/>
          <w:sz w:val="19"/>
          <w:szCs w:val="19"/>
        </w:rPr>
        <w:t>t.j</w:t>
      </w:r>
      <w:proofErr w:type="spellEnd"/>
      <w:r>
        <w:rPr>
          <w:rFonts w:ascii="Arial" w:eastAsia="Arial" w:hAnsi="Arial" w:cs="Arial"/>
          <w:sz w:val="19"/>
          <w:szCs w:val="19"/>
        </w:rPr>
        <w:t>. Dz. U. z 2018 r. poz. 419, 1637.), a także odpowiedzialność karną określoną w art. 265 ustawy z dnia 6 czerwca 1997 r. Kodeks Karny (</w:t>
      </w:r>
      <w:proofErr w:type="spellStart"/>
      <w:r>
        <w:rPr>
          <w:rFonts w:ascii="Arial" w:eastAsia="Arial" w:hAnsi="Arial" w:cs="Arial"/>
          <w:sz w:val="19"/>
          <w:szCs w:val="19"/>
        </w:rPr>
        <w:t>t.j</w:t>
      </w:r>
      <w:proofErr w:type="spellEnd"/>
      <w:r>
        <w:rPr>
          <w:rFonts w:ascii="Arial" w:eastAsia="Arial" w:hAnsi="Arial" w:cs="Arial"/>
          <w:sz w:val="19"/>
          <w:szCs w:val="19"/>
        </w:rPr>
        <w:t>. Dz. U. z 20</w:t>
      </w:r>
      <w:r>
        <w:rPr>
          <w:rFonts w:ascii="Arial" w:eastAsia="Arial" w:hAnsi="Arial" w:cs="Arial"/>
          <w:sz w:val="19"/>
          <w:szCs w:val="19"/>
        </w:rPr>
        <w:t xml:space="preserve">18 r. poz. 1600, 2077.). </w:t>
      </w:r>
    </w:p>
    <w:p w:rsidR="00247CC1" w:rsidRDefault="007811AD">
      <w:pPr>
        <w:spacing w:before="600" w:line="276" w:lineRule="auto"/>
        <w:ind w:left="-19" w:right="-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˅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Dokumentację Systemu Utrzymania (DSU) Autobusu Szynowego serii SA105 typu 213 Ma i SA108 typu 215M prosimy przekazywać: </w:t>
      </w:r>
    </w:p>
    <w:p w:rsidR="00247CC1" w:rsidRDefault="007811AD">
      <w:pPr>
        <w:spacing w:before="201" w:line="276" w:lineRule="auto"/>
        <w:ind w:left="-19" w:right="6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p. ............................................................................................................. (wpisać imię, nazwisko, adres e-mail). </w:t>
      </w:r>
    </w:p>
    <w:p w:rsidR="00247CC1" w:rsidRDefault="007811AD">
      <w:pPr>
        <w:spacing w:before="201" w:line="276" w:lineRule="auto"/>
        <w:ind w:left="-19" w:right="-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Administratorem danych osobowych w zakresie imienia, nazwiska, nazwy firmy, daty i miejsca urodzenia są</w:t>
      </w:r>
      <w:r>
        <w:rPr>
          <w:rFonts w:ascii="Arial" w:eastAsia="Arial" w:hAnsi="Arial" w:cs="Arial"/>
          <w:sz w:val="18"/>
          <w:szCs w:val="18"/>
        </w:rPr>
        <w:t xml:space="preserve"> "Przewozy Regionalne" sp. o.o. Oddział Podlaski ul. Kopernika 60, 15-397 Białystok. Celem przetwarzania danych jest nadzór nad dostępem do informacji chronionych w „Przewozy Regionalne" sp. z o.o. ul. Kolejowa 1, 01-4217 Warszawa Oddział Podlaski z siedzi</w:t>
      </w:r>
      <w:r>
        <w:rPr>
          <w:rFonts w:ascii="Arial" w:eastAsia="Arial" w:hAnsi="Arial" w:cs="Arial"/>
          <w:sz w:val="18"/>
          <w:szCs w:val="18"/>
        </w:rPr>
        <w:t>bą w Białymstoku ul. Kopernika 60, 15-397 Białystok. „Przewozy Regionalne" sp. z o.o. ul. Kolejowa 1, 01-4217 Warszawa Oddział Podlaski z siedzibą w Białymstoku ul. Kopernika 60, 15-397 Białystok nie przewiduje udostępniania danych odbiorcom w rozumieniu u</w:t>
      </w:r>
      <w:r>
        <w:rPr>
          <w:rFonts w:ascii="Arial" w:eastAsia="Arial" w:hAnsi="Arial" w:cs="Arial"/>
          <w:sz w:val="18"/>
          <w:szCs w:val="18"/>
        </w:rPr>
        <w:t xml:space="preserve">stawy o ochronie danych osobowych chyba, że obowiązek udostępniania będzie wynikał z obowiązujących przepisów prawa. Dane uzyskano od podmiotu uczestniczącego w Postępowaniu o udzielenie zamówienia. Każda osoba fizyczna, której dane są przechowywane przez </w:t>
      </w:r>
      <w:r>
        <w:rPr>
          <w:rFonts w:ascii="Arial" w:eastAsia="Arial" w:hAnsi="Arial" w:cs="Arial"/>
          <w:sz w:val="18"/>
          <w:szCs w:val="18"/>
        </w:rPr>
        <w:t>Przewozy Regionalne" sp. o.o. Oddział Podlaski ul. Kopernika 60, 15-397 Białystok posiada: a) na podstawie art. 15 RODO prawo dostępu do danych osobowych jej dotyczących, b) na podstawie art.16 RODO prawo do sprostowania jej danych osobowych, c) na podstaw</w:t>
      </w:r>
      <w:r>
        <w:rPr>
          <w:rFonts w:ascii="Arial" w:eastAsia="Arial" w:hAnsi="Arial" w:cs="Arial"/>
          <w:sz w:val="18"/>
          <w:szCs w:val="18"/>
        </w:rPr>
        <w:t>ie art. 18 RODO prawo żądania od administratora ograniczenia przetwarzania danych osobowych z zastrzeżeniem przypadków, o których mowa w art. 18 ust. 2 RODO, d) prawo do wniesienia skargi do Prezesa Urzędu Ochrony Danych Osobowych, gdy uzna, że przetwarzan</w:t>
      </w:r>
      <w:r>
        <w:rPr>
          <w:rFonts w:ascii="Arial" w:eastAsia="Arial" w:hAnsi="Arial" w:cs="Arial"/>
          <w:sz w:val="18"/>
          <w:szCs w:val="18"/>
        </w:rPr>
        <w:t xml:space="preserve">ie jej danych osobowych narusza przepisy RODO. </w:t>
      </w:r>
    </w:p>
    <w:p w:rsidR="00247CC1" w:rsidRDefault="00247CC1">
      <w:pPr>
        <w:rPr>
          <w:rFonts w:ascii="Arial" w:eastAsia="Arial" w:hAnsi="Arial" w:cs="Arial"/>
          <w:color w:val="222222"/>
        </w:rPr>
      </w:pPr>
    </w:p>
    <w:sectPr w:rsidR="00247CC1">
      <w:footerReference w:type="default" r:id="rId7"/>
      <w:headerReference w:type="first" r:id="rId8"/>
      <w:footerReference w:type="first" r:id="rId9"/>
      <w:pgSz w:w="11910" w:h="16840"/>
      <w:pgMar w:top="992" w:right="1418" w:bottom="1418" w:left="141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AD" w:rsidRDefault="007811AD">
      <w:pPr>
        <w:spacing w:line="240" w:lineRule="auto"/>
      </w:pPr>
      <w:r>
        <w:separator/>
      </w:r>
    </w:p>
  </w:endnote>
  <w:endnote w:type="continuationSeparator" w:id="0">
    <w:p w:rsidR="007811AD" w:rsidRDefault="00781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C1" w:rsidRDefault="00247CC1"/>
  <w:tbl>
    <w:tblPr>
      <w:tblStyle w:val="a0"/>
      <w:tblW w:w="9074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7"/>
    </w:tblGrid>
    <w:tr w:rsidR="00247CC1" w:rsidTr="00247CC1">
      <w:tc>
        <w:tcPr>
          <w:tcW w:w="453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47CC1" w:rsidRDefault="007811AD">
          <w:pPr>
            <w:spacing w:before="20" w:line="196" w:lineRule="auto"/>
            <w:ind w:right="20"/>
            <w:jc w:val="right"/>
            <w:rPr>
              <w:color w:val="4C4C4C"/>
              <w:sz w:val="12"/>
              <w:szCs w:val="12"/>
            </w:rPr>
          </w:pPr>
          <w:r>
            <w:rPr>
              <w:color w:val="4C4C4C"/>
              <w:sz w:val="12"/>
              <w:szCs w:val="12"/>
            </w:rPr>
            <w:t>KRS: 0000031521</w:t>
          </w:r>
        </w:p>
        <w:p w:rsidR="00247CC1" w:rsidRDefault="007811AD">
          <w:pPr>
            <w:spacing w:line="196" w:lineRule="auto"/>
            <w:ind w:left="20" w:right="20" w:firstLine="1280"/>
            <w:jc w:val="right"/>
            <w:rPr>
              <w:sz w:val="12"/>
              <w:szCs w:val="12"/>
            </w:rPr>
          </w:pPr>
          <w:r>
            <w:rPr>
              <w:color w:val="4C4C4C"/>
              <w:sz w:val="12"/>
              <w:szCs w:val="12"/>
            </w:rPr>
            <w:t>Rejonowy dla m.st. Warszawy XII Wydział Gospodarczy Krajowego Rejestru   Sądowego</w:t>
          </w:r>
        </w:p>
      </w:tc>
      <w:tc>
        <w:tcPr>
          <w:tcW w:w="453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47CC1" w:rsidRDefault="007811AD">
          <w:pPr>
            <w:spacing w:before="20" w:line="196" w:lineRule="auto"/>
            <w:ind w:left="20"/>
            <w:jc w:val="left"/>
            <w:rPr>
              <w:color w:val="4C4C4C"/>
              <w:sz w:val="12"/>
              <w:szCs w:val="12"/>
            </w:rPr>
          </w:pPr>
          <w:r>
            <w:rPr>
              <w:color w:val="4C4C4C"/>
              <w:sz w:val="12"/>
              <w:szCs w:val="12"/>
            </w:rPr>
            <w:t>NIP: 526 25 57 278, REGON 017319719</w:t>
          </w:r>
        </w:p>
        <w:p w:rsidR="00247CC1" w:rsidRDefault="007811AD">
          <w:pPr>
            <w:spacing w:line="196" w:lineRule="auto"/>
            <w:ind w:left="20"/>
            <w:jc w:val="left"/>
            <w:rPr>
              <w:color w:val="4C4C4C"/>
              <w:sz w:val="12"/>
              <w:szCs w:val="12"/>
            </w:rPr>
          </w:pPr>
          <w:r>
            <w:rPr>
              <w:color w:val="4C4C4C"/>
              <w:sz w:val="12"/>
              <w:szCs w:val="12"/>
            </w:rPr>
            <w:t>Kapitał Zakładowy: 1 540 606 500,00 zł</w:t>
          </w:r>
        </w:p>
        <w:p w:rsidR="00247CC1" w:rsidRDefault="007811AD">
          <w:pPr>
            <w:spacing w:line="196" w:lineRule="auto"/>
            <w:ind w:left="20"/>
            <w:jc w:val="left"/>
            <w:rPr>
              <w:sz w:val="12"/>
              <w:szCs w:val="12"/>
            </w:rPr>
          </w:pPr>
          <w:hyperlink r:id="rId1">
            <w:r>
              <w:rPr>
                <w:color w:val="1155CC"/>
                <w:sz w:val="12"/>
                <w:szCs w:val="12"/>
                <w:u w:val="single"/>
              </w:rPr>
              <w:t xml:space="preserve"> www.polregio.pl</w:t>
            </w:r>
          </w:hyperlink>
        </w:p>
      </w:tc>
    </w:tr>
  </w:tbl>
  <w:p w:rsidR="00247CC1" w:rsidRDefault="00247CC1">
    <w:pPr>
      <w:tabs>
        <w:tab w:val="center" w:pos="4536"/>
        <w:tab w:val="right" w:pos="9072"/>
      </w:tabs>
      <w:spacing w:after="72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C1" w:rsidRDefault="00247CC1"/>
  <w:tbl>
    <w:tblPr>
      <w:tblStyle w:val="a2"/>
      <w:tblW w:w="9074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7"/>
    </w:tblGrid>
    <w:tr w:rsidR="00247CC1" w:rsidTr="00247CC1">
      <w:tc>
        <w:tcPr>
          <w:tcW w:w="453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47CC1" w:rsidRDefault="007811AD">
          <w:pPr>
            <w:spacing w:before="20" w:line="196" w:lineRule="auto"/>
            <w:ind w:right="20"/>
            <w:jc w:val="right"/>
            <w:rPr>
              <w:color w:val="4C4C4C"/>
              <w:sz w:val="12"/>
              <w:szCs w:val="12"/>
            </w:rPr>
          </w:pPr>
          <w:r>
            <w:rPr>
              <w:color w:val="4C4C4C"/>
              <w:sz w:val="12"/>
              <w:szCs w:val="12"/>
            </w:rPr>
            <w:t>KRS: 0000031521</w:t>
          </w:r>
        </w:p>
        <w:p w:rsidR="00247CC1" w:rsidRDefault="007811AD">
          <w:pPr>
            <w:spacing w:line="196" w:lineRule="auto"/>
            <w:ind w:left="20" w:right="20" w:firstLine="1280"/>
            <w:jc w:val="right"/>
            <w:rPr>
              <w:sz w:val="12"/>
              <w:szCs w:val="12"/>
            </w:rPr>
          </w:pPr>
          <w:r>
            <w:rPr>
              <w:color w:val="4C4C4C"/>
              <w:sz w:val="12"/>
              <w:szCs w:val="12"/>
            </w:rPr>
            <w:t>Rejonowy dla m.st. Warszawy XII Wydział Gospodarczy Krajowego Rejestru   Sądowego</w:t>
          </w:r>
        </w:p>
      </w:tc>
      <w:tc>
        <w:tcPr>
          <w:tcW w:w="453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47CC1" w:rsidRDefault="007811AD">
          <w:pPr>
            <w:spacing w:before="20" w:line="196" w:lineRule="auto"/>
            <w:ind w:left="20"/>
            <w:jc w:val="left"/>
            <w:rPr>
              <w:color w:val="4C4C4C"/>
              <w:sz w:val="12"/>
              <w:szCs w:val="12"/>
            </w:rPr>
          </w:pPr>
          <w:r>
            <w:rPr>
              <w:color w:val="4C4C4C"/>
              <w:sz w:val="12"/>
              <w:szCs w:val="12"/>
            </w:rPr>
            <w:t>NIP: 526 25 57 278, REGON 017319719</w:t>
          </w:r>
        </w:p>
        <w:p w:rsidR="00247CC1" w:rsidRDefault="007811AD">
          <w:pPr>
            <w:spacing w:line="196" w:lineRule="auto"/>
            <w:ind w:left="20"/>
            <w:jc w:val="left"/>
            <w:rPr>
              <w:color w:val="4C4C4C"/>
              <w:sz w:val="12"/>
              <w:szCs w:val="12"/>
            </w:rPr>
          </w:pPr>
          <w:r>
            <w:rPr>
              <w:color w:val="4C4C4C"/>
              <w:sz w:val="12"/>
              <w:szCs w:val="12"/>
            </w:rPr>
            <w:t>Kapitał Zakładowy: 1 540 606 500,00 zł</w:t>
          </w:r>
        </w:p>
        <w:p w:rsidR="00247CC1" w:rsidRDefault="007811AD">
          <w:pPr>
            <w:spacing w:line="196" w:lineRule="auto"/>
            <w:ind w:left="20"/>
            <w:jc w:val="left"/>
            <w:rPr>
              <w:sz w:val="12"/>
              <w:szCs w:val="12"/>
            </w:rPr>
          </w:pPr>
          <w:hyperlink r:id="rId1">
            <w:r>
              <w:rPr>
                <w:color w:val="1155CC"/>
                <w:sz w:val="12"/>
                <w:szCs w:val="12"/>
                <w:u w:val="single"/>
              </w:rPr>
              <w:t xml:space="preserve"> www.polregio.pl</w:t>
            </w:r>
          </w:hyperlink>
        </w:p>
      </w:tc>
    </w:tr>
  </w:tbl>
  <w:p w:rsidR="00247CC1" w:rsidRDefault="00247CC1">
    <w:pPr>
      <w:tabs>
        <w:tab w:val="center" w:pos="4536"/>
        <w:tab w:val="right" w:pos="9072"/>
      </w:tabs>
      <w:spacing w:after="72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AD" w:rsidRDefault="007811AD">
      <w:pPr>
        <w:spacing w:line="240" w:lineRule="auto"/>
      </w:pPr>
      <w:r>
        <w:separator/>
      </w:r>
    </w:p>
  </w:footnote>
  <w:footnote w:type="continuationSeparator" w:id="0">
    <w:p w:rsidR="007811AD" w:rsidRDefault="00781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C1" w:rsidRDefault="00247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7CC1"/>
    <w:rsid w:val="00247CC1"/>
    <w:rsid w:val="007811AD"/>
    <w:rsid w:val="00C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widowControl w:val="0"/>
        <w:spacing w:line="2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E5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000000"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b/>
      <w:i/>
      <w:color w:val="000000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5"/>
    </w:pPr>
    <w:rPr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</w:pPr>
    <w:rPr>
      <w:color w:val="E50000"/>
      <w:sz w:val="52"/>
      <w:szCs w:val="5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</w:pPr>
    <w:rPr>
      <w:b/>
      <w:color w:val="595959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Nagwek">
    <w:name w:val="header"/>
    <w:basedOn w:val="Normalny"/>
    <w:link w:val="NagwekZnak"/>
    <w:uiPriority w:val="99"/>
    <w:unhideWhenUsed/>
    <w:rsid w:val="00C27B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D"/>
  </w:style>
  <w:style w:type="paragraph" w:styleId="Stopka">
    <w:name w:val="footer"/>
    <w:basedOn w:val="Normalny"/>
    <w:link w:val="StopkaZnak"/>
    <w:uiPriority w:val="99"/>
    <w:unhideWhenUsed/>
    <w:rsid w:val="00C27B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widowControl w:val="0"/>
        <w:spacing w:line="2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E5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000000"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b/>
      <w:i/>
      <w:color w:val="000000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5"/>
    </w:pPr>
    <w:rPr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</w:pPr>
    <w:rPr>
      <w:color w:val="E50000"/>
      <w:sz w:val="52"/>
      <w:szCs w:val="5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</w:pPr>
    <w:rPr>
      <w:b/>
      <w:color w:val="595959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Nagwek">
    <w:name w:val="header"/>
    <w:basedOn w:val="Normalny"/>
    <w:link w:val="NagwekZnak"/>
    <w:uiPriority w:val="99"/>
    <w:unhideWhenUsed/>
    <w:rsid w:val="00C27B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D"/>
  </w:style>
  <w:style w:type="paragraph" w:styleId="Stopka">
    <w:name w:val="footer"/>
    <w:basedOn w:val="Normalny"/>
    <w:link w:val="StopkaZnak"/>
    <w:uiPriority w:val="99"/>
    <w:unhideWhenUsed/>
    <w:rsid w:val="00C27B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regio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regi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Dąbrowska</dc:creator>
  <cp:lastModifiedBy>DELL</cp:lastModifiedBy>
  <cp:revision>2</cp:revision>
  <dcterms:created xsi:type="dcterms:W3CDTF">2019-05-02T17:52:00Z</dcterms:created>
  <dcterms:modified xsi:type="dcterms:W3CDTF">2019-05-02T17:52:00Z</dcterms:modified>
</cp:coreProperties>
</file>