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B08F71C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FD39F9" w:rsidRPr="00FD39F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podzespołów komputerowych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25A9FF5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1B715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83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D5496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D7F932" w14:textId="77777777" w:rsidR="00B841ED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</w:p>
    <w:p w14:paraId="27C5C714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9C243B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1A99ABB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EE65091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6DD530F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9385D7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90E14E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9A54E8C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7D78DD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C76ECA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CDE7B5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2D31DC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93ED1A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D188D2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2FE01BE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17E579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2A280E3" w14:textId="77777777" w:rsidR="00B841ED" w:rsidRDefault="00B841ED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68CB199D" w:rsidR="00B7608D" w:rsidRPr="00E054BA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bookmarkStart w:id="0" w:name="_GoBack"/>
      <w:bookmarkEnd w:id="0"/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45DF3A9B" w14:textId="3EB25450" w:rsidR="00272E3F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BBC0F44" w14:textId="77777777" w:rsidR="00B841ED" w:rsidRDefault="00B841ED" w:rsidP="00B841ED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mgr Agnieszka Maj – Z-ca Kanclerza </w:t>
      </w:r>
    </w:p>
    <w:p w14:paraId="08A27228" w14:textId="77777777" w:rsidR="00B841ED" w:rsidRDefault="00B841ED" w:rsidP="00B841ED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ds. Inwestycji i Zarządzania Logistycznego</w:t>
      </w:r>
    </w:p>
    <w:p w14:paraId="5A596431" w14:textId="77777777" w:rsidR="00B841ED" w:rsidRPr="00E054BA" w:rsidRDefault="00B841ED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E210659" w14:textId="76A5FB3E" w:rsidR="00FD39F9" w:rsidRPr="00FD39F9" w:rsidRDefault="00FD39F9" w:rsidP="001853B6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mgr Agnieszkaa Kanclerza ds. Inwestycji</w:t>
      </w:r>
    </w:p>
    <w:p w14:paraId="3B7C09F2" w14:textId="6EDC0CF9" w:rsidR="00E054BA" w:rsidRPr="00B841ED" w:rsidRDefault="00FD39F9" w:rsidP="00B841ED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 xml:space="preserve"> i Zarządzania Logistycznego</w:t>
      </w: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1D9E309C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B715B"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D54969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46D658DC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7ACE6A04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BFFD841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5742B87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C3A4F28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4C5516DF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030AE7CE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38FE4B65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D4007A4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69122C89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2BC394CE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24094C13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1C8A108C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40994A4A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182D6F44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2F4BF7DA" w:rsidR="002E4CF0" w:rsidRPr="002E4CF0" w:rsidRDefault="00B841ED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F6602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11728C3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…</w:t>
      </w:r>
      <w:r w:rsidR="00D54969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 w:rsidP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2396887"/>
      <w:r>
        <w:br w:type="page"/>
      </w:r>
    </w:p>
    <w:p w14:paraId="22415C31" w14:textId="431E63F6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317F712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  <w:r w:rsidR="001D0D83">
        <w:rPr>
          <w:rFonts w:cs="Arial"/>
          <w:szCs w:val="20"/>
          <w:lang w:eastAsia="pl-PL"/>
        </w:rPr>
        <w:t xml:space="preserve">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60E1DC8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D54969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D54969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>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48A44115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D54969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0025208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0A13B2" w:rsidRPr="000A13B2">
        <w:rPr>
          <w:rFonts w:eastAsia="Calibri"/>
          <w:b/>
        </w:rPr>
        <w:t>podzespołów komputerowych</w:t>
      </w:r>
      <w:r w:rsidR="00103256" w:rsidRPr="000A13B2">
        <w:rPr>
          <w:rFonts w:eastAsia="Calibri"/>
        </w:rPr>
        <w:t>”;</w:t>
      </w:r>
    </w:p>
    <w:p w14:paraId="16F73FD3" w14:textId="3F1D11E1" w:rsidR="003E6287" w:rsidRDefault="00F85C46" w:rsidP="003E6287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1B715B">
        <w:rPr>
          <w:b/>
        </w:rPr>
        <w:t>83</w:t>
      </w:r>
      <w:r w:rsidR="00F667CF">
        <w:rPr>
          <w:b/>
        </w:rPr>
        <w:t>.202</w:t>
      </w:r>
      <w:r w:rsidR="00D54969">
        <w:rPr>
          <w:b/>
        </w:rPr>
        <w:t>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  <w:bookmarkStart w:id="6" w:name="_Hlk167792528"/>
    </w:p>
    <w:p w14:paraId="40AB1996" w14:textId="1C6752D2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7" w:name="_Toc375581633"/>
      <w:bookmarkStart w:id="8" w:name="_Toc375581815"/>
      <w:bookmarkStart w:id="9" w:name="_Toc375582132"/>
      <w:bookmarkStart w:id="10" w:name="_Toc62396888"/>
      <w:bookmarkEnd w:id="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5EB24A79" w:rsidR="009F1A4A" w:rsidRDefault="006C2E8C" w:rsidP="006C2E8C">
      <w:pPr>
        <w:pStyle w:val="Nagwek3"/>
        <w:numPr>
          <w:ilvl w:val="0"/>
          <w:numId w:val="0"/>
        </w:numPr>
        <w:ind w:left="851"/>
        <w:rPr>
          <w:noProof/>
        </w:rPr>
      </w:pPr>
      <w:r w:rsidRPr="00B401EC">
        <w:rPr>
          <w:rFonts w:eastAsia="Calibri" w:cs="Arial"/>
          <w:szCs w:val="20"/>
        </w:rPr>
        <w:t xml:space="preserve"> </w:t>
      </w:r>
      <w:r w:rsidR="00170642" w:rsidRPr="00B401EC">
        <w:rPr>
          <w:rFonts w:eastAsia="Calibri" w:cs="Arial"/>
          <w:szCs w:val="20"/>
        </w:rPr>
        <w:t xml:space="preserve">Przedmiotem zamówienia jest </w:t>
      </w:r>
      <w:r w:rsidR="00F01E4E" w:rsidRPr="00B401EC">
        <w:rPr>
          <w:rFonts w:eastAsia="Calibri" w:cs="Arial"/>
          <w:szCs w:val="20"/>
        </w:rPr>
        <w:t xml:space="preserve">dostawa </w:t>
      </w:r>
      <w:r w:rsidR="000A13B2" w:rsidRPr="00B401EC">
        <w:rPr>
          <w:rFonts w:eastAsia="Calibri" w:cs="Arial"/>
          <w:szCs w:val="20"/>
        </w:rPr>
        <w:t>podzespołów komputerowych</w:t>
      </w:r>
      <w:r w:rsidR="00374699" w:rsidRPr="00B401EC">
        <w:rPr>
          <w:rFonts w:eastAsia="Calibri" w:cs="Arial"/>
          <w:szCs w:val="20"/>
        </w:rPr>
        <w:t>:</w:t>
      </w:r>
      <w:r w:rsidR="00D54969">
        <w:rPr>
          <w:rFonts w:eastAsia="Calibri" w:cs="Arial"/>
          <w:szCs w:val="20"/>
        </w:rPr>
        <w:t xml:space="preserve"> (</w:t>
      </w:r>
      <w:r w:rsidR="00BF62FE">
        <w:rPr>
          <w:rFonts w:eastAsia="Calibri" w:cs="Arial"/>
          <w:szCs w:val="20"/>
        </w:rPr>
        <w:t xml:space="preserve">dyski- </w:t>
      </w:r>
      <w:r w:rsidR="00067359">
        <w:rPr>
          <w:rFonts w:eastAsia="Calibri" w:cs="Arial"/>
          <w:szCs w:val="20"/>
        </w:rPr>
        <w:t>2</w:t>
      </w:r>
      <w:r w:rsidR="00BF62FE">
        <w:rPr>
          <w:rFonts w:eastAsia="Calibri" w:cs="Arial"/>
          <w:szCs w:val="20"/>
        </w:rPr>
        <w:t xml:space="preserve"> </w:t>
      </w:r>
      <w:proofErr w:type="spellStart"/>
      <w:r w:rsidR="00BF62FE">
        <w:rPr>
          <w:rFonts w:eastAsia="Calibri" w:cs="Arial"/>
          <w:szCs w:val="20"/>
        </w:rPr>
        <w:t>szt.,</w:t>
      </w:r>
      <w:r w:rsidR="00D54969">
        <w:rPr>
          <w:rFonts w:eastAsia="Calibri" w:cs="Arial"/>
          <w:szCs w:val="20"/>
        </w:rPr>
        <w:t>pamięci</w:t>
      </w:r>
      <w:proofErr w:type="spellEnd"/>
      <w:r w:rsidR="00D54969">
        <w:rPr>
          <w:rFonts w:eastAsia="Calibri" w:cs="Arial"/>
          <w:szCs w:val="20"/>
        </w:rPr>
        <w:t xml:space="preserve"> RAM – 3 szt.</w:t>
      </w:r>
      <w:r w:rsidR="00B401EC">
        <w:rPr>
          <w:rFonts w:eastAsia="Calibri" w:cs="Arial"/>
          <w:szCs w:val="20"/>
        </w:rPr>
        <w:t>, procesor-6 szt.</w:t>
      </w:r>
      <w:r w:rsidR="00D54969">
        <w:rPr>
          <w:rFonts w:eastAsia="Calibri" w:cs="Arial"/>
          <w:szCs w:val="20"/>
        </w:rPr>
        <w:t>)</w:t>
      </w:r>
      <w:r w:rsidR="00621EAA">
        <w:rPr>
          <w:rFonts w:eastAsia="Calibri" w:cs="Arial"/>
          <w:szCs w:val="20"/>
        </w:rPr>
        <w:t xml:space="preserve">, </w:t>
      </w:r>
      <w:r w:rsidR="00621EAA" w:rsidRPr="009F1A4A">
        <w:rPr>
          <w:rFonts w:eastAsia="Calibri" w:cs="Arial"/>
          <w:szCs w:val="20"/>
        </w:rPr>
        <w:t>określon</w:t>
      </w:r>
      <w:r w:rsidR="00324801">
        <w:rPr>
          <w:rFonts w:eastAsia="Calibri" w:cs="Arial"/>
          <w:szCs w:val="20"/>
        </w:rPr>
        <w:t>ych</w:t>
      </w:r>
      <w:r w:rsidR="00621EAA" w:rsidRPr="009F1A4A">
        <w:rPr>
          <w:rFonts w:eastAsia="Calibri" w:cs="Arial"/>
          <w:szCs w:val="20"/>
        </w:rPr>
        <w:t xml:space="preserve"> w załączniku nr 2 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24801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0A13B2">
        <w:rPr>
          <w:rFonts w:eastAsia="Calibri" w:cs="Arial"/>
          <w:szCs w:val="20"/>
        </w:rPr>
        <w:t>podzespołami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</w:t>
      </w:r>
      <w:r w:rsidR="000A13B2" w:rsidRPr="000A13B2">
        <w:rPr>
          <w:rFonts w:eastAsia="Calibri" w:cs="Arial"/>
          <w:bCs w:val="0"/>
          <w:szCs w:val="20"/>
        </w:rPr>
        <w:t>podzespoł</w:t>
      </w:r>
      <w:r w:rsidR="000A13B2">
        <w:rPr>
          <w:rFonts w:eastAsia="Calibri" w:cs="Arial"/>
          <w:bCs w:val="0"/>
          <w:szCs w:val="20"/>
        </w:rPr>
        <w:t>y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0A13B2">
        <w:rPr>
          <w:rFonts w:eastAsia="Calibri" w:cs="Arial"/>
          <w:szCs w:val="20"/>
        </w:rPr>
        <w:t>zą</w:t>
      </w:r>
      <w:r w:rsidR="009F1A4A">
        <w:rPr>
          <w:rFonts w:eastAsia="Calibri" w:cs="Arial"/>
          <w:szCs w:val="20"/>
        </w:rPr>
        <w:t xml:space="preserve"> być fabrycznie now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 i nieużywan</w:t>
      </w:r>
      <w:r w:rsidR="000A13B2">
        <w:rPr>
          <w:rFonts w:eastAsia="Calibri" w:cs="Arial"/>
          <w:bCs w:val="0"/>
          <w:szCs w:val="20"/>
        </w:rPr>
        <w:t>e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1" w:name="_Hlk62805908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D54969">
        <w:rPr>
          <w:noProof/>
        </w:rPr>
        <w:t>3</w:t>
      </w:r>
      <w:r w:rsidR="009F1A4A">
        <w:rPr>
          <w:noProof/>
        </w:rPr>
        <w:t xml:space="preserve">, spełniać wymagane normy, posiadać stosowne </w:t>
      </w:r>
      <w:r w:rsidR="004C6B89" w:rsidRPr="00D441FA">
        <w:t>aprobaty i </w:t>
      </w:r>
      <w:r w:rsidR="004C6B89">
        <w:rPr>
          <w:noProof/>
        </w:rPr>
        <w:t xml:space="preserve"> </w:t>
      </w:r>
      <w:r w:rsidR="009F1A4A">
        <w:rPr>
          <w:noProof/>
        </w:rPr>
        <w:t>certyfikaty, być dopuszczon</w:t>
      </w:r>
      <w:r w:rsidR="000A13B2">
        <w:rPr>
          <w:noProof/>
        </w:rPr>
        <w:t>e</w:t>
      </w:r>
      <w:r w:rsidR="009F1A4A">
        <w:rPr>
          <w:noProof/>
        </w:rPr>
        <w:t xml:space="preserve"> do sprzedaży i użytkowania na terenie RP.</w:t>
      </w:r>
      <w:bookmarkEnd w:id="11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0A13B2">
        <w:rPr>
          <w:rFonts w:eastAsia="Calibri" w:cs="Arial"/>
          <w:bCs w:val="0"/>
          <w:szCs w:val="20"/>
        </w:rPr>
        <w:t>podzespołów</w:t>
      </w:r>
      <w:r w:rsidR="009F1A4A">
        <w:rPr>
          <w:rFonts w:eastAsia="Calibri" w:cs="Arial"/>
          <w:bCs w:val="0"/>
          <w:szCs w:val="20"/>
        </w:rPr>
        <w:t>.</w:t>
      </w:r>
    </w:p>
    <w:p w14:paraId="5EF931F0" w14:textId="644D70B8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dostarczenie </w:t>
      </w:r>
      <w:r w:rsidR="000A13B2">
        <w:rPr>
          <w:rFonts w:eastAsia="Calibri" w:cs="Arial"/>
          <w:bCs/>
          <w:szCs w:val="20"/>
        </w:rPr>
        <w:t>podzespołów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1C5BF5">
        <w:rPr>
          <w:rFonts w:eastAsia="Calibri" w:cs="Arial"/>
          <w:bCs/>
          <w:szCs w:val="20"/>
        </w:rPr>
        <w:t xml:space="preserve">. 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lastRenderedPageBreak/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04094D9F" w14:textId="0BAF9AE3" w:rsidR="00F667CF" w:rsidRPr="000F248B" w:rsidRDefault="00F667CF" w:rsidP="005815A4">
      <w:pPr>
        <w:ind w:firstLine="0"/>
        <w:rPr>
          <w:rFonts w:cs="Arial"/>
          <w:strike/>
          <w:szCs w:val="20"/>
          <w:lang w:eastAsia="pl-PL"/>
        </w:rPr>
      </w:pPr>
      <w:r w:rsidRPr="00F667CF">
        <w:rPr>
          <w:rFonts w:cs="Arial"/>
          <w:szCs w:val="20"/>
          <w:lang w:eastAsia="pl-PL"/>
        </w:rPr>
        <w:t xml:space="preserve">30236110-6 </w:t>
      </w:r>
      <w:r>
        <w:rPr>
          <w:rFonts w:cs="Arial"/>
          <w:szCs w:val="20"/>
          <w:lang w:eastAsia="pl-PL"/>
        </w:rPr>
        <w:tab/>
      </w:r>
      <w:r w:rsidRPr="00EE6513">
        <w:rPr>
          <w:rFonts w:cs="Arial"/>
          <w:szCs w:val="20"/>
          <w:lang w:eastAsia="pl-PL"/>
        </w:rPr>
        <w:t>Pamięć o dostępie swobodnym (RAM)</w:t>
      </w:r>
    </w:p>
    <w:p w14:paraId="6AD59DCD" w14:textId="32C7DD71" w:rsidR="00BF62FE" w:rsidRDefault="00BF62FE" w:rsidP="005815A4">
      <w:pPr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30233132-5 </w:t>
      </w:r>
      <w:r w:rsidRPr="00BF62FE">
        <w:rPr>
          <w:rFonts w:cs="Arial"/>
          <w:szCs w:val="20"/>
          <w:lang w:eastAsia="pl-PL"/>
        </w:rPr>
        <w:t>Napędy dyskowe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3B7F5554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7D3A4866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0A13B2">
        <w:rPr>
          <w:rFonts w:eastAsia="Calibri"/>
          <w:lang w:val="pl-PL"/>
        </w:rPr>
        <w:t>ych</w:t>
      </w:r>
      <w:r w:rsidR="009F21F0">
        <w:rPr>
          <w:rFonts w:eastAsia="Calibri"/>
        </w:rPr>
        <w:t xml:space="preserve"> </w:t>
      </w:r>
      <w:r w:rsidR="000A13B2">
        <w:rPr>
          <w:rFonts w:eastAsia="Calibri"/>
          <w:lang w:val="pl-PL"/>
        </w:rPr>
        <w:t>podzespołów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68DEC5DB" w14:textId="77777777" w:rsidR="00547881" w:rsidRPr="00547881" w:rsidRDefault="00547881" w:rsidP="00547881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/>
        </w:rPr>
      </w:pPr>
      <w:r w:rsidRPr="00547881">
        <w:rPr>
          <w:rFonts w:eastAsia="Calibri"/>
        </w:rPr>
        <w:t>Zamawiający dopuszcza możliwość składania ofert częściowych:</w:t>
      </w:r>
    </w:p>
    <w:p w14:paraId="772A43B4" w14:textId="77777777" w:rsidR="00547881" w:rsidRPr="00547881" w:rsidRDefault="00547881" w:rsidP="00547881">
      <w:pPr>
        <w:pStyle w:val="Nagwek4"/>
        <w:numPr>
          <w:ilvl w:val="0"/>
          <w:numId w:val="66"/>
        </w:numPr>
        <w:spacing w:line="324" w:lineRule="auto"/>
        <w:ind w:hanging="11"/>
        <w:rPr>
          <w:rFonts w:eastAsia="Calibri" w:cstheme="minorBidi"/>
          <w:b/>
          <w:bCs w:val="0"/>
          <w:szCs w:val="22"/>
          <w:lang w:eastAsia="en-US"/>
        </w:rPr>
      </w:pPr>
      <w:r w:rsidRPr="00547881">
        <w:rPr>
          <w:rFonts w:eastAsia="Calibri" w:cstheme="minorBidi"/>
          <w:b/>
          <w:bCs w:val="0"/>
          <w:szCs w:val="22"/>
          <w:lang w:eastAsia="en-US"/>
        </w:rPr>
        <w:t xml:space="preserve">część A: </w:t>
      </w:r>
    </w:p>
    <w:p w14:paraId="4FD6A478" w14:textId="764D8E78" w:rsidR="00547881" w:rsidRDefault="00547881" w:rsidP="00547881">
      <w:pPr>
        <w:pStyle w:val="Nagwek3"/>
        <w:numPr>
          <w:ilvl w:val="0"/>
          <w:numId w:val="67"/>
        </w:numPr>
        <w:spacing w:before="60" w:after="60"/>
        <w:rPr>
          <w:rFonts w:eastAsia="Calibri"/>
          <w:iCs/>
          <w:szCs w:val="20"/>
        </w:rPr>
      </w:pPr>
      <w:bookmarkStart w:id="12" w:name="_Hlk177380727"/>
      <w:r w:rsidRPr="00547881">
        <w:rPr>
          <w:rFonts w:eastAsia="Calibri"/>
          <w:iCs/>
          <w:szCs w:val="20"/>
        </w:rPr>
        <w:t xml:space="preserve">poz. 1 Dysk SSD – 1 szt. </w:t>
      </w:r>
    </w:p>
    <w:p w14:paraId="0BC0368B" w14:textId="3DFEA4C2" w:rsidR="00547881" w:rsidRPr="00547881" w:rsidRDefault="00547881" w:rsidP="00547881">
      <w:pPr>
        <w:pStyle w:val="Nagwek3"/>
        <w:numPr>
          <w:ilvl w:val="0"/>
          <w:numId w:val="67"/>
        </w:numPr>
        <w:spacing w:before="60" w:after="60"/>
        <w:rPr>
          <w:rFonts w:eastAsia="Calibri"/>
          <w:iCs/>
          <w:szCs w:val="20"/>
        </w:rPr>
      </w:pPr>
      <w:r w:rsidRPr="00547881">
        <w:rPr>
          <w:rFonts w:eastAsia="Calibri"/>
          <w:iCs/>
          <w:szCs w:val="20"/>
        </w:rPr>
        <w:t>poz.</w:t>
      </w:r>
      <w:r w:rsidR="006F034F">
        <w:rPr>
          <w:rFonts w:eastAsia="Calibri"/>
          <w:iCs/>
          <w:szCs w:val="20"/>
        </w:rPr>
        <w:t>2</w:t>
      </w:r>
      <w:r w:rsidRPr="00547881">
        <w:rPr>
          <w:rFonts w:eastAsia="Calibri"/>
          <w:iCs/>
          <w:szCs w:val="20"/>
        </w:rPr>
        <w:t xml:space="preserve">  Pamięć RAM – 3 szt. </w:t>
      </w:r>
    </w:p>
    <w:p w14:paraId="67F92406" w14:textId="3B5B69B8" w:rsidR="00547881" w:rsidRDefault="00547881" w:rsidP="00547881">
      <w:pPr>
        <w:pStyle w:val="Nagwek3"/>
        <w:numPr>
          <w:ilvl w:val="0"/>
          <w:numId w:val="67"/>
        </w:numPr>
        <w:spacing w:before="60" w:after="60"/>
        <w:rPr>
          <w:rFonts w:eastAsia="Calibri"/>
          <w:iCs/>
          <w:szCs w:val="20"/>
        </w:rPr>
      </w:pPr>
      <w:r w:rsidRPr="00547881">
        <w:rPr>
          <w:rFonts w:eastAsia="Calibri"/>
          <w:iCs/>
          <w:szCs w:val="20"/>
        </w:rPr>
        <w:t xml:space="preserve">poz. </w:t>
      </w:r>
      <w:r w:rsidR="006F034F">
        <w:rPr>
          <w:rFonts w:eastAsia="Calibri"/>
          <w:iCs/>
          <w:szCs w:val="20"/>
        </w:rPr>
        <w:t>3</w:t>
      </w:r>
      <w:r w:rsidRPr="00547881">
        <w:rPr>
          <w:rFonts w:eastAsia="Calibri"/>
          <w:iCs/>
          <w:szCs w:val="20"/>
        </w:rPr>
        <w:t xml:space="preserve">  Dysk twardy  – 1 szt. </w:t>
      </w:r>
    </w:p>
    <w:bookmarkEnd w:id="12"/>
    <w:p w14:paraId="0AAD5E76" w14:textId="77777777" w:rsidR="00547881" w:rsidRPr="00547881" w:rsidRDefault="00547881" w:rsidP="00547881">
      <w:pPr>
        <w:pStyle w:val="Nagwek4"/>
        <w:numPr>
          <w:ilvl w:val="0"/>
          <w:numId w:val="66"/>
        </w:numPr>
        <w:spacing w:line="324" w:lineRule="auto"/>
        <w:ind w:hanging="11"/>
        <w:rPr>
          <w:rFonts w:eastAsia="Calibri"/>
          <w:b/>
          <w:bCs w:val="0"/>
          <w:iCs w:val="0"/>
        </w:rPr>
      </w:pPr>
      <w:r w:rsidRPr="00547881">
        <w:rPr>
          <w:rFonts w:eastAsia="Calibri"/>
          <w:b/>
        </w:rPr>
        <w:t xml:space="preserve">część </w:t>
      </w:r>
      <w:r w:rsidRPr="00547881">
        <w:rPr>
          <w:rFonts w:eastAsia="Calibri"/>
          <w:b/>
          <w:bCs w:val="0"/>
          <w:iCs w:val="0"/>
        </w:rPr>
        <w:t>B</w:t>
      </w:r>
      <w:r w:rsidRPr="00547881">
        <w:rPr>
          <w:rFonts w:eastAsia="Calibri"/>
          <w:b/>
        </w:rPr>
        <w:t xml:space="preserve">: </w:t>
      </w:r>
    </w:p>
    <w:p w14:paraId="193041BF" w14:textId="487DBB87" w:rsidR="00547881" w:rsidRPr="00B401EC" w:rsidRDefault="00547881" w:rsidP="00B401EC">
      <w:pPr>
        <w:pStyle w:val="Nagwek3"/>
        <w:numPr>
          <w:ilvl w:val="0"/>
          <w:numId w:val="67"/>
        </w:numPr>
        <w:spacing w:before="60" w:after="60"/>
        <w:rPr>
          <w:rFonts w:eastAsia="Calibri"/>
          <w:bCs w:val="0"/>
          <w:lang w:val="x-none"/>
        </w:rPr>
      </w:pPr>
      <w:r w:rsidRPr="00991AAD">
        <w:rPr>
          <w:rFonts w:eastAsia="Calibri"/>
        </w:rPr>
        <w:t xml:space="preserve">Procesor </w:t>
      </w:r>
      <w:r w:rsidRPr="00313CD4">
        <w:rPr>
          <w:rFonts w:eastAsia="Calibri"/>
        </w:rPr>
        <w:t xml:space="preserve">– </w:t>
      </w:r>
      <w:r>
        <w:rPr>
          <w:rFonts w:eastAsia="Calibri"/>
        </w:rPr>
        <w:t>6</w:t>
      </w:r>
      <w:r w:rsidRPr="00313CD4">
        <w:rPr>
          <w:rFonts w:eastAsia="Calibri"/>
        </w:rPr>
        <w:t xml:space="preserve"> szt. </w:t>
      </w:r>
    </w:p>
    <w:p w14:paraId="6071288F" w14:textId="77777777" w:rsidR="00B401EC" w:rsidRPr="00B401EC" w:rsidRDefault="00B401EC" w:rsidP="00B401EC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/>
        </w:rPr>
      </w:pPr>
      <w:r w:rsidRPr="00B401EC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wykonawcy.</w:t>
      </w:r>
    </w:p>
    <w:p w14:paraId="4DCC4DC4" w14:textId="02812CBE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06B9A911" w14:textId="6559D1B8" w:rsidR="000518A0" w:rsidRPr="00382315" w:rsidRDefault="00F0343C" w:rsidP="00432B95">
      <w:pPr>
        <w:pStyle w:val="Nagwek2"/>
        <w:keepNext w:val="0"/>
        <w:ind w:left="567" w:hanging="283"/>
      </w:pPr>
      <w:r w:rsidRPr="00382315">
        <w:t xml:space="preserve">Termin realizacji zamówienia: do </w:t>
      </w:r>
      <w:r w:rsidR="0006720C">
        <w:t>21</w:t>
      </w:r>
      <w:r w:rsidR="00132DCD">
        <w:t xml:space="preserve"> dni </w:t>
      </w:r>
      <w:r w:rsidRPr="00382315">
        <w:t xml:space="preserve">od daty zawarcia umowy. </w:t>
      </w:r>
    </w:p>
    <w:p w14:paraId="7BEEE217" w14:textId="3DEEA934" w:rsidR="00F85C46" w:rsidRPr="00BF716F" w:rsidRDefault="00F0343C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4E7C37CF" w:rsidR="00F85C46" w:rsidRPr="00382315" w:rsidRDefault="00F85C46" w:rsidP="003B7C71">
      <w:pPr>
        <w:pStyle w:val="Nagwek3"/>
        <w:numPr>
          <w:ilvl w:val="0"/>
          <w:numId w:val="50"/>
        </w:numPr>
        <w:ind w:left="851" w:hanging="284"/>
      </w:pPr>
      <w:r w:rsidRPr="00382315">
        <w:t>Adres dostawy:</w:t>
      </w:r>
      <w:bookmarkStart w:id="13" w:name="_Hlk64364983"/>
      <w:r w:rsidR="001325DB">
        <w:t xml:space="preserve"> część A-</w:t>
      </w:r>
      <w:r w:rsidR="006C2E8C">
        <w:t xml:space="preserve"> </w:t>
      </w:r>
      <w:r w:rsidR="00132DCD" w:rsidRPr="00132DCD">
        <w:t>Uniwersytet Śląski w Katowicach,</w:t>
      </w:r>
      <w:r w:rsidR="000F248B" w:rsidRPr="000F248B">
        <w:t xml:space="preserve"> Dział Zarządzania Dostawami, ul. Bankowa 14, p. 311, 40-007 Katowice</w:t>
      </w:r>
      <w:r w:rsidR="00132DCD" w:rsidRPr="00132DCD">
        <w:t xml:space="preserve"> </w:t>
      </w:r>
      <w:bookmarkEnd w:id="13"/>
      <w:r w:rsidR="00735557">
        <w:t xml:space="preserve">; </w:t>
      </w:r>
      <w:r w:rsidR="003B7C71">
        <w:t xml:space="preserve"> </w:t>
      </w:r>
      <w:r w:rsidR="001325DB" w:rsidRPr="001325DB">
        <w:t xml:space="preserve">część </w:t>
      </w:r>
      <w:r w:rsidR="001325DB">
        <w:t>B-</w:t>
      </w:r>
      <w:r w:rsidR="001325DB" w:rsidRPr="001325DB">
        <w:t xml:space="preserve"> Biblioteka Uniwersytetu Śląskiego ul. Bankowa 11A, 40-007 Katowice.</w:t>
      </w:r>
    </w:p>
    <w:p w14:paraId="2D356903" w14:textId="5E9E4209" w:rsidR="0006720C" w:rsidRPr="00D54969" w:rsidRDefault="009F1A4A" w:rsidP="003B7C71">
      <w:pPr>
        <w:pStyle w:val="Nagwek3"/>
        <w:numPr>
          <w:ilvl w:val="0"/>
          <w:numId w:val="50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 na oferowane podzespoły</w:t>
      </w:r>
      <w:r w:rsidRPr="00A63A3E">
        <w:t xml:space="preserve"> wynosi</w:t>
      </w:r>
      <w:r w:rsidRPr="00466DF6">
        <w:rPr>
          <w:b/>
        </w:rPr>
        <w:t>:</w:t>
      </w:r>
      <w:r w:rsidR="00D54969" w:rsidRPr="00466DF6">
        <w:rPr>
          <w:b/>
        </w:rPr>
        <w:t xml:space="preserve"> </w:t>
      </w:r>
      <w:r w:rsidR="00B401EC">
        <w:rPr>
          <w:b/>
        </w:rPr>
        <w:t xml:space="preserve">część A: </w:t>
      </w:r>
      <w:r w:rsidR="003B7C71">
        <w:t xml:space="preserve"> </w:t>
      </w:r>
      <w:r w:rsidR="006C2E8C">
        <w:t>poz. 1</w:t>
      </w:r>
      <w:r w:rsidR="003B7C71" w:rsidRPr="003B7C71">
        <w:t>-36</w:t>
      </w:r>
      <w:r w:rsidR="0006720C" w:rsidRPr="003B7C71">
        <w:t xml:space="preserve"> miesięcy</w:t>
      </w:r>
      <w:r w:rsidR="003B7C71">
        <w:rPr>
          <w:rFonts w:eastAsia="Calibri"/>
        </w:rPr>
        <w:t xml:space="preserve">; </w:t>
      </w:r>
      <w:r w:rsidR="006C2E8C">
        <w:rPr>
          <w:rFonts w:eastAsia="Calibri"/>
        </w:rPr>
        <w:t>po</w:t>
      </w:r>
      <w:r w:rsidR="003B7C71">
        <w:rPr>
          <w:rFonts w:eastAsia="Calibri"/>
        </w:rPr>
        <w:t xml:space="preserve">; </w:t>
      </w:r>
      <w:r w:rsidR="006C2E8C">
        <w:rPr>
          <w:rFonts w:eastAsia="Calibri"/>
        </w:rPr>
        <w:t xml:space="preserve">poz. </w:t>
      </w:r>
      <w:r w:rsidR="006F034F">
        <w:rPr>
          <w:rFonts w:eastAsia="Calibri"/>
        </w:rPr>
        <w:t>2</w:t>
      </w:r>
      <w:r w:rsidR="006C2E8C">
        <w:rPr>
          <w:rFonts w:eastAsia="Calibri"/>
        </w:rPr>
        <w:t xml:space="preserve">, </w:t>
      </w:r>
      <w:r w:rsidR="006F034F">
        <w:rPr>
          <w:rFonts w:eastAsia="Calibri"/>
        </w:rPr>
        <w:t>3</w:t>
      </w:r>
      <w:r w:rsidR="003B7C71">
        <w:rPr>
          <w:rFonts w:eastAsia="Calibri"/>
        </w:rPr>
        <w:t>-24 miesiące</w:t>
      </w:r>
      <w:r w:rsidR="00B401EC">
        <w:rPr>
          <w:rFonts w:eastAsia="Calibri"/>
        </w:rPr>
        <w:t xml:space="preserve">; </w:t>
      </w:r>
      <w:r w:rsidR="00B401EC" w:rsidRPr="00B401EC">
        <w:rPr>
          <w:rFonts w:eastAsia="Calibri"/>
          <w:b/>
        </w:rPr>
        <w:t>część B:</w:t>
      </w:r>
      <w:r w:rsidR="00B401EC">
        <w:rPr>
          <w:rFonts w:eastAsia="Calibri"/>
        </w:rPr>
        <w:t xml:space="preserve"> </w:t>
      </w:r>
      <w:r w:rsidR="001325DB">
        <w:rPr>
          <w:rFonts w:eastAsia="Calibri"/>
        </w:rPr>
        <w:t>36 miesięcy;</w:t>
      </w:r>
    </w:p>
    <w:p w14:paraId="440E065C" w14:textId="740FA69E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>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lastRenderedPageBreak/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14" w:name="_Toc62396889"/>
      <w:r>
        <w:t>Przedmiotowe środki dowodowe.</w:t>
      </w:r>
      <w:bookmarkEnd w:id="14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5578C923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oferowanych podzespołów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ych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podzespołów</w:t>
            </w:r>
            <w:r w:rsidR="00432B95" w:rsidRPr="00432B95">
              <w:rPr>
                <w:b w:val="0"/>
                <w:sz w:val="18"/>
                <w:szCs w:val="18"/>
              </w:rPr>
              <w:t xml:space="preserve"> z wymaganiami określonymi w szczegółowym opisie przedmiotu zamówienia (załącznik nr 2 do SWZ).</w:t>
            </w:r>
          </w:p>
          <w:p w14:paraId="7B583BA5" w14:textId="4EE7E994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</w:t>
            </w:r>
            <w:r w:rsidR="006F034F">
              <w:rPr>
                <w:b w:val="0"/>
                <w:sz w:val="18"/>
                <w:szCs w:val="18"/>
              </w:rPr>
              <w:t xml:space="preserve"> (A,B)</w:t>
            </w:r>
            <w:r w:rsidRPr="00432B95">
              <w:rPr>
                <w:b w:val="0"/>
                <w:sz w:val="18"/>
                <w:szCs w:val="18"/>
              </w:rPr>
              <w:t xml:space="preserve">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>ustawy Pzp,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15" w:name="_Toc375581634"/>
      <w:bookmarkStart w:id="16" w:name="_Toc375581816"/>
      <w:bookmarkStart w:id="17" w:name="_Toc375582133"/>
      <w:bookmarkStart w:id="18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>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lastRenderedPageBreak/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>ustawy Pzp.</w:t>
      </w:r>
      <w:r w:rsidR="00A62353">
        <w:t xml:space="preserve">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129900FB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="00D54969" w:rsidRPr="00D54969">
        <w:rPr>
          <w:rFonts w:eastAsia="Calibri"/>
          <w:color w:val="323E4F" w:themeColor="text2" w:themeShade="BF"/>
        </w:rPr>
        <w:t>t.j. Dz.U. 2024 poz. 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6C2E8C">
      <w:pPr>
        <w:pStyle w:val="Nagwek3"/>
        <w:numPr>
          <w:ilvl w:val="0"/>
          <w:numId w:val="63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– „rozporządzenie </w:t>
      </w:r>
      <w:r w:rsidRPr="0006720C">
        <w:rPr>
          <w:bCs w:val="0"/>
          <w:szCs w:val="20"/>
        </w:rPr>
        <w:lastRenderedPageBreak/>
        <w:t>269/2014” albo wpisanego na listę na podstawie decyzji w sprawie wpisu na listę rozstrzygającej o zastosowaniu środka, o którym mowa w art. 1 pkt 3 Ustawy;</w:t>
      </w:r>
    </w:p>
    <w:p w14:paraId="5E6A0532" w14:textId="0565E7CE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D54969">
        <w:rPr>
          <w:bCs w:val="0"/>
          <w:szCs w:val="20"/>
        </w:rPr>
        <w:t>t.j</w:t>
      </w:r>
      <w:proofErr w:type="spellEnd"/>
      <w:r w:rsidR="00D54969">
        <w:rPr>
          <w:bCs w:val="0"/>
          <w:szCs w:val="20"/>
        </w:rPr>
        <w:t xml:space="preserve">. </w:t>
      </w:r>
      <w:r w:rsidR="00D54969" w:rsidRPr="00D54969">
        <w:rPr>
          <w:bCs w:val="0"/>
          <w:szCs w:val="20"/>
        </w:rPr>
        <w:t>Dz.U. 2023 poz. 1124 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Pr="00E71DDC">
        <w:rPr>
          <w:bCs w:val="0"/>
          <w:szCs w:val="20"/>
        </w:rPr>
        <w:t>t.j.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19" w:name="_Toc62396891"/>
      <w:r>
        <w:t>Kwalifikacja podmiotowa – warunki udziału w postępowaniu.</w:t>
      </w:r>
      <w:bookmarkEnd w:id="19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20" w:name="_Toc62396892"/>
      <w:r>
        <w:rPr>
          <w:noProof/>
        </w:rPr>
        <w:t>Oświadczenie wstępne, podmiotowe środki dowodowe oraz inne dokumenty.</w:t>
      </w:r>
      <w:bookmarkEnd w:id="20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lastRenderedPageBreak/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209C6FA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lastRenderedPageBreak/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1" w:name="_Toc62396893"/>
      <w:r w:rsidRPr="00E054BA">
        <w:t>Wymagania dotyczące wadium.</w:t>
      </w:r>
      <w:bookmarkStart w:id="22" w:name="OLE_LINK1"/>
      <w:bookmarkEnd w:id="21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432B95">
      <w:pPr>
        <w:pStyle w:val="Nagwek1"/>
        <w:keepNext w:val="0"/>
      </w:pPr>
      <w:bookmarkStart w:id="23" w:name="_Toc62396894"/>
      <w:bookmarkEnd w:id="22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wykonawców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791CEE7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991AAD" w:rsidRPr="00991AAD">
        <w:rPr>
          <w:lang w:val="pl"/>
        </w:rPr>
        <w:t xml:space="preserve">mgr Małgorzata Wróblewska </w:t>
      </w:r>
      <w:r w:rsidR="00991AAD">
        <w:rPr>
          <w:lang w:val="pl"/>
        </w:rPr>
        <w:t xml:space="preserve">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>Damian Ludwikowski,</w:t>
      </w:r>
      <w:r w:rsidR="00301EA8">
        <w:rPr>
          <w:b/>
          <w:color w:val="222A35" w:themeColor="text2" w:themeShade="80"/>
          <w:lang w:val="pl"/>
        </w:rPr>
        <w:t xml:space="preserve">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B841ED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lastRenderedPageBreak/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0FFF3FF1" w:rsidR="007206AE" w:rsidRDefault="001C43D0" w:rsidP="00432B95">
      <w:pPr>
        <w:pStyle w:val="Nagwek1"/>
        <w:keepNext w:val="0"/>
      </w:pPr>
      <w:bookmarkStart w:id="25" w:name="_Toc62396895"/>
      <w:r>
        <w:lastRenderedPageBreak/>
        <w:t>Opis sposobu przygotowania ofert.</w:t>
      </w:r>
      <w:bookmarkEnd w:id="25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F46C12C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</w:t>
      </w:r>
      <w:r w:rsidRPr="00297EB3">
        <w:lastRenderedPageBreak/>
        <w:t>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lastRenderedPageBreak/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</w:t>
      </w:r>
      <w:r w:rsidR="00EE444D" w:rsidRPr="00EE444D">
        <w:rPr>
          <w:rFonts w:eastAsia="Arial Unicode MS"/>
        </w:rPr>
        <w:t>kres gwarancji</w:t>
      </w:r>
      <w:r w:rsidR="009B6DB8">
        <w:rPr>
          <w:rFonts w:eastAsia="Arial Unicode MS"/>
        </w:rPr>
        <w:t xml:space="preserve"> </w:t>
      </w:r>
      <w:r w:rsidR="00EE444D" w:rsidRPr="00EE444D">
        <w:rPr>
          <w:rFonts w:eastAsia="Arial Unicode MS"/>
        </w:rPr>
        <w:t>oraz 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1DA1467C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2B3E2A">
        <w:rPr>
          <w:rFonts w:eastAsia="Arial Unicode MS"/>
        </w:rPr>
        <w:t>e</w:t>
      </w:r>
      <w:r w:rsidR="005B5BA7">
        <w:rPr>
          <w:rFonts w:eastAsia="Arial Unicode MS"/>
        </w:rPr>
        <w:t xml:space="preserve"> </w:t>
      </w:r>
      <w:r w:rsidR="002B3E2A">
        <w:rPr>
          <w:rFonts w:eastAsia="Arial Unicode MS"/>
        </w:rPr>
        <w:t>podzespoły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86D8E4D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10CB924F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6" w:name="_Hlk64365305"/>
      <w:r w:rsidR="002B3E2A">
        <w:t>podzespołów</w:t>
      </w:r>
      <w:r w:rsidR="00D6386D" w:rsidRPr="00D6386D">
        <w:t xml:space="preserve">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6"/>
      <w:r w:rsidR="005B5BA7">
        <w:t xml:space="preserve">, </w:t>
      </w:r>
      <w:r w:rsidR="009B6DB8">
        <w:t>koszt serwisu technicznego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lastRenderedPageBreak/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7" w:name="_Toc62396896"/>
      <w:r>
        <w:t>Sposób oraz termin składania ofert.</w:t>
      </w:r>
      <w:bookmarkEnd w:id="27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lastRenderedPageBreak/>
        <w:t>Termin złożenia oferty.</w:t>
      </w:r>
    </w:p>
    <w:p w14:paraId="713BF31B" w14:textId="36EC6C57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500776" w:rsidRPr="00500776">
        <w:rPr>
          <w:b/>
          <w:lang w:eastAsia="x-none"/>
        </w:rPr>
        <w:t>26.09.2024r.</w:t>
      </w:r>
      <w:r w:rsidRPr="00500776">
        <w:rPr>
          <w:b/>
          <w:lang w:eastAsia="x-none"/>
        </w:rPr>
        <w:t xml:space="preserve"> do godziny </w:t>
      </w:r>
      <w:r w:rsidR="00195B0B" w:rsidRPr="00500776">
        <w:rPr>
          <w:b/>
          <w:lang w:eastAsia="x-none"/>
        </w:rPr>
        <w:t>10:00.</w:t>
      </w:r>
      <w:r w:rsidR="00195B0B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8" w:name="_Toc62396897"/>
      <w:r w:rsidRPr="00E054BA">
        <w:t>Termin i tryb otwarcia ofert.</w:t>
      </w:r>
      <w:bookmarkEnd w:id="28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246C818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500776">
        <w:rPr>
          <w:rFonts w:eastAsia="Calibri"/>
        </w:rPr>
        <w:t>26.09.2024r.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</w:t>
      </w:r>
      <w:r w:rsidR="00991AAD">
        <w:rPr>
          <w:rFonts w:eastAsia="Calibri"/>
        </w:rPr>
        <w:t>30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</w:t>
      </w:r>
      <w:r>
        <w:lastRenderedPageBreak/>
        <w:t>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6BD6DDAD" w:rsidR="0003593D" w:rsidRPr="0003593D" w:rsidRDefault="00B1250E" w:rsidP="00432B95">
      <w:pPr>
        <w:pStyle w:val="Nagwek1"/>
        <w:keepNext w:val="0"/>
      </w:pPr>
      <w:bookmarkStart w:id="29" w:name="_Toc62396898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3877DF03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500776">
        <w:t>25.10.2024r.</w:t>
      </w:r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30" w:name="_Toc62396899"/>
      <w:r w:rsidRPr="00E054BA">
        <w:lastRenderedPageBreak/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0C9F29C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4323B45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E0B275E" w:rsidR="003C3AC5" w:rsidRPr="00957C9F" w:rsidRDefault="00346B08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1119A0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22B914A9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175E61">
        <w:rPr>
          <w:rFonts w:ascii="Bahnschrift" w:hAnsi="Bahnschrift" w:cs="Arial"/>
          <w:szCs w:val="20"/>
          <w:lang w:val="pl-PL"/>
        </w:rPr>
        <w:t>21</w:t>
      </w:r>
      <w:r w:rsidRPr="00D239DE">
        <w:rPr>
          <w:rFonts w:ascii="Bahnschrift" w:hAnsi="Bahnschrift" w:cs="Arial"/>
          <w:szCs w:val="20"/>
        </w:rPr>
        <w:t xml:space="preserve"> dni 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4E2A7B" w:rsidRDefault="00195C5C" w:rsidP="006C2E8C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(pkt. 3</w:t>
      </w:r>
      <w:r w:rsidR="009D3C28" w:rsidRPr="004E2A7B">
        <w:rPr>
          <w:rFonts w:cs="Arial"/>
          <w:szCs w:val="20"/>
          <w:lang w:eastAsia="pl-PL"/>
        </w:rPr>
        <w:t xml:space="preserve"> </w:t>
      </w:r>
      <w:proofErr w:type="spellStart"/>
      <w:r w:rsidR="009D3C28" w:rsidRPr="004E2A7B">
        <w:rPr>
          <w:rFonts w:cs="Arial"/>
          <w:szCs w:val="20"/>
          <w:lang w:eastAsia="pl-PL"/>
        </w:rPr>
        <w:t>ppkt</w:t>
      </w:r>
      <w:proofErr w:type="spellEnd"/>
      <w:r w:rsidR="009D3C28" w:rsidRPr="004E2A7B">
        <w:rPr>
          <w:rFonts w:cs="Arial"/>
          <w:szCs w:val="20"/>
          <w:lang w:eastAsia="pl-PL"/>
        </w:rPr>
        <w:t>. 1</w:t>
      </w:r>
      <w:r w:rsidRPr="004E2A7B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5C9A9454" w:rsidR="00840C7A" w:rsidRDefault="00840C7A" w:rsidP="006C2E8C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="00431A58">
        <w:rPr>
          <w:rFonts w:cs="Arial"/>
          <w:b/>
          <w:szCs w:val="20"/>
          <w:lang w:eastAsia="pl-PL"/>
        </w:rPr>
        <w:t>40</w:t>
      </w:r>
      <w:r w:rsidRPr="004E2A7B">
        <w:rPr>
          <w:rFonts w:cs="Arial"/>
          <w:b/>
          <w:szCs w:val="20"/>
          <w:lang w:eastAsia="pl-PL"/>
        </w:rPr>
        <w:t xml:space="preserve"> pkt</w:t>
      </w:r>
      <w:r w:rsidR="000418CC" w:rsidRPr="004E2A7B">
        <w:rPr>
          <w:rFonts w:cs="Arial"/>
          <w:b/>
          <w:szCs w:val="20"/>
          <w:lang w:eastAsia="pl-PL"/>
        </w:rPr>
        <w:t>;</w:t>
      </w:r>
    </w:p>
    <w:p w14:paraId="56585BBA" w14:textId="1225F6E9" w:rsidR="004E2A7B" w:rsidRPr="004E2A7B" w:rsidRDefault="004E2A7B" w:rsidP="006C2E8C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175E61">
        <w:rPr>
          <w:rFonts w:cs="Arial"/>
          <w:szCs w:val="20"/>
        </w:rPr>
        <w:t>21</w:t>
      </w:r>
      <w:r w:rsidRPr="004E2A7B">
        <w:rPr>
          <w:rFonts w:cs="Arial"/>
          <w:szCs w:val="20"/>
        </w:rPr>
        <w:t xml:space="preserve"> dni Zamawiający przyzna </w:t>
      </w:r>
      <w:r w:rsidR="0071512B">
        <w:rPr>
          <w:rFonts w:cs="Arial"/>
          <w:szCs w:val="20"/>
        </w:rPr>
        <w:t>2</w:t>
      </w:r>
      <w:r w:rsidRPr="004E2A7B">
        <w:rPr>
          <w:rFonts w:cs="Arial"/>
          <w:szCs w:val="20"/>
        </w:rPr>
        <w:t xml:space="preserve"> </w:t>
      </w:r>
      <w:r w:rsidR="001119A0">
        <w:rPr>
          <w:rFonts w:cs="Arial"/>
          <w:szCs w:val="20"/>
        </w:rPr>
        <w:t>punkt</w:t>
      </w:r>
      <w:r w:rsidR="00760B89">
        <w:rPr>
          <w:rFonts w:cs="Arial"/>
          <w:szCs w:val="20"/>
        </w:rPr>
        <w:t>y</w:t>
      </w:r>
      <w:r w:rsidR="001119A0">
        <w:rPr>
          <w:rFonts w:cs="Arial"/>
          <w:szCs w:val="20"/>
        </w:rPr>
        <w:t>,</w:t>
      </w:r>
      <w:r w:rsidRPr="004E2A7B">
        <w:rPr>
          <w:rFonts w:cs="Arial"/>
          <w:szCs w:val="20"/>
        </w:rPr>
        <w:t xml:space="preserve"> tj</w:t>
      </w:r>
      <w:r w:rsidR="001119A0"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16C3C138" w14:textId="0CDCA9AF" w:rsidR="004E2A7B" w:rsidRPr="004E2A7B" w:rsidRDefault="0071512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21</w:t>
      </w:r>
      <w:r w:rsidR="004E2A7B" w:rsidRPr="004E2A7B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20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19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 w:rsidR="00760B89">
        <w:rPr>
          <w:rFonts w:ascii="Bahnschrift" w:hAnsi="Bahnschrift" w:cs="Arial"/>
          <w:szCs w:val="20"/>
          <w:lang w:val="pl-PL"/>
        </w:rPr>
        <w:t>4</w:t>
      </w:r>
      <w:r w:rsidR="004E2A7B" w:rsidRPr="004E2A7B">
        <w:rPr>
          <w:rFonts w:ascii="Bahnschrift" w:hAnsi="Bahnschrift" w:cs="Arial"/>
          <w:szCs w:val="20"/>
        </w:rPr>
        <w:t xml:space="preserve"> pkt; …</w:t>
      </w:r>
      <w:r w:rsidR="00F01E4E">
        <w:rPr>
          <w:rFonts w:ascii="Bahnschrift" w:hAnsi="Bahnschrift" w:cs="Arial"/>
          <w:szCs w:val="20"/>
          <w:lang w:val="pl-PL"/>
        </w:rPr>
        <w:t>.</w:t>
      </w:r>
      <w:r w:rsidR="004E2A7B" w:rsidRPr="004E2A7B">
        <w:rPr>
          <w:rFonts w:ascii="Bahnschrift" w:hAnsi="Bahnschrift" w:cs="Arial"/>
          <w:szCs w:val="20"/>
        </w:rPr>
        <w:t xml:space="preserve"> ; </w:t>
      </w:r>
      <w:r w:rsidR="00760B89">
        <w:rPr>
          <w:rFonts w:ascii="Bahnschrift" w:hAnsi="Bahnschrift" w:cs="Arial"/>
          <w:szCs w:val="20"/>
          <w:lang w:val="pl-PL"/>
        </w:rPr>
        <w:t>2</w:t>
      </w:r>
      <w:r w:rsidR="004E2A7B" w:rsidRPr="004E2A7B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3</w:t>
      </w:r>
      <w:r w:rsidR="00760B89">
        <w:rPr>
          <w:rFonts w:ascii="Bahnschrift" w:hAnsi="Bahnschrift" w:cs="Arial"/>
          <w:szCs w:val="20"/>
          <w:lang w:val="pl-PL"/>
        </w:rPr>
        <w:t>8</w:t>
      </w:r>
      <w:r w:rsidR="004E2A7B" w:rsidRPr="004E2A7B">
        <w:rPr>
          <w:rFonts w:ascii="Bahnschrift" w:hAnsi="Bahnschrift" w:cs="Arial"/>
          <w:szCs w:val="20"/>
        </w:rPr>
        <w:t xml:space="preserve"> pkt), </w:t>
      </w:r>
      <w:r w:rsidR="00760B89">
        <w:rPr>
          <w:rFonts w:ascii="Bahnschrift" w:hAnsi="Bahnschrift" w:cs="Arial"/>
          <w:szCs w:val="20"/>
          <w:lang w:val="pl-PL"/>
        </w:rPr>
        <w:t>1</w:t>
      </w:r>
      <w:r w:rsidR="004E2A7B" w:rsidRPr="004E2A7B">
        <w:rPr>
          <w:rFonts w:ascii="Bahnschrift" w:hAnsi="Bahnschrift" w:cs="Arial"/>
          <w:szCs w:val="20"/>
        </w:rPr>
        <w:t xml:space="preserve"> </w:t>
      </w:r>
      <w:r w:rsidR="00760B89">
        <w:rPr>
          <w:rFonts w:ascii="Bahnschrift" w:hAnsi="Bahnschrift" w:cs="Arial"/>
          <w:szCs w:val="20"/>
          <w:lang w:val="pl-PL"/>
        </w:rPr>
        <w:t>dzień</w:t>
      </w:r>
      <w:r w:rsidR="004E2A7B" w:rsidRPr="004E2A7B">
        <w:rPr>
          <w:rFonts w:ascii="Bahnschrift" w:hAnsi="Bahnschrift" w:cs="Arial"/>
          <w:szCs w:val="20"/>
        </w:rPr>
        <w:t xml:space="preserve"> – </w:t>
      </w:r>
      <w:r w:rsidR="00346B08">
        <w:rPr>
          <w:rFonts w:ascii="Bahnschrift" w:hAnsi="Bahnschrift" w:cs="Arial"/>
          <w:szCs w:val="20"/>
          <w:lang w:val="pl-PL"/>
        </w:rPr>
        <w:t>4</w:t>
      </w:r>
      <w:r w:rsidR="001119A0">
        <w:rPr>
          <w:rFonts w:ascii="Bahnschrift" w:hAnsi="Bahnschrift" w:cs="Arial"/>
          <w:szCs w:val="20"/>
          <w:lang w:val="pl-PL"/>
        </w:rPr>
        <w:t>0</w:t>
      </w:r>
      <w:r w:rsidR="004E2A7B" w:rsidRPr="004E2A7B">
        <w:rPr>
          <w:rFonts w:ascii="Bahnschrift" w:hAnsi="Bahnschrift" w:cs="Arial"/>
          <w:szCs w:val="20"/>
        </w:rPr>
        <w:t xml:space="preserve"> pkt</w:t>
      </w:r>
    </w:p>
    <w:p w14:paraId="6F2E81F3" w14:textId="7DDEC609" w:rsid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760B89">
        <w:rPr>
          <w:rFonts w:ascii="Bahnschrift" w:hAnsi="Bahnschrift" w:cs="Arial"/>
          <w:szCs w:val="20"/>
          <w:lang w:val="pl-PL"/>
        </w:rPr>
        <w:t>1</w:t>
      </w:r>
      <w:r w:rsidR="0071512B">
        <w:rPr>
          <w:rFonts w:ascii="Bahnschrift" w:hAnsi="Bahnschrift" w:cs="Arial"/>
          <w:szCs w:val="20"/>
          <w:lang w:val="pl-PL"/>
        </w:rPr>
        <w:t xml:space="preserve"> </w:t>
      </w:r>
      <w:r w:rsidR="00760B89">
        <w:rPr>
          <w:rFonts w:ascii="Bahnschrift" w:hAnsi="Bahnschrift" w:cs="Arial"/>
          <w:szCs w:val="20"/>
          <w:lang w:val="pl-PL"/>
        </w:rPr>
        <w:t>dzień</w:t>
      </w:r>
      <w:r w:rsidR="00760B89" w:rsidRPr="004E2A7B">
        <w:rPr>
          <w:rFonts w:ascii="Bahnschrift" w:hAnsi="Bahnschrift" w:cs="Arial"/>
          <w:szCs w:val="20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 w:rsidR="00346B08">
        <w:rPr>
          <w:rFonts w:ascii="Bahnschrift" w:hAnsi="Bahnschrift" w:cs="Arial"/>
          <w:szCs w:val="20"/>
          <w:lang w:val="pl-PL"/>
        </w:rPr>
        <w:t>40</w:t>
      </w:r>
    </w:p>
    <w:p w14:paraId="368EBC75" w14:textId="773A6D45" w:rsidR="00D6386D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71512B">
        <w:rPr>
          <w:rFonts w:cs="Arial"/>
          <w:szCs w:val="20"/>
        </w:rPr>
        <w:t>2</w:t>
      </w:r>
      <w:r w:rsidR="00F01E4E">
        <w:rPr>
          <w:rFonts w:cs="Arial"/>
          <w:szCs w:val="20"/>
        </w:rPr>
        <w:t>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329AAE53" w14:textId="707B81E4" w:rsidR="00F85C46" w:rsidRPr="00E054BA" w:rsidRDefault="000A37EA" w:rsidP="00DC07BF">
      <w:pPr>
        <w:pStyle w:val="Nagwek3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>in realizacji</w:t>
      </w:r>
      <w:r w:rsidR="00760B89">
        <w:t xml:space="preserve"> zamówienia</w:t>
      </w:r>
      <w:r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lastRenderedPageBreak/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D3304E2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394F3216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5EE90E0" w:rsidR="00F85C46" w:rsidRPr="00E054BA" w:rsidRDefault="00F85C46" w:rsidP="00432B95">
      <w:pPr>
        <w:pStyle w:val="Nagwek1"/>
        <w:keepNext w:val="0"/>
      </w:pPr>
      <w:bookmarkStart w:id="31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2E41439F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</w:t>
      </w:r>
      <w:r w:rsidR="00F85C46" w:rsidRPr="00ED6871">
        <w:lastRenderedPageBreak/>
        <w:t>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61220FEF" w14:textId="77777777" w:rsidR="00760B89" w:rsidRDefault="00760B8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2" w:name="_Toc62396901"/>
      <w:r>
        <w:br w:type="page"/>
      </w:r>
    </w:p>
    <w:p w14:paraId="384B0ABA" w14:textId="18CBE522" w:rsidR="00F85C46" w:rsidRPr="00E054BA" w:rsidRDefault="00F85C46" w:rsidP="00432B95">
      <w:pPr>
        <w:pStyle w:val="Nagwek1"/>
        <w:keepNext w:val="0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lastRenderedPageBreak/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3" w:name="_Toc62396902"/>
      <w:r w:rsidRPr="00E054BA">
        <w:t>Informacje dodatkowe.</w:t>
      </w:r>
      <w:bookmarkEnd w:id="33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28B25013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lastRenderedPageBreak/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527820F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6C2E8C">
        <w:rPr>
          <w:b/>
          <w:lang w:val="pl-PL"/>
        </w:rPr>
        <w:t>83</w:t>
      </w:r>
      <w:r w:rsidR="00F667CF">
        <w:rPr>
          <w:b/>
        </w:rPr>
        <w:t>.202</w:t>
      </w:r>
      <w:r w:rsidR="00760B89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2B3E2A">
        <w:rPr>
          <w:b/>
          <w:lang w:val="pl-PL"/>
        </w:rPr>
        <w:t>podzespołów komputerowych</w:t>
      </w:r>
      <w:r w:rsidR="00346B08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6E936275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760B89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760B89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</w:t>
      </w:r>
      <w:r w:rsidR="00F85C46" w:rsidRPr="007F153F">
        <w:rPr>
          <w:rFonts w:cs="Arial"/>
          <w:szCs w:val="20"/>
          <w:lang w:eastAsia="ar-SA"/>
        </w:rPr>
        <w:lastRenderedPageBreak/>
        <w:t>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634F3CC9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</w:t>
      </w:r>
      <w:r w:rsidR="00F85C46" w:rsidRPr="0061008C">
        <w:rPr>
          <w:rFonts w:cs="Arial"/>
          <w:szCs w:val="20"/>
          <w:lang w:eastAsia="ar-SA"/>
        </w:rPr>
        <w:lastRenderedPageBreak/>
        <w:t>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  <w:r w:rsidR="00D13D7F">
        <w:rPr>
          <w:rFonts w:cs="Arial"/>
          <w:b/>
          <w:szCs w:val="20"/>
          <w:lang w:eastAsia="ar-SA"/>
        </w:rPr>
        <w:t xml:space="preserve"> </w:t>
      </w:r>
    </w:p>
    <w:sectPr w:rsidR="00F85C46" w:rsidRPr="0061008C" w:rsidSect="003E6287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843" w:right="1134" w:bottom="1559" w:left="1134" w:header="284" w:footer="37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067359" w:rsidRDefault="00067359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067359" w:rsidRDefault="0006735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Segoe UI Ligh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81311" w14:textId="77777777" w:rsidR="00067359" w:rsidRPr="00402272" w:rsidRDefault="00067359" w:rsidP="00402272">
    <w:pPr>
      <w:tabs>
        <w:tab w:val="center" w:pos="4536"/>
        <w:tab w:val="right" w:pos="9072"/>
      </w:tabs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402272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3D4A20B2" wp14:editId="5476A85A">
          <wp:simplePos x="0" y="0"/>
          <wp:positionH relativeFrom="page">
            <wp:posOffset>-264160</wp:posOffset>
          </wp:positionH>
          <wp:positionV relativeFrom="page">
            <wp:posOffset>9475403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02272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D0DED3D" wp14:editId="6A53040A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78042AC" w14:textId="77777777" w:rsidR="00067359" w:rsidRPr="00402272" w:rsidRDefault="00067359" w:rsidP="00402272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40227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DCEED65" wp14:editId="5675F589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780C9" w14:textId="77777777" w:rsidR="00067359" w:rsidRPr="00554026" w:rsidRDefault="00067359" w:rsidP="0040227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CEED65" id="Prostokąt 11" o:spid="_x0000_s1026" style="position:absolute;left:0;text-align:left;margin-left:24.65pt;margin-top:691.95pt;width:2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73F780C9" w14:textId="77777777" w:rsidR="00067359" w:rsidRPr="00554026" w:rsidRDefault="00067359" w:rsidP="00402272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02272">
      <w:rPr>
        <w:color w:val="002D59"/>
        <w:sz w:val="16"/>
        <w:szCs w:val="16"/>
      </w:rPr>
      <w:t>Uniwersytet Śląski w Katowicach</w:t>
    </w:r>
  </w:p>
  <w:p w14:paraId="3E8AB5F9" w14:textId="77777777" w:rsidR="00067359" w:rsidRPr="00402272" w:rsidRDefault="00067359" w:rsidP="00402272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402272">
      <w:rPr>
        <w:color w:val="002D59"/>
        <w:sz w:val="16"/>
        <w:szCs w:val="16"/>
      </w:rPr>
      <w:t>Dział Zamówień Publicznych</w:t>
    </w:r>
  </w:p>
  <w:p w14:paraId="6A73E41A" w14:textId="77777777" w:rsidR="00067359" w:rsidRPr="00402272" w:rsidRDefault="00067359" w:rsidP="00402272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402272">
      <w:rPr>
        <w:color w:val="002D59"/>
        <w:sz w:val="16"/>
        <w:szCs w:val="16"/>
      </w:rPr>
      <w:t>ul. Bankowa 12, 40-007 Katowice</w:t>
    </w:r>
  </w:p>
  <w:p w14:paraId="7B02A0B1" w14:textId="77777777" w:rsidR="00067359" w:rsidRPr="00402272" w:rsidRDefault="00067359" w:rsidP="00402272">
    <w:pPr>
      <w:tabs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402272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402272">
      <w:rPr>
        <w:color w:val="002D59"/>
        <w:sz w:val="16"/>
        <w:szCs w:val="16"/>
        <w:lang w:val="de-DE"/>
      </w:rPr>
      <w:t>e-mail</w:t>
    </w:r>
    <w:proofErr w:type="spellEnd"/>
    <w:r w:rsidRPr="00402272">
      <w:rPr>
        <w:color w:val="002D59"/>
        <w:sz w:val="16"/>
        <w:szCs w:val="16"/>
        <w:lang w:val="de-DE"/>
      </w:rPr>
      <w:t>: dzp@us.edu.pl</w:t>
    </w:r>
    <w:r w:rsidRPr="00402272">
      <w:rPr>
        <w:color w:val="002D59"/>
        <w:sz w:val="16"/>
        <w:szCs w:val="16"/>
        <w:lang w:val="de-DE"/>
      </w:rPr>
      <w:tab/>
    </w:r>
    <w:r w:rsidRPr="00402272">
      <w:rPr>
        <w:color w:val="002D59"/>
        <w:sz w:val="16"/>
        <w:szCs w:val="16"/>
        <w:lang w:val="de-DE"/>
      </w:rPr>
      <w:tab/>
    </w:r>
  </w:p>
  <w:p w14:paraId="2EDBB20B" w14:textId="77777777" w:rsidR="00067359" w:rsidRPr="00402272" w:rsidRDefault="00B841ED" w:rsidP="00402272">
    <w:pPr>
      <w:tabs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067359" w:rsidRPr="00402272">
        <w:rPr>
          <w:color w:val="002D59"/>
          <w:sz w:val="16"/>
          <w:szCs w:val="16"/>
          <w:lang w:val="de-DE"/>
        </w:rPr>
        <w:t>www.us.edu.pl</w:t>
      </w:r>
    </w:hyperlink>
  </w:p>
  <w:p w14:paraId="4BABFABF" w14:textId="139638F8" w:rsidR="00067359" w:rsidRPr="003E6287" w:rsidRDefault="00067359" w:rsidP="003E62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067359" w:rsidRPr="00F84EF3" w:rsidRDefault="00067359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9536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8" name="Obraz 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5680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067359" w:rsidRPr="00602A59" w:rsidRDefault="0006735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067359" w:rsidRPr="00602A59" w:rsidRDefault="0006735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067359" w:rsidRPr="00602A59" w:rsidRDefault="00067359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5D963FDF" wp14:editId="681D274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067359" w:rsidRPr="003A2237" w:rsidRDefault="00067359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067359" w:rsidRPr="003A2237" w:rsidRDefault="00067359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067359" w:rsidRDefault="00067359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067359" w:rsidRPr="00E7107F" w:rsidRDefault="00B841ED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067359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067359" w:rsidRDefault="00067359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067359" w:rsidRDefault="0006735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5CAF7" w14:textId="71410521" w:rsidR="00067359" w:rsidRPr="00BC0F73" w:rsidRDefault="00067359" w:rsidP="002F6602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1D9A8D92" wp14:editId="40149911">
          <wp:simplePos x="0" y="0"/>
          <wp:positionH relativeFrom="page">
            <wp:posOffset>193675</wp:posOffset>
          </wp:positionH>
          <wp:positionV relativeFrom="page">
            <wp:posOffset>-241300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0F73">
      <w:tab/>
    </w:r>
  </w:p>
  <w:p w14:paraId="4ED7BC85" w14:textId="414DCF59" w:rsidR="00067359" w:rsidRPr="002F6602" w:rsidRDefault="00067359" w:rsidP="002F66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D0F33" w14:textId="77777777" w:rsidR="00067359" w:rsidRDefault="00067359" w:rsidP="003E6287">
    <w:pPr>
      <w:pStyle w:val="Nagwek"/>
      <w:ind w:left="0" w:firstLine="0"/>
    </w:pPr>
    <w:bookmarkStart w:id="34" w:name="_Hlk167792479"/>
    <w:bookmarkStart w:id="35" w:name="_Hlk167792480"/>
    <w:r>
      <w:rPr>
        <w:b/>
        <w:bCs/>
        <w:noProof/>
      </w:rPr>
      <w:drawing>
        <wp:inline distT="0" distB="0" distL="0" distR="0" wp14:anchorId="687B29C5" wp14:editId="57FE6B4B">
          <wp:extent cx="5755005" cy="420370"/>
          <wp:effectExtent l="0" t="0" r="0" b="0"/>
          <wp:docPr id="97" name="Obraz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ECE839" w14:textId="77777777" w:rsidR="00067359" w:rsidRDefault="00067359" w:rsidP="003E6287">
    <w:pPr>
      <w:pStyle w:val="Nagwek"/>
      <w:ind w:left="0" w:firstLine="0"/>
    </w:pPr>
  </w:p>
  <w:p w14:paraId="6E95C498" w14:textId="77777777" w:rsidR="00067359" w:rsidRPr="00195FAD" w:rsidRDefault="00067359" w:rsidP="003E6287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6" w:name="_Hlk161997889"/>
    <w:proofErr w:type="spellStart"/>
    <w:r w:rsidRPr="00195FAD">
      <w:rPr>
        <w:rFonts w:ascii="Calibri" w:hAnsi="Calibri" w:cs="Calibri"/>
        <w:b/>
        <w:bCs/>
        <w:sz w:val="22"/>
      </w:rPr>
      <w:t>jUŚt</w:t>
    </w:r>
    <w:proofErr w:type="spellEnd"/>
    <w:r w:rsidRPr="00195FAD">
      <w:rPr>
        <w:rFonts w:ascii="Calibri" w:hAnsi="Calibri" w:cs="Calibri"/>
        <w:b/>
        <w:bCs/>
        <w:sz w:val="22"/>
      </w:rPr>
      <w:t xml:space="preserve">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02A3FF06" w14:textId="77777777" w:rsidR="00067359" w:rsidRPr="00C530DB" w:rsidRDefault="00067359" w:rsidP="003E6287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6"/>
    <w:r w:rsidRPr="00195FAD">
      <w:rPr>
        <w:rFonts w:ascii="Calibri" w:hAnsi="Calibri" w:cs="Calibri"/>
        <w:b/>
        <w:bCs/>
        <w:sz w:val="22"/>
      </w:rPr>
      <w:t>”</w:t>
    </w:r>
  </w:p>
  <w:bookmarkEnd w:id="34"/>
  <w:bookmarkEnd w:id="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B80797"/>
    <w:multiLevelType w:val="hybridMultilevel"/>
    <w:tmpl w:val="D14A7EC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D0C2D"/>
    <w:multiLevelType w:val="hybridMultilevel"/>
    <w:tmpl w:val="F85A4788"/>
    <w:lvl w:ilvl="0" w:tplc="04150017">
      <w:start w:val="1"/>
      <w:numFmt w:val="lowerLetter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4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13"/>
  </w:num>
  <w:num w:numId="10">
    <w:abstractNumId w:val="3"/>
  </w:num>
  <w:num w:numId="11">
    <w:abstractNumId w:val="12"/>
  </w:num>
  <w:num w:numId="12">
    <w:abstractNumId w:val="3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3"/>
    <w:lvlOverride w:ilvl="0">
      <w:startOverride w:val="2"/>
    </w:lvlOverride>
  </w:num>
  <w:num w:numId="19">
    <w:abstractNumId w:val="3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2"/>
    </w:lvlOverride>
  </w:num>
  <w:num w:numId="36">
    <w:abstractNumId w:val="4"/>
  </w:num>
  <w:num w:numId="37">
    <w:abstractNumId w:val="12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5"/>
    <w:lvlOverride w:ilvl="0">
      <w:startOverride w:val="2"/>
    </w:lvlOverride>
  </w:num>
  <w:num w:numId="40">
    <w:abstractNumId w:val="3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9"/>
  </w:num>
  <w:num w:numId="51">
    <w:abstractNumId w:val="3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2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2"/>
  </w:num>
  <w:num w:numId="61">
    <w:abstractNumId w:val="13"/>
  </w:num>
  <w:num w:numId="62">
    <w:abstractNumId w:val="0"/>
  </w:num>
  <w:num w:numId="63">
    <w:abstractNumId w:val="3"/>
    <w:lvlOverride w:ilvl="0">
      <w:startOverride w:val="1"/>
    </w:lvlOverride>
  </w:num>
  <w:num w:numId="64">
    <w:abstractNumId w:val="3"/>
    <w:lvlOverride w:ilvl="0">
      <w:startOverride w:val="1"/>
    </w:lvlOverride>
  </w:num>
  <w:num w:numId="65">
    <w:abstractNumId w:val="12"/>
  </w:num>
  <w:num w:numId="66">
    <w:abstractNumId w:val="12"/>
    <w:lvlOverride w:ilvl="0">
      <w:startOverride w:val="1"/>
    </w:lvlOverride>
  </w:num>
  <w:num w:numId="67">
    <w:abstractNumId w:val="1"/>
  </w:num>
  <w:num w:numId="68">
    <w:abstractNumId w:val="3"/>
  </w:num>
  <w:num w:numId="69">
    <w:abstractNumId w:val="12"/>
  </w:num>
  <w:num w:numId="70">
    <w:abstractNumId w:val="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6720C"/>
    <w:rsid w:val="00067359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248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5DB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53B6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A3AAF"/>
    <w:rsid w:val="001B1AC0"/>
    <w:rsid w:val="001B6A6B"/>
    <w:rsid w:val="001B715B"/>
    <w:rsid w:val="001C43D0"/>
    <w:rsid w:val="001C5BF5"/>
    <w:rsid w:val="001D05CD"/>
    <w:rsid w:val="001D0D83"/>
    <w:rsid w:val="001E0A1D"/>
    <w:rsid w:val="001E75E7"/>
    <w:rsid w:val="001F5366"/>
    <w:rsid w:val="00200A27"/>
    <w:rsid w:val="00221638"/>
    <w:rsid w:val="00221DD5"/>
    <w:rsid w:val="00226310"/>
    <w:rsid w:val="00230DE9"/>
    <w:rsid w:val="002318AB"/>
    <w:rsid w:val="00241D9C"/>
    <w:rsid w:val="00244022"/>
    <w:rsid w:val="0024743B"/>
    <w:rsid w:val="00272E3F"/>
    <w:rsid w:val="00273DD9"/>
    <w:rsid w:val="002767DF"/>
    <w:rsid w:val="00297EB3"/>
    <w:rsid w:val="002A3574"/>
    <w:rsid w:val="002A50F6"/>
    <w:rsid w:val="002B20B0"/>
    <w:rsid w:val="002B3B39"/>
    <w:rsid w:val="002B3E2A"/>
    <w:rsid w:val="002B5872"/>
    <w:rsid w:val="002B6782"/>
    <w:rsid w:val="002D273D"/>
    <w:rsid w:val="002D2F12"/>
    <w:rsid w:val="002D64F0"/>
    <w:rsid w:val="002E4CF0"/>
    <w:rsid w:val="002E4D53"/>
    <w:rsid w:val="002E6FCD"/>
    <w:rsid w:val="002F5524"/>
    <w:rsid w:val="002F56CF"/>
    <w:rsid w:val="002F6602"/>
    <w:rsid w:val="00301EA8"/>
    <w:rsid w:val="00305D5C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74699"/>
    <w:rsid w:val="00380E07"/>
    <w:rsid w:val="00382315"/>
    <w:rsid w:val="00384DA3"/>
    <w:rsid w:val="003851AE"/>
    <w:rsid w:val="00385E23"/>
    <w:rsid w:val="00386627"/>
    <w:rsid w:val="003925AC"/>
    <w:rsid w:val="003B3416"/>
    <w:rsid w:val="003B7C71"/>
    <w:rsid w:val="003C094D"/>
    <w:rsid w:val="003C3AC5"/>
    <w:rsid w:val="003C461B"/>
    <w:rsid w:val="003C6D2D"/>
    <w:rsid w:val="003C6FE1"/>
    <w:rsid w:val="003E05AE"/>
    <w:rsid w:val="003E1DB0"/>
    <w:rsid w:val="003E3BDD"/>
    <w:rsid w:val="003E6287"/>
    <w:rsid w:val="003F308F"/>
    <w:rsid w:val="003F61EF"/>
    <w:rsid w:val="00402272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6DF6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0776"/>
    <w:rsid w:val="00501D27"/>
    <w:rsid w:val="005061DF"/>
    <w:rsid w:val="005149DB"/>
    <w:rsid w:val="00515101"/>
    <w:rsid w:val="00530CAA"/>
    <w:rsid w:val="005351F1"/>
    <w:rsid w:val="00547881"/>
    <w:rsid w:val="0055317F"/>
    <w:rsid w:val="00553D74"/>
    <w:rsid w:val="00557CB8"/>
    <w:rsid w:val="005625C2"/>
    <w:rsid w:val="005815A4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532AE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2E8C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034F"/>
    <w:rsid w:val="006F19AB"/>
    <w:rsid w:val="006F2450"/>
    <w:rsid w:val="0070662F"/>
    <w:rsid w:val="0071379B"/>
    <w:rsid w:val="0071512B"/>
    <w:rsid w:val="00715211"/>
    <w:rsid w:val="007206AE"/>
    <w:rsid w:val="007213C6"/>
    <w:rsid w:val="00722392"/>
    <w:rsid w:val="00733EB6"/>
    <w:rsid w:val="007347EC"/>
    <w:rsid w:val="00735557"/>
    <w:rsid w:val="00743CB0"/>
    <w:rsid w:val="00747C84"/>
    <w:rsid w:val="00753946"/>
    <w:rsid w:val="00760B89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07ABC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1AAD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57F79"/>
    <w:rsid w:val="00A62353"/>
    <w:rsid w:val="00A62983"/>
    <w:rsid w:val="00A62DD6"/>
    <w:rsid w:val="00A63A3E"/>
    <w:rsid w:val="00A75135"/>
    <w:rsid w:val="00A8536A"/>
    <w:rsid w:val="00A859E4"/>
    <w:rsid w:val="00A85CAB"/>
    <w:rsid w:val="00A867B7"/>
    <w:rsid w:val="00A953DB"/>
    <w:rsid w:val="00AB6BBC"/>
    <w:rsid w:val="00AB744B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01EC"/>
    <w:rsid w:val="00B61F3A"/>
    <w:rsid w:val="00B66BD4"/>
    <w:rsid w:val="00B73B67"/>
    <w:rsid w:val="00B7608D"/>
    <w:rsid w:val="00B76598"/>
    <w:rsid w:val="00B841ED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BB9"/>
    <w:rsid w:val="00BF62FE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942B9"/>
    <w:rsid w:val="00CA3460"/>
    <w:rsid w:val="00CA5515"/>
    <w:rsid w:val="00CC1292"/>
    <w:rsid w:val="00CD1C73"/>
    <w:rsid w:val="00CD5AEB"/>
    <w:rsid w:val="00CD6350"/>
    <w:rsid w:val="00CD7956"/>
    <w:rsid w:val="00CE4834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13D7F"/>
    <w:rsid w:val="00D265FF"/>
    <w:rsid w:val="00D310A4"/>
    <w:rsid w:val="00D31A33"/>
    <w:rsid w:val="00D54969"/>
    <w:rsid w:val="00D54C1C"/>
    <w:rsid w:val="00D61394"/>
    <w:rsid w:val="00D6386D"/>
    <w:rsid w:val="00D65CB7"/>
    <w:rsid w:val="00D67D2E"/>
    <w:rsid w:val="00D749C0"/>
    <w:rsid w:val="00D77D1A"/>
    <w:rsid w:val="00D83EC3"/>
    <w:rsid w:val="00D963CD"/>
    <w:rsid w:val="00DA216F"/>
    <w:rsid w:val="00DA74F9"/>
    <w:rsid w:val="00DB261B"/>
    <w:rsid w:val="00DB655D"/>
    <w:rsid w:val="00DC07BF"/>
    <w:rsid w:val="00DC2D61"/>
    <w:rsid w:val="00DD4546"/>
    <w:rsid w:val="00DE1639"/>
    <w:rsid w:val="00DE5C7D"/>
    <w:rsid w:val="00DE720A"/>
    <w:rsid w:val="00E054BA"/>
    <w:rsid w:val="00E142EA"/>
    <w:rsid w:val="00E1454C"/>
    <w:rsid w:val="00E1641F"/>
    <w:rsid w:val="00E23287"/>
    <w:rsid w:val="00E25C1E"/>
    <w:rsid w:val="00E34B9F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7107F"/>
    <w:rsid w:val="00E71A06"/>
    <w:rsid w:val="00E7441E"/>
    <w:rsid w:val="00E81D74"/>
    <w:rsid w:val="00E8489F"/>
    <w:rsid w:val="00E91836"/>
    <w:rsid w:val="00E93D14"/>
    <w:rsid w:val="00E93F00"/>
    <w:rsid w:val="00EA3288"/>
    <w:rsid w:val="00EA5094"/>
    <w:rsid w:val="00EC0F4D"/>
    <w:rsid w:val="00EC2D0D"/>
    <w:rsid w:val="00ED5508"/>
    <w:rsid w:val="00ED57DE"/>
    <w:rsid w:val="00ED6871"/>
    <w:rsid w:val="00EE14B3"/>
    <w:rsid w:val="00EE380D"/>
    <w:rsid w:val="00EE444D"/>
    <w:rsid w:val="00EE6513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40AA"/>
    <w:rsid w:val="00F659AD"/>
    <w:rsid w:val="00F65A36"/>
    <w:rsid w:val="00F667CF"/>
    <w:rsid w:val="00F74455"/>
    <w:rsid w:val="00F7456F"/>
    <w:rsid w:val="00F74F12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5430A-407D-45EF-BCEF-66012643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6594</TotalTime>
  <Pages>27</Pages>
  <Words>8828</Words>
  <Characters>52973</Characters>
  <Application>Microsoft Office Word</Application>
  <DocSecurity>0</DocSecurity>
  <Lines>441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172</cp:revision>
  <cp:lastPrinted>2024-09-04T09:44:00Z</cp:lastPrinted>
  <dcterms:created xsi:type="dcterms:W3CDTF">2020-01-24T10:28:00Z</dcterms:created>
  <dcterms:modified xsi:type="dcterms:W3CDTF">2024-09-18T11:54:00Z</dcterms:modified>
</cp:coreProperties>
</file>