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42" w:rsidRPr="00D566FD" w:rsidRDefault="002A4242" w:rsidP="00EF0534">
      <w:pPr>
        <w:spacing w:line="276" w:lineRule="auto"/>
        <w:rPr>
          <w:b/>
          <w:sz w:val="20"/>
          <w:szCs w:val="20"/>
        </w:rPr>
      </w:pPr>
    </w:p>
    <w:tbl>
      <w:tblPr>
        <w:tblW w:w="13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6"/>
      </w:tblGrid>
      <w:tr w:rsidR="002A4242" w:rsidRPr="00D566FD" w:rsidTr="00436E70">
        <w:trPr>
          <w:trHeight w:val="406"/>
          <w:jc w:val="center"/>
        </w:trPr>
        <w:tc>
          <w:tcPr>
            <w:tcW w:w="13896" w:type="dxa"/>
            <w:shd w:val="clear" w:color="auto" w:fill="D9D9D9"/>
            <w:vAlign w:val="center"/>
          </w:tcPr>
          <w:p w:rsidR="002A4242" w:rsidRPr="00D566FD" w:rsidRDefault="002A4242" w:rsidP="00436E70">
            <w:pPr>
              <w:autoSpaceDN w:val="0"/>
              <w:spacing w:line="288" w:lineRule="auto"/>
              <w:jc w:val="center"/>
              <w:rPr>
                <w:b/>
                <w:kern w:val="3"/>
                <w:sz w:val="20"/>
                <w:szCs w:val="20"/>
                <w:lang w:eastAsia="zh-CN"/>
              </w:rPr>
            </w:pPr>
            <w:r w:rsidRPr="00D566FD">
              <w:rPr>
                <w:b/>
                <w:kern w:val="3"/>
                <w:sz w:val="20"/>
                <w:szCs w:val="20"/>
                <w:lang w:eastAsia="zh-CN"/>
              </w:rPr>
              <w:t>OPIS PRZEDMIOTU ZAMÓWIENIA</w:t>
            </w:r>
          </w:p>
        </w:tc>
      </w:tr>
      <w:tr w:rsidR="00233B49" w:rsidRPr="00233B49" w:rsidTr="00436E70">
        <w:trPr>
          <w:trHeight w:val="693"/>
          <w:jc w:val="center"/>
        </w:trPr>
        <w:tc>
          <w:tcPr>
            <w:tcW w:w="13896" w:type="dxa"/>
            <w:shd w:val="clear" w:color="auto" w:fill="F2F2F2"/>
            <w:vAlign w:val="center"/>
          </w:tcPr>
          <w:p w:rsidR="002A4242" w:rsidRPr="00233B49" w:rsidRDefault="00EF0534" w:rsidP="00436E70">
            <w:pPr>
              <w:autoSpaceDN w:val="0"/>
              <w:spacing w:line="288" w:lineRule="auto"/>
              <w:jc w:val="center"/>
              <w:textAlignment w:val="baseline"/>
              <w:rPr>
                <w:rFonts w:eastAsia="Lucida Sans Unicode"/>
                <w:b/>
                <w:color w:val="000000" w:themeColor="text1"/>
                <w:kern w:val="3"/>
                <w:sz w:val="20"/>
                <w:szCs w:val="20"/>
                <w:lang w:eastAsia="zh-CN" w:bidi="hi-IN"/>
              </w:rPr>
            </w:pPr>
            <w:r w:rsidRPr="00233B49">
              <w:rPr>
                <w:b/>
                <w:color w:val="000000" w:themeColor="text1"/>
                <w:sz w:val="20"/>
                <w:szCs w:val="20"/>
              </w:rPr>
              <w:t>Dostawa Tomografu Komputerowego wraz z instalacją, uruchomieniem, szkoleniem personelu i niezbędnymi pracami adaptacyjnymi</w:t>
            </w:r>
          </w:p>
        </w:tc>
      </w:tr>
    </w:tbl>
    <w:p w:rsidR="002A4242" w:rsidRPr="00233B49" w:rsidRDefault="002A4242" w:rsidP="002A4242">
      <w:pPr>
        <w:spacing w:line="360" w:lineRule="auto"/>
        <w:rPr>
          <w:color w:val="000000" w:themeColor="text1"/>
          <w:sz w:val="20"/>
          <w:szCs w:val="20"/>
        </w:rPr>
      </w:pPr>
    </w:p>
    <w:p w:rsidR="002A4242" w:rsidRPr="00233B49" w:rsidRDefault="002A4242" w:rsidP="002A4242">
      <w:pPr>
        <w:tabs>
          <w:tab w:val="left" w:pos="2375"/>
        </w:tabs>
        <w:rPr>
          <w:rFonts w:eastAsia="Lucida Sans Unicode"/>
          <w:color w:val="000000" w:themeColor="text1"/>
          <w:kern w:val="3"/>
          <w:sz w:val="20"/>
          <w:szCs w:val="20"/>
          <w:lang w:eastAsia="zh-CN" w:bidi="hi-IN"/>
        </w:rPr>
      </w:pPr>
      <w:r w:rsidRPr="00233B49">
        <w:rPr>
          <w:rFonts w:eastAsia="Lucida Sans Unicode"/>
          <w:color w:val="000000" w:themeColor="text1"/>
          <w:kern w:val="3"/>
          <w:sz w:val="20"/>
          <w:szCs w:val="20"/>
          <w:lang w:eastAsia="zh-CN" w:bidi="hi-IN"/>
        </w:rPr>
        <w:t>Uwagi i objaśnienia:</w:t>
      </w:r>
    </w:p>
    <w:p w:rsidR="002A4242" w:rsidRPr="00233B49" w:rsidRDefault="002A4242" w:rsidP="002A4242">
      <w:pPr>
        <w:numPr>
          <w:ilvl w:val="0"/>
          <w:numId w:val="25"/>
        </w:numPr>
        <w:autoSpaceDN w:val="0"/>
        <w:spacing w:after="120"/>
        <w:textAlignment w:val="baseline"/>
        <w:rPr>
          <w:rFonts w:eastAsia="Lucida Sans Unicode"/>
          <w:color w:val="000000" w:themeColor="text1"/>
          <w:kern w:val="3"/>
          <w:sz w:val="20"/>
          <w:szCs w:val="20"/>
          <w:lang w:eastAsia="zh-CN" w:bidi="hi-IN"/>
        </w:rPr>
      </w:pPr>
      <w:r w:rsidRPr="00233B49">
        <w:rPr>
          <w:rFonts w:eastAsia="Lucida Sans Unicode"/>
          <w:color w:val="000000" w:themeColor="text1"/>
          <w:kern w:val="3"/>
          <w:sz w:val="20"/>
          <w:szCs w:val="20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:rsidR="002A4242" w:rsidRPr="00233B49" w:rsidRDefault="002A4242" w:rsidP="002A4242">
      <w:pPr>
        <w:numPr>
          <w:ilvl w:val="0"/>
          <w:numId w:val="25"/>
        </w:numPr>
        <w:autoSpaceDN w:val="0"/>
        <w:spacing w:after="120"/>
        <w:textAlignment w:val="baseline"/>
        <w:rPr>
          <w:rFonts w:eastAsia="Lucida Sans Unicode"/>
          <w:color w:val="000000" w:themeColor="text1"/>
          <w:kern w:val="3"/>
          <w:sz w:val="20"/>
          <w:szCs w:val="20"/>
          <w:lang w:eastAsia="zh-CN" w:bidi="hi-IN"/>
        </w:rPr>
      </w:pPr>
      <w:r w:rsidRPr="00233B49">
        <w:rPr>
          <w:rFonts w:eastAsia="Lucida Sans Unicode"/>
          <w:color w:val="000000" w:themeColor="text1"/>
          <w:kern w:val="3"/>
          <w:sz w:val="20"/>
          <w:szCs w:val="20"/>
          <w:lang w:eastAsia="zh-CN" w:bidi="hi-IN"/>
        </w:rPr>
        <w:t>Parametry o określonych warunkach liczbowych ( „=&gt;”  lub „&lt;=”, „min.” lub „max.”) są warunkami granicznymi, których niespełnienie spowoduje odrzucenie oferty.</w:t>
      </w:r>
    </w:p>
    <w:p w:rsidR="002A4242" w:rsidRPr="00233B49" w:rsidRDefault="002A4242" w:rsidP="002A4242">
      <w:pPr>
        <w:numPr>
          <w:ilvl w:val="0"/>
          <w:numId w:val="25"/>
        </w:numPr>
        <w:autoSpaceDN w:val="0"/>
        <w:spacing w:after="120"/>
        <w:textAlignment w:val="baseline"/>
        <w:rPr>
          <w:rFonts w:eastAsia="Lucida Sans Unicode"/>
          <w:color w:val="000000" w:themeColor="text1"/>
          <w:kern w:val="3"/>
          <w:sz w:val="20"/>
          <w:szCs w:val="20"/>
          <w:lang w:eastAsia="zh-CN" w:bidi="hi-IN"/>
        </w:rPr>
      </w:pPr>
      <w:r w:rsidRPr="00233B49">
        <w:rPr>
          <w:rFonts w:eastAsia="Lucida Sans Unicode"/>
          <w:color w:val="000000" w:themeColor="text1"/>
          <w:kern w:val="3"/>
          <w:sz w:val="20"/>
          <w:szCs w:val="20"/>
          <w:lang w:eastAsia="zh-CN" w:bidi="hi-IN"/>
        </w:rPr>
        <w:t>Wartość podana przy w/w oznaczeniach oznacza wartość wymaganą.</w:t>
      </w:r>
    </w:p>
    <w:p w:rsidR="002A4242" w:rsidRPr="00233B49" w:rsidRDefault="002A4242" w:rsidP="00391441">
      <w:pPr>
        <w:numPr>
          <w:ilvl w:val="0"/>
          <w:numId w:val="25"/>
        </w:numPr>
        <w:autoSpaceDN w:val="0"/>
        <w:spacing w:after="120"/>
        <w:textAlignment w:val="baseline"/>
        <w:rPr>
          <w:rFonts w:eastAsia="Lucida Sans Unicode"/>
          <w:color w:val="000000" w:themeColor="text1"/>
          <w:kern w:val="3"/>
          <w:sz w:val="20"/>
          <w:szCs w:val="20"/>
          <w:lang w:eastAsia="zh-CN" w:bidi="hi-IN"/>
        </w:rPr>
      </w:pPr>
      <w:r w:rsidRPr="00233B49">
        <w:rPr>
          <w:rFonts w:eastAsia="Lucida Sans Unicode"/>
          <w:color w:val="000000" w:themeColor="text1"/>
          <w:kern w:val="3"/>
          <w:sz w:val="20"/>
          <w:szCs w:val="20"/>
          <w:lang w:eastAsia="zh-CN" w:bidi="hi-IN"/>
        </w:rPr>
        <w:t>W kolumnie „</w:t>
      </w:r>
      <w:r w:rsidR="00391441" w:rsidRPr="00233B49">
        <w:rPr>
          <w:rFonts w:eastAsia="Lucida Sans Unicode"/>
          <w:color w:val="000000" w:themeColor="text1"/>
          <w:kern w:val="3"/>
          <w:sz w:val="20"/>
          <w:szCs w:val="20"/>
          <w:lang w:eastAsia="zh-CN" w:bidi="hi-IN"/>
        </w:rPr>
        <w:t>Lokalizacja w materiałach firmowych potwierdzenia parametru</w:t>
      </w:r>
      <w:r w:rsidRPr="00233B49">
        <w:rPr>
          <w:rFonts w:eastAsia="Lucida Sans Unicode"/>
          <w:color w:val="000000" w:themeColor="text1"/>
          <w:kern w:val="3"/>
          <w:sz w:val="20"/>
          <w:szCs w:val="20"/>
          <w:lang w:eastAsia="zh-CN" w:bidi="hi-IN"/>
        </w:rPr>
        <w:t>” w przypadku wyrażenia "nie dotyczy" potwierdzenie w materiałach firmowych nie jest konieczne, natomiast w pozostałych przypadkach wykonawca ma obowiązek w tej kolumnie wskazania, gdzie w materiałach firmowych znajduje się parametr zadeklarowany w kolumnie "parametr oferowany".</w:t>
      </w:r>
    </w:p>
    <w:p w:rsidR="002A4242" w:rsidRPr="00D566FD" w:rsidRDefault="002A4242" w:rsidP="002A4242">
      <w:pPr>
        <w:numPr>
          <w:ilvl w:val="0"/>
          <w:numId w:val="25"/>
        </w:num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D566FD">
        <w:rPr>
          <w:rFonts w:eastAsia="Lucida Sans Unicode"/>
          <w:kern w:val="3"/>
          <w:sz w:val="20"/>
          <w:szCs w:val="20"/>
          <w:lang w:eastAsia="zh-CN" w:bidi="hi-IN"/>
        </w:rPr>
        <w:t>Wykonawca zobowiązany jest do podania parametrów w jednostkach wskazanych w niniejszym opisie.</w:t>
      </w:r>
    </w:p>
    <w:p w:rsidR="002A4242" w:rsidRPr="00D566FD" w:rsidRDefault="002A4242" w:rsidP="002A4242">
      <w:pPr>
        <w:numPr>
          <w:ilvl w:val="0"/>
          <w:numId w:val="25"/>
        </w:num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D566FD">
        <w:rPr>
          <w:rFonts w:eastAsia="Lucida Sans Unicode"/>
          <w:kern w:val="3"/>
          <w:sz w:val="20"/>
          <w:szCs w:val="20"/>
          <w:lang w:eastAsia="zh-CN" w:bidi="hi-IN"/>
        </w:rPr>
        <w:t xml:space="preserve">Wykonawca gwarantuje niniejszym, że sprzęt jest fabrycznie nowy (rok produkcji nie wcześniej niż </w:t>
      </w:r>
      <w:r w:rsidRPr="00D566FD">
        <w:rPr>
          <w:sz w:val="20"/>
          <w:szCs w:val="20"/>
          <w:lang w:eastAsia="pl-PL"/>
        </w:rPr>
        <w:t>2022</w:t>
      </w:r>
      <w:r w:rsidRPr="00D566FD">
        <w:rPr>
          <w:rFonts w:eastAsia="Lucida Sans Unicode"/>
          <w:kern w:val="3"/>
          <w:sz w:val="20"/>
          <w:szCs w:val="20"/>
          <w:lang w:eastAsia="zh-CN" w:bidi="hi-IN"/>
        </w:rPr>
        <w:t>), nieużywany, kompletny i do jego uruchomienia oraz stosowania zgodnie z przeznaczeniem nie jest konieczny zakup dodatkowych elementów i akcesoriów. Żaden aparat ani jego część składowa, wyposażenie, etc. nie jest sprzętem rekondycjonowanym, powystawowym i nie był wykorzystywany wcześniej przez innego użytkownika.</w:t>
      </w:r>
    </w:p>
    <w:p w:rsidR="002A4242" w:rsidRPr="00D566FD" w:rsidRDefault="002A4242" w:rsidP="002A4242">
      <w:pPr>
        <w:numPr>
          <w:ilvl w:val="0"/>
          <w:numId w:val="25"/>
        </w:num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D566FD">
        <w:rPr>
          <w:rFonts w:eastAsia="Lucida Sans Unicode"/>
          <w:kern w:val="3"/>
          <w:sz w:val="20"/>
          <w:szCs w:val="20"/>
          <w:lang w:eastAsia="zh-CN" w:bidi="hi-IN"/>
        </w:rPr>
        <w:t>Brak potwierdzenia w materiałach firmowych zakresu większego niż wymagany, pomimo jego wskazania w kolumnie „Parametr oferowany”, spowoduje nie przyznanie punktów za ten parametr.</w:t>
      </w:r>
    </w:p>
    <w:p w:rsidR="00EF0534" w:rsidRPr="00D566FD" w:rsidRDefault="00EF0534" w:rsidP="002A4242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2A4242" w:rsidRPr="00D566FD" w:rsidRDefault="002A4242" w:rsidP="002A4242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D566FD">
        <w:rPr>
          <w:rFonts w:eastAsia="Lucida Sans Unicode"/>
          <w:kern w:val="3"/>
          <w:sz w:val="20"/>
          <w:szCs w:val="20"/>
          <w:lang w:eastAsia="zh-CN" w:bidi="hi-IN"/>
        </w:rPr>
        <w:t>Nazwa i typ: ...............................................................................</w:t>
      </w:r>
    </w:p>
    <w:p w:rsidR="002A4242" w:rsidRPr="00D566FD" w:rsidRDefault="002A4242" w:rsidP="002A4242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2A4242" w:rsidRPr="00D566FD" w:rsidRDefault="002A4242" w:rsidP="002A4242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D566FD">
        <w:rPr>
          <w:rFonts w:eastAsia="Lucida Sans Unicode"/>
          <w:kern w:val="3"/>
          <w:sz w:val="20"/>
          <w:szCs w:val="20"/>
          <w:lang w:eastAsia="zh-CN" w:bidi="hi-IN"/>
        </w:rPr>
        <w:t>Producent / kraj produkcji: ........................................................</w:t>
      </w:r>
    </w:p>
    <w:p w:rsidR="002A4242" w:rsidRPr="00D566FD" w:rsidRDefault="002A4242" w:rsidP="002A4242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2A4242" w:rsidRPr="00D566FD" w:rsidRDefault="002A4242" w:rsidP="002A4242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D566FD">
        <w:rPr>
          <w:rFonts w:eastAsia="Lucida Sans Unicode"/>
          <w:kern w:val="3"/>
          <w:sz w:val="20"/>
          <w:szCs w:val="20"/>
          <w:lang w:eastAsia="zh-CN" w:bidi="hi-IN"/>
        </w:rPr>
        <w:t>Rok produkcji (nie wcześniej niż 2022):  …....................................................</w:t>
      </w:r>
    </w:p>
    <w:p w:rsidR="002A4242" w:rsidRPr="00D566FD" w:rsidRDefault="002A4242" w:rsidP="002A4242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2A4242" w:rsidRDefault="002A4242" w:rsidP="00117CFE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D566FD">
        <w:rPr>
          <w:rFonts w:eastAsia="Lucida Sans Unicode"/>
          <w:kern w:val="3"/>
          <w:sz w:val="20"/>
          <w:szCs w:val="20"/>
          <w:lang w:eastAsia="zh-CN" w:bidi="hi-IN"/>
        </w:rPr>
        <w:t>Klasa wyrobu medycznego: ......................................................</w:t>
      </w:r>
    </w:p>
    <w:p w:rsidR="007444D4" w:rsidRPr="00117CFE" w:rsidRDefault="007444D4" w:rsidP="00117CFE">
      <w:pPr>
        <w:autoSpaceDN w:val="0"/>
        <w:spacing w:after="120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2A4242" w:rsidRPr="007444D4" w:rsidRDefault="007444D4" w:rsidP="007444D4">
      <w:pPr>
        <w:spacing w:line="288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Tabela wyceny: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281"/>
        <w:gridCol w:w="1417"/>
        <w:gridCol w:w="8080"/>
      </w:tblGrid>
      <w:tr w:rsidR="007444D4" w:rsidRPr="007444D4" w:rsidTr="00D16483">
        <w:trPr>
          <w:trHeight w:val="550"/>
        </w:trPr>
        <w:tc>
          <w:tcPr>
            <w:tcW w:w="972" w:type="dxa"/>
            <w:shd w:val="clear" w:color="auto" w:fill="F2F2F2"/>
            <w:vAlign w:val="center"/>
          </w:tcPr>
          <w:p w:rsidR="00DF5AA3" w:rsidRPr="007444D4" w:rsidRDefault="00DF5AA3" w:rsidP="00436E70">
            <w:pPr>
              <w:jc w:val="center"/>
              <w:rPr>
                <w:b/>
                <w:color w:val="000000" w:themeColor="text1"/>
                <w:szCs w:val="20"/>
                <w:lang w:eastAsia="pl-PL"/>
              </w:rPr>
            </w:pPr>
            <w:r w:rsidRPr="007444D4">
              <w:rPr>
                <w:b/>
                <w:color w:val="000000" w:themeColor="text1"/>
                <w:sz w:val="22"/>
                <w:szCs w:val="20"/>
                <w:lang w:eastAsia="pl-PL"/>
              </w:rPr>
              <w:t xml:space="preserve">Lp. </w:t>
            </w:r>
          </w:p>
        </w:tc>
        <w:tc>
          <w:tcPr>
            <w:tcW w:w="3281" w:type="dxa"/>
            <w:shd w:val="clear" w:color="auto" w:fill="F2F2F2"/>
            <w:vAlign w:val="center"/>
          </w:tcPr>
          <w:p w:rsidR="00DF5AA3" w:rsidRPr="007444D4" w:rsidRDefault="00DF5AA3" w:rsidP="00436E70">
            <w:pPr>
              <w:jc w:val="center"/>
              <w:rPr>
                <w:b/>
                <w:color w:val="000000" w:themeColor="text1"/>
                <w:szCs w:val="20"/>
                <w:lang w:eastAsia="pl-PL"/>
              </w:rPr>
            </w:pPr>
            <w:r w:rsidRPr="007444D4">
              <w:rPr>
                <w:b/>
                <w:color w:val="000000" w:themeColor="text1"/>
                <w:sz w:val="22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F5AA3" w:rsidRPr="007444D4" w:rsidRDefault="00DF5AA3" w:rsidP="00436E70">
            <w:pPr>
              <w:jc w:val="center"/>
              <w:rPr>
                <w:b/>
                <w:color w:val="000000" w:themeColor="text1"/>
                <w:szCs w:val="20"/>
                <w:lang w:eastAsia="pl-PL"/>
              </w:rPr>
            </w:pPr>
            <w:r w:rsidRPr="007444D4">
              <w:rPr>
                <w:b/>
                <w:color w:val="000000" w:themeColor="text1"/>
                <w:sz w:val="22"/>
                <w:szCs w:val="20"/>
                <w:lang w:eastAsia="pl-PL"/>
              </w:rPr>
              <w:t>Liczba sztuk</w:t>
            </w:r>
          </w:p>
        </w:tc>
        <w:tc>
          <w:tcPr>
            <w:tcW w:w="8080" w:type="dxa"/>
            <w:shd w:val="clear" w:color="auto" w:fill="F2F2F2"/>
            <w:vAlign w:val="center"/>
          </w:tcPr>
          <w:p w:rsidR="00DF5AA3" w:rsidRPr="007444D4" w:rsidRDefault="00DF5AA3" w:rsidP="00436E70">
            <w:pPr>
              <w:jc w:val="center"/>
              <w:rPr>
                <w:b/>
                <w:color w:val="000000" w:themeColor="text1"/>
                <w:szCs w:val="20"/>
                <w:lang w:eastAsia="pl-PL"/>
              </w:rPr>
            </w:pPr>
            <w:r w:rsidRPr="007444D4">
              <w:rPr>
                <w:b/>
                <w:color w:val="000000" w:themeColor="text1"/>
                <w:sz w:val="22"/>
                <w:szCs w:val="20"/>
                <w:lang w:eastAsia="pl-PL"/>
              </w:rPr>
              <w:t>A: Cena brutto</w:t>
            </w:r>
            <w:r w:rsidR="00117CFE" w:rsidRPr="007444D4">
              <w:rPr>
                <w:b/>
                <w:color w:val="000000" w:themeColor="text1"/>
                <w:sz w:val="22"/>
                <w:szCs w:val="20"/>
                <w:lang w:eastAsia="pl-PL"/>
              </w:rPr>
              <w:t>*</w:t>
            </w:r>
            <w:r w:rsidRPr="007444D4">
              <w:rPr>
                <w:b/>
                <w:color w:val="000000" w:themeColor="text1"/>
                <w:sz w:val="22"/>
                <w:szCs w:val="20"/>
                <w:lang w:eastAsia="pl-PL"/>
              </w:rPr>
              <w:t xml:space="preserve"> sprzętu (w zł)</w:t>
            </w:r>
          </w:p>
        </w:tc>
      </w:tr>
      <w:tr w:rsidR="007444D4" w:rsidRPr="007444D4" w:rsidTr="00D16483">
        <w:trPr>
          <w:trHeight w:val="647"/>
        </w:trPr>
        <w:tc>
          <w:tcPr>
            <w:tcW w:w="972" w:type="dxa"/>
            <w:shd w:val="clear" w:color="auto" w:fill="F2F2F2"/>
            <w:vAlign w:val="center"/>
          </w:tcPr>
          <w:p w:rsidR="00DF5AA3" w:rsidRPr="007444D4" w:rsidRDefault="00DF5AA3" w:rsidP="00436E70">
            <w:pPr>
              <w:rPr>
                <w:color w:val="000000" w:themeColor="text1"/>
                <w:szCs w:val="20"/>
                <w:lang w:eastAsia="pl-PL"/>
              </w:rPr>
            </w:pPr>
            <w:r w:rsidRPr="007444D4">
              <w:rPr>
                <w:color w:val="000000" w:themeColor="text1"/>
                <w:sz w:val="22"/>
                <w:szCs w:val="20"/>
                <w:lang w:eastAsia="pl-PL"/>
              </w:rPr>
              <w:t>1.</w:t>
            </w:r>
          </w:p>
        </w:tc>
        <w:tc>
          <w:tcPr>
            <w:tcW w:w="3281" w:type="dxa"/>
            <w:shd w:val="clear" w:color="auto" w:fill="F2F2F2"/>
            <w:vAlign w:val="center"/>
          </w:tcPr>
          <w:p w:rsidR="00DF5AA3" w:rsidRPr="007444D4" w:rsidRDefault="00117CFE" w:rsidP="00436E70">
            <w:pPr>
              <w:rPr>
                <w:b/>
                <w:bCs/>
                <w:color w:val="000000" w:themeColor="text1"/>
                <w:szCs w:val="20"/>
                <w:lang w:eastAsia="pl-PL"/>
              </w:rPr>
            </w:pPr>
            <w:r w:rsidRPr="007444D4">
              <w:rPr>
                <w:b/>
                <w:bCs/>
                <w:color w:val="000000" w:themeColor="text1"/>
                <w:sz w:val="22"/>
                <w:szCs w:val="20"/>
                <w:lang w:eastAsia="pl-PL"/>
              </w:rPr>
              <w:t>Tomograf Komputerowy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F5AA3" w:rsidRPr="007444D4" w:rsidRDefault="00DF5AA3" w:rsidP="00436E70">
            <w:pPr>
              <w:jc w:val="center"/>
              <w:rPr>
                <w:color w:val="000000" w:themeColor="text1"/>
                <w:szCs w:val="20"/>
                <w:lang w:eastAsia="pl-PL"/>
              </w:rPr>
            </w:pPr>
            <w:r w:rsidRPr="007444D4">
              <w:rPr>
                <w:bCs/>
                <w:color w:val="000000" w:themeColor="text1"/>
                <w:sz w:val="22"/>
                <w:szCs w:val="20"/>
                <w:lang w:eastAsia="pl-PL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DF5AA3" w:rsidRPr="007444D4" w:rsidRDefault="00DF5AA3" w:rsidP="00436E70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7444D4" w:rsidRPr="007444D4" w:rsidTr="00D16483">
        <w:trPr>
          <w:trHeight w:val="560"/>
        </w:trPr>
        <w:tc>
          <w:tcPr>
            <w:tcW w:w="5670" w:type="dxa"/>
            <w:gridSpan w:val="3"/>
            <w:shd w:val="clear" w:color="auto" w:fill="F2F2F2"/>
            <w:vAlign w:val="center"/>
          </w:tcPr>
          <w:p w:rsidR="00117CFE" w:rsidRPr="007444D4" w:rsidRDefault="00117CFE" w:rsidP="00D16483">
            <w:pPr>
              <w:rPr>
                <w:b/>
                <w:color w:val="000000" w:themeColor="text1"/>
                <w:szCs w:val="20"/>
              </w:rPr>
            </w:pPr>
            <w:r w:rsidRPr="007444D4">
              <w:rPr>
                <w:b/>
                <w:color w:val="000000" w:themeColor="text1"/>
                <w:sz w:val="22"/>
                <w:szCs w:val="20"/>
              </w:rPr>
              <w:t xml:space="preserve">B: </w:t>
            </w:r>
            <w:r w:rsidRPr="007444D4">
              <w:rPr>
                <w:b/>
                <w:bCs/>
                <w:color w:val="000000" w:themeColor="text1"/>
                <w:sz w:val="22"/>
                <w:szCs w:val="20"/>
              </w:rPr>
              <w:t xml:space="preserve">Cena brutto* </w:t>
            </w:r>
            <w:r w:rsidRPr="007444D4">
              <w:rPr>
                <w:b/>
                <w:color w:val="000000" w:themeColor="text1"/>
                <w:sz w:val="22"/>
                <w:szCs w:val="20"/>
              </w:rPr>
              <w:t xml:space="preserve">dostawy i </w:t>
            </w:r>
            <w:r w:rsidRPr="007444D4">
              <w:rPr>
                <w:b/>
                <w:bCs/>
                <w:color w:val="000000" w:themeColor="text1"/>
                <w:sz w:val="22"/>
                <w:szCs w:val="20"/>
              </w:rPr>
              <w:t xml:space="preserve">instalacji sprzętu </w:t>
            </w:r>
            <w:r w:rsidRPr="007444D4">
              <w:rPr>
                <w:b/>
                <w:color w:val="000000" w:themeColor="text1"/>
                <w:sz w:val="22"/>
                <w:szCs w:val="20"/>
              </w:rPr>
              <w:t>(w zł):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17CFE" w:rsidRPr="007444D4" w:rsidRDefault="00117CFE" w:rsidP="00436E70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7444D4" w:rsidRPr="007444D4" w:rsidTr="00D16483">
        <w:trPr>
          <w:trHeight w:val="443"/>
        </w:trPr>
        <w:tc>
          <w:tcPr>
            <w:tcW w:w="5670" w:type="dxa"/>
            <w:gridSpan w:val="3"/>
            <w:shd w:val="clear" w:color="auto" w:fill="F2F2F2"/>
            <w:vAlign w:val="center"/>
          </w:tcPr>
          <w:p w:rsidR="00117CFE" w:rsidRPr="007444D4" w:rsidRDefault="00117CFE" w:rsidP="00D16483">
            <w:pPr>
              <w:rPr>
                <w:b/>
                <w:color w:val="000000" w:themeColor="text1"/>
                <w:szCs w:val="20"/>
              </w:rPr>
            </w:pPr>
            <w:r w:rsidRPr="007444D4">
              <w:rPr>
                <w:b/>
                <w:color w:val="000000" w:themeColor="text1"/>
                <w:sz w:val="22"/>
                <w:szCs w:val="20"/>
              </w:rPr>
              <w:t xml:space="preserve">C: </w:t>
            </w:r>
            <w:r w:rsidRPr="007444D4">
              <w:rPr>
                <w:b/>
                <w:bCs/>
                <w:color w:val="000000" w:themeColor="text1"/>
                <w:sz w:val="22"/>
                <w:szCs w:val="20"/>
              </w:rPr>
              <w:t>Cena brutto* szkoleń</w:t>
            </w:r>
            <w:r w:rsidRPr="007444D4">
              <w:rPr>
                <w:b/>
                <w:color w:val="000000" w:themeColor="text1"/>
                <w:sz w:val="22"/>
                <w:szCs w:val="20"/>
              </w:rPr>
              <w:t xml:space="preserve"> (w zł):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17CFE" w:rsidRPr="007444D4" w:rsidRDefault="00117CFE" w:rsidP="00436E70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7444D4" w:rsidRPr="007444D4" w:rsidTr="00D16483">
        <w:trPr>
          <w:trHeight w:val="443"/>
        </w:trPr>
        <w:tc>
          <w:tcPr>
            <w:tcW w:w="5670" w:type="dxa"/>
            <w:gridSpan w:val="3"/>
            <w:shd w:val="clear" w:color="auto" w:fill="F2F2F2"/>
            <w:vAlign w:val="center"/>
          </w:tcPr>
          <w:p w:rsidR="00117CFE" w:rsidRPr="007444D4" w:rsidRDefault="00EE42E0" w:rsidP="00D16483">
            <w:pPr>
              <w:rPr>
                <w:b/>
                <w:color w:val="000000" w:themeColor="text1"/>
                <w:szCs w:val="20"/>
              </w:rPr>
            </w:pPr>
            <w:r w:rsidRPr="007444D4">
              <w:rPr>
                <w:b/>
                <w:color w:val="000000" w:themeColor="text1"/>
                <w:sz w:val="22"/>
                <w:szCs w:val="20"/>
              </w:rPr>
              <w:t>D</w:t>
            </w:r>
            <w:r w:rsidR="00117CFE" w:rsidRPr="007444D4">
              <w:rPr>
                <w:b/>
                <w:color w:val="000000" w:themeColor="text1"/>
                <w:sz w:val="22"/>
                <w:szCs w:val="20"/>
              </w:rPr>
              <w:t>: Cena brutto* niezbędnych prac adaptacyjnych (w zł):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17CFE" w:rsidRPr="007444D4" w:rsidRDefault="00117CFE" w:rsidP="00436E70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7444D4" w:rsidRPr="007444D4" w:rsidTr="00D16483">
        <w:trPr>
          <w:trHeight w:val="443"/>
        </w:trPr>
        <w:tc>
          <w:tcPr>
            <w:tcW w:w="5670" w:type="dxa"/>
            <w:gridSpan w:val="3"/>
            <w:shd w:val="clear" w:color="auto" w:fill="F2F2F2"/>
            <w:vAlign w:val="center"/>
          </w:tcPr>
          <w:p w:rsidR="00EE42E0" w:rsidRPr="007444D4" w:rsidRDefault="00EE42E0" w:rsidP="00EE42E0">
            <w:pPr>
              <w:jc w:val="right"/>
              <w:rPr>
                <w:b/>
                <w:color w:val="000000" w:themeColor="text1"/>
                <w:szCs w:val="20"/>
              </w:rPr>
            </w:pPr>
            <w:r w:rsidRPr="007444D4">
              <w:rPr>
                <w:b/>
                <w:color w:val="000000" w:themeColor="text1"/>
                <w:sz w:val="22"/>
                <w:szCs w:val="20"/>
              </w:rPr>
              <w:t>A+B+C+D: Cena brutto* oferty (w zł)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E42E0" w:rsidRPr="007444D4" w:rsidRDefault="00EE42E0" w:rsidP="00436E70">
            <w:pPr>
              <w:jc w:val="center"/>
              <w:rPr>
                <w:color w:val="000000" w:themeColor="text1"/>
                <w:szCs w:val="20"/>
              </w:rPr>
            </w:pPr>
          </w:p>
        </w:tc>
      </w:tr>
      <w:tr w:rsidR="007444D4" w:rsidRPr="007444D4" w:rsidTr="00D16483">
        <w:trPr>
          <w:trHeight w:val="340"/>
        </w:trPr>
        <w:tc>
          <w:tcPr>
            <w:tcW w:w="13750" w:type="dxa"/>
            <w:gridSpan w:val="4"/>
            <w:shd w:val="clear" w:color="auto" w:fill="F2F2F2" w:themeFill="background1" w:themeFillShade="F2"/>
            <w:vAlign w:val="center"/>
          </w:tcPr>
          <w:p w:rsidR="00117CFE" w:rsidRPr="007444D4" w:rsidRDefault="00117CFE" w:rsidP="007444D4">
            <w:pPr>
              <w:rPr>
                <w:i/>
                <w:color w:val="000000" w:themeColor="text1"/>
                <w:sz w:val="20"/>
                <w:szCs w:val="20"/>
              </w:rPr>
            </w:pPr>
            <w:r w:rsidRPr="007444D4">
              <w:rPr>
                <w:i/>
                <w:color w:val="000000" w:themeColor="text1"/>
                <w:sz w:val="18"/>
                <w:szCs w:val="20"/>
              </w:rPr>
              <w:t>*jeżeli wybór oferty będzie prowadził do powstania u Zamawiającego obowiązku podatkowego, zgodnie z przepisami o podatku od towarów i usług, należy podać cenę netto.</w:t>
            </w:r>
          </w:p>
        </w:tc>
      </w:tr>
    </w:tbl>
    <w:p w:rsidR="002A4242" w:rsidRPr="00D566FD" w:rsidRDefault="002A4242" w:rsidP="002A4242">
      <w:pPr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2A4242" w:rsidRPr="00D566FD" w:rsidRDefault="002A4242" w:rsidP="002A4242">
      <w:pPr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2A4242" w:rsidRPr="00D566FD" w:rsidRDefault="002A4242" w:rsidP="002A4242">
      <w:pPr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2A4242" w:rsidRPr="00D566FD" w:rsidRDefault="002A4242" w:rsidP="002A4242">
      <w:pPr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EF0534" w:rsidRPr="00D566FD" w:rsidRDefault="00EF0534" w:rsidP="002A4242">
      <w:pPr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2A4242" w:rsidRPr="00D566FD" w:rsidRDefault="002A4242" w:rsidP="002A4242">
      <w:pPr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2A4242" w:rsidRDefault="002A4242" w:rsidP="002A4242">
      <w:pPr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444D4" w:rsidRDefault="007444D4" w:rsidP="002A4242">
      <w:pPr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444D4" w:rsidRDefault="007444D4" w:rsidP="002A4242">
      <w:pPr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444D4" w:rsidRDefault="007444D4" w:rsidP="002A4242">
      <w:pPr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444D4" w:rsidRDefault="007444D4" w:rsidP="002A4242">
      <w:pPr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444D4" w:rsidRDefault="007444D4" w:rsidP="002A4242">
      <w:pPr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7444D4" w:rsidRPr="00D566FD" w:rsidRDefault="007444D4" w:rsidP="002A4242">
      <w:pPr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</w:p>
    <w:p w:rsidR="002A4242" w:rsidRPr="00DF6259" w:rsidRDefault="00DB4DE1" w:rsidP="00DB4DE1">
      <w:pPr>
        <w:autoSpaceDN w:val="0"/>
        <w:spacing w:line="276" w:lineRule="auto"/>
        <w:jc w:val="center"/>
        <w:textAlignment w:val="baseline"/>
        <w:rPr>
          <w:rFonts w:eastAsia="Lucida Sans Unicode"/>
          <w:b/>
          <w:color w:val="000000" w:themeColor="text1"/>
          <w:kern w:val="3"/>
          <w:sz w:val="20"/>
          <w:szCs w:val="20"/>
          <w:u w:val="single"/>
          <w:lang w:eastAsia="zh-CN" w:bidi="hi-IN"/>
        </w:rPr>
      </w:pPr>
      <w:r w:rsidRPr="00DF6259">
        <w:rPr>
          <w:rFonts w:eastAsia="Lucida Sans Unicode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>Parametry techniczne i eksploatacyjne</w:t>
      </w:r>
    </w:p>
    <w:tbl>
      <w:tblPr>
        <w:tblW w:w="14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7232"/>
        <w:gridCol w:w="1701"/>
        <w:gridCol w:w="1417"/>
        <w:gridCol w:w="1701"/>
        <w:gridCol w:w="8"/>
        <w:gridCol w:w="1553"/>
        <w:gridCol w:w="8"/>
      </w:tblGrid>
      <w:tr w:rsidR="002A4242" w:rsidRPr="00D566FD" w:rsidTr="005A09C3">
        <w:trPr>
          <w:gridAfter w:val="1"/>
          <w:wAfter w:w="8" w:type="dxa"/>
          <w:trHeight w:val="71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566FD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pStyle w:val="Nagwek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66F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Opis parametru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566FD">
              <w:rPr>
                <w:b/>
                <w:bCs/>
                <w:sz w:val="20"/>
                <w:szCs w:val="20"/>
              </w:rPr>
              <w:t>Wartość wymagana/graniczna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566FD">
              <w:rPr>
                <w:b/>
                <w:bCs/>
                <w:sz w:val="20"/>
                <w:szCs w:val="20"/>
              </w:rPr>
              <w:t>Wartość oferowana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566FD">
              <w:rPr>
                <w:b/>
                <w:bCs/>
                <w:sz w:val="20"/>
                <w:szCs w:val="20"/>
              </w:rPr>
              <w:t>Punktacja</w:t>
            </w:r>
          </w:p>
          <w:p w:rsidR="002A4242" w:rsidRPr="00D566FD" w:rsidRDefault="002A4242" w:rsidP="00436E70">
            <w:pPr>
              <w:ind w:left="3350" w:right="-259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F6259" w:rsidRDefault="00DB4DE1" w:rsidP="00436E70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F6259">
              <w:rPr>
                <w:b/>
                <w:bCs/>
                <w:color w:val="000000" w:themeColor="text1"/>
                <w:sz w:val="20"/>
                <w:szCs w:val="20"/>
              </w:rPr>
              <w:t>Lokalizacja w materiałach firmowych potwierdzenia parametru</w:t>
            </w:r>
          </w:p>
        </w:tc>
      </w:tr>
      <w:tr w:rsidR="002A4242" w:rsidRPr="00D566FD" w:rsidTr="005A09C3">
        <w:trPr>
          <w:trHeight w:val="454"/>
          <w:jc w:val="center"/>
        </w:trPr>
        <w:tc>
          <w:tcPr>
            <w:tcW w:w="129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242" w:rsidRPr="00D566FD" w:rsidRDefault="002A4242" w:rsidP="00436E70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  <w:r w:rsidRPr="00D566FD">
              <w:rPr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ind w:left="-7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72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5A09C3">
            <w:pPr>
              <w:numPr>
                <w:ilvl w:val="0"/>
                <w:numId w:val="14"/>
              </w:num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ind w:left="-70"/>
              <w:rPr>
                <w:color w:val="000000"/>
                <w:sz w:val="20"/>
                <w:szCs w:val="20"/>
              </w:rPr>
            </w:pPr>
            <w:r w:rsidRPr="00D566FD">
              <w:rPr>
                <w:color w:val="000000"/>
                <w:sz w:val="20"/>
                <w:szCs w:val="20"/>
              </w:rPr>
              <w:t xml:space="preserve">Tomograf nowy </w:t>
            </w:r>
            <w:r w:rsidRPr="00DF6259">
              <w:rPr>
                <w:color w:val="000000" w:themeColor="text1"/>
                <w:sz w:val="20"/>
                <w:szCs w:val="20"/>
              </w:rPr>
              <w:t xml:space="preserve">wyprodukowany </w:t>
            </w:r>
            <w:r w:rsidR="008E1825" w:rsidRPr="00DF6259">
              <w:rPr>
                <w:color w:val="000000" w:themeColor="text1"/>
                <w:sz w:val="20"/>
                <w:szCs w:val="20"/>
              </w:rPr>
              <w:t>nie wcześniej niż</w:t>
            </w:r>
            <w:r w:rsidRPr="00DF6259">
              <w:rPr>
                <w:color w:val="000000" w:themeColor="text1"/>
                <w:sz w:val="20"/>
                <w:szCs w:val="20"/>
              </w:rPr>
              <w:t xml:space="preserve"> </w:t>
            </w:r>
            <w:r w:rsidR="006C2E5F" w:rsidRPr="00DF625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6259">
              <w:rPr>
                <w:color w:val="000000" w:themeColor="text1"/>
                <w:sz w:val="20"/>
                <w:szCs w:val="20"/>
              </w:rPr>
              <w:t>2022</w:t>
            </w:r>
            <w:r w:rsidRPr="00D566FD">
              <w:rPr>
                <w:color w:val="000000"/>
                <w:sz w:val="20"/>
                <w:szCs w:val="20"/>
              </w:rPr>
              <w:t xml:space="preserve"> roku, nieużywany, nie rekondycjonowany, w najnowszej wersji sprzętowej  i  oprogramowania na dzień składania oferty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dotyczy</w:t>
            </w:r>
          </w:p>
        </w:tc>
      </w:tr>
      <w:tr w:rsidR="002A4242" w:rsidRPr="00D566FD" w:rsidTr="005A09C3">
        <w:trPr>
          <w:gridAfter w:val="1"/>
          <w:wAfter w:w="8" w:type="dxa"/>
          <w:trHeight w:val="536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ind w:left="-7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Tomograf komputerowy całego ciała, umożliwiający uzyskanie min. 128 submilimetrowych warstw badanego obszaru w czasie jednego pełnego obrotu układu lampa-detektor</w:t>
            </w:r>
            <w:r w:rsidRPr="00D566F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160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Tomograf umożliwiający:</w:t>
            </w:r>
          </w:p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badania onkologiczne wielonarządowe</w:t>
            </w:r>
          </w:p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badania pacjentów otyłych</w:t>
            </w:r>
          </w:p>
          <w:p w:rsidR="002A4242" w:rsidRPr="00D566FD" w:rsidRDefault="002A4242" w:rsidP="00436E70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badania klatki piersiowej, kręgosłupa, jamy brzusznej i miednicy wraz z badaniami wielofazowymi</w:t>
            </w:r>
          </w:p>
          <w:p w:rsidR="002A4242" w:rsidRPr="00D566FD" w:rsidRDefault="002A4242" w:rsidP="00436E70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badania naczyń domózgowych, wewnątrzczaszkowych, naczyń obwodowych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trHeight w:val="454"/>
          <w:jc w:val="center"/>
        </w:trPr>
        <w:tc>
          <w:tcPr>
            <w:tcW w:w="129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242" w:rsidRPr="00D566FD" w:rsidRDefault="002A4242" w:rsidP="00436E70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  <w:r w:rsidRPr="00D566FD">
              <w:rPr>
                <w:b/>
                <w:bCs/>
                <w:sz w:val="20"/>
                <w:szCs w:val="20"/>
              </w:rPr>
              <w:t>II. GANTRY i STÓŁ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ind w:left="-7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325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Średnica otworu gantry ≥ 80 cm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≥ 82 – 10 pkt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&lt; 82 –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325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Maksymalne obciążenie stołu pacjenta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color w:val="000000"/>
                <w:sz w:val="20"/>
                <w:szCs w:val="20"/>
              </w:rPr>
              <w:t>≥</w:t>
            </w:r>
            <w:r w:rsidRPr="00D566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66FD">
              <w:rPr>
                <w:color w:val="000000"/>
                <w:sz w:val="20"/>
                <w:szCs w:val="20"/>
              </w:rPr>
              <w:t xml:space="preserve"> 300 kg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325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Możliwość pochylania gantry w zakresie min ± 20⁰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FD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325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Kamera zintegrowana z gantry do obserwacji zachowań pacjenta, z funkcją zbliżenia widoku.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FD">
              <w:rPr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325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Kamera 3D zintegrowana z mechanizmem układania pacjenta podczas badań rejestrująca kształt i ułożenie oraz wysokość pacjenta dzięki pomiarom w podczerwieni</w:t>
            </w:r>
          </w:p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rozpoznająca kształt ciała i sposób ułożenia pacjenta do badania (np. „głową lub nogami do przodu”). </w:t>
            </w:r>
          </w:p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Technologia zintegrowana z systemem kamery 3D wspomagająca skanowanie poprawnego obszaru ciała w topogramie bez odcięć - poprzez dopasowanie do </w:t>
            </w:r>
            <w:r w:rsidRPr="00D566FD">
              <w:rPr>
                <w:sz w:val="20"/>
                <w:szCs w:val="20"/>
              </w:rPr>
              <w:lastRenderedPageBreak/>
              <w:t>protokołu automatycznie zidentyfikowanego położenia anatomicznego.</w:t>
            </w:r>
          </w:p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Integracja ww. kamery 3D z oprogramowaniem tomografu umożliwiająca pozycjonowanie Pacjenta w izocentrum przy pomocy jednego kliknięcia, zapewniając min. właściwą modulację dawki.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566FD">
              <w:rPr>
                <w:color w:val="000000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TAK - </w:t>
            </w:r>
            <w:r w:rsidR="00F03CD8">
              <w:rPr>
                <w:sz w:val="20"/>
                <w:szCs w:val="20"/>
              </w:rPr>
              <w:t>3</w:t>
            </w:r>
            <w:r w:rsidRPr="00D566FD">
              <w:rPr>
                <w:sz w:val="20"/>
                <w:szCs w:val="20"/>
              </w:rPr>
              <w:t>0 pkt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325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Wyposażenie stołu:</w:t>
            </w:r>
          </w:p>
          <w:p w:rsidR="002A4242" w:rsidRPr="00D566FD" w:rsidRDefault="002A4242" w:rsidP="00436E70">
            <w:pPr>
              <w:pStyle w:val="Akapitzlist"/>
              <w:numPr>
                <w:ilvl w:val="0"/>
                <w:numId w:val="30"/>
              </w:numPr>
              <w:suppressAutoHyphens w:val="0"/>
              <w:snapToGrid w:val="0"/>
              <w:ind w:left="165" w:hanging="141"/>
              <w:contextualSpacing w:val="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materac</w:t>
            </w:r>
          </w:p>
          <w:p w:rsidR="002A4242" w:rsidRPr="00D566FD" w:rsidRDefault="002A4242" w:rsidP="00436E70">
            <w:pPr>
              <w:pStyle w:val="Akapitzlist"/>
              <w:numPr>
                <w:ilvl w:val="0"/>
                <w:numId w:val="30"/>
              </w:numPr>
              <w:suppressAutoHyphens w:val="0"/>
              <w:snapToGrid w:val="0"/>
              <w:ind w:left="165" w:hanging="141"/>
              <w:contextualSpacing w:val="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osłona chroniąca stół przed zalaniem płynami</w:t>
            </w:r>
          </w:p>
          <w:p w:rsidR="002A4242" w:rsidRPr="00D566FD" w:rsidRDefault="002A4242" w:rsidP="00436E70">
            <w:pPr>
              <w:pStyle w:val="Akapitzlist"/>
              <w:numPr>
                <w:ilvl w:val="0"/>
                <w:numId w:val="30"/>
              </w:numPr>
              <w:suppressAutoHyphens w:val="0"/>
              <w:snapToGrid w:val="0"/>
              <w:ind w:left="165" w:hanging="141"/>
              <w:contextualSpacing w:val="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 xml:space="preserve">podgłówki do badania głowy </w:t>
            </w:r>
          </w:p>
          <w:p w:rsidR="002A4242" w:rsidRPr="00D566FD" w:rsidRDefault="002A4242" w:rsidP="00436E70">
            <w:pPr>
              <w:pStyle w:val="Akapitzlist"/>
              <w:numPr>
                <w:ilvl w:val="0"/>
                <w:numId w:val="30"/>
              </w:numPr>
              <w:suppressAutoHyphens w:val="0"/>
              <w:snapToGrid w:val="0"/>
              <w:ind w:left="165" w:hanging="141"/>
              <w:contextualSpacing w:val="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pasy stabilizujące</w:t>
            </w:r>
          </w:p>
          <w:p w:rsidR="002A4242" w:rsidRPr="00D566FD" w:rsidRDefault="002A4242" w:rsidP="00436E70">
            <w:pPr>
              <w:pStyle w:val="Akapitzlist"/>
              <w:numPr>
                <w:ilvl w:val="0"/>
                <w:numId w:val="30"/>
              </w:numPr>
              <w:suppressAutoHyphens w:val="0"/>
              <w:snapToGrid w:val="0"/>
              <w:ind w:left="165" w:hanging="141"/>
              <w:contextualSpacing w:val="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uchwyt na rolkę na jednorazowe prześcieradło</w:t>
            </w:r>
          </w:p>
          <w:p w:rsidR="002A4242" w:rsidRPr="00D566FD" w:rsidRDefault="002A4242" w:rsidP="00436E70">
            <w:pPr>
              <w:pStyle w:val="Akapitzlist"/>
              <w:numPr>
                <w:ilvl w:val="0"/>
                <w:numId w:val="30"/>
              </w:numPr>
              <w:suppressAutoHyphens w:val="0"/>
              <w:snapToGrid w:val="0"/>
              <w:ind w:left="165" w:hanging="141"/>
              <w:contextualSpacing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  <w:lang w:eastAsia="pl-PL"/>
              </w:rPr>
              <w:t>uchwyt na kroplówkę</w:t>
            </w:r>
          </w:p>
          <w:p w:rsidR="002A4242" w:rsidRPr="00D566FD" w:rsidRDefault="002A4242" w:rsidP="00436E70">
            <w:pPr>
              <w:pStyle w:val="Akapitzlist"/>
              <w:numPr>
                <w:ilvl w:val="0"/>
                <w:numId w:val="30"/>
              </w:numPr>
              <w:suppressAutoHyphens w:val="0"/>
              <w:snapToGrid w:val="0"/>
              <w:ind w:left="165" w:hanging="141"/>
              <w:contextualSpacing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szyny boczne stołu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trHeight w:val="454"/>
          <w:jc w:val="center"/>
        </w:trPr>
        <w:tc>
          <w:tcPr>
            <w:tcW w:w="129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242" w:rsidRPr="00D566FD" w:rsidRDefault="002A4242" w:rsidP="00436E70">
            <w:pPr>
              <w:snapToGrid w:val="0"/>
              <w:rPr>
                <w:b/>
                <w:bCs/>
                <w:sz w:val="20"/>
                <w:szCs w:val="20"/>
                <w:lang w:val="sv-SE"/>
              </w:rPr>
            </w:pPr>
            <w:r w:rsidRPr="00D566FD">
              <w:rPr>
                <w:b/>
                <w:bCs/>
                <w:sz w:val="20"/>
                <w:szCs w:val="20"/>
                <w:lang w:val="sv-SE"/>
              </w:rPr>
              <w:t>III. GENERATOR I LAMPA RTG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b/>
                <w:bCs/>
                <w:sz w:val="20"/>
                <w:szCs w:val="20"/>
                <w:lang w:val="sv-SE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Rzeczywista moc generatora przy skanie jednoenergetycznym, rozumiany jako iloczyn prądu i napięcia w  protokole badań.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≥ 100 kW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Minimalne napięcie anodowe używane w protokołach klinicznych ≤ 70 kV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Niskodawkowe protokoły umożliwiające wykonywanie badań przy niskich nastawach napięcia ≤ 70 kV i jednocześnie wysokich prądach ≥ 1000 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Maksymalne napięcie anodowe używane w protokołach klinicznych ≥ 140 kV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≥ 150 –  10 pkt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&lt; 150 –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Skok wartości nastaw napięcia anody co 10 kV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Maksymalny prąd lampy używany w protokołach klinicznych ≥ 1000 mA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Pojemność cieplna anody lampy ≥ 7,0 MHU lub jej ekwiwalent w przypadku technologii chłodzenia innej niż klasyczna jeśli szybkość chłodzenia anody takiej konstrukcji jest większa niż 2500 kHU/min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≥ 20 – 10 pkt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&lt; 20 –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Szybkość chłodzenia anody lampy ≥ 1,0 MHU/min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≥ 2,5 – 10 pkt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&lt; 2,5 –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Automatyczny, sugerowany przez aparat, dobór nastaw napięcia [kV] i prądu [mA] lampy RTG, specyficznie do rozmiarów badanego pacjenta, zapewniający optymalną dawkę i jakość obrazu.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10 pkt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ind w:right="-7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Moc podłączeniowa [kVA]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trHeight w:val="454"/>
          <w:jc w:val="center"/>
        </w:trPr>
        <w:tc>
          <w:tcPr>
            <w:tcW w:w="129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4242" w:rsidRPr="00D566FD" w:rsidRDefault="002A4242" w:rsidP="00436E7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566FD">
              <w:rPr>
                <w:b/>
                <w:bCs/>
                <w:sz w:val="20"/>
                <w:szCs w:val="20"/>
              </w:rPr>
              <w:lastRenderedPageBreak/>
              <w:t>IV. SYSTEM SKANOWANIA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2A4242" w:rsidRPr="00D566FD" w:rsidRDefault="002A4242" w:rsidP="00436E7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Najkrótszy czas pełnego </w:t>
            </w:r>
            <w:r w:rsidRPr="00D566FD">
              <w:rPr>
                <w:color w:val="000000"/>
                <w:sz w:val="20"/>
                <w:szCs w:val="20"/>
              </w:rPr>
              <w:t>obrotu (360 stopni) układu lampa rtg – detektor [s]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≤ 0,30 s,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Rozdzielczość czasowa rozumiana jako czas obrotu układu lampa-detektor w trakcie którego następuje akwizycja wszystkich danych niezbędnych do rekonstrukcji obrazu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≤ 150 ms,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Szybkość badania z zachowaniem rozdzielczości izotropowej nie większej niż 0,33 mm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≥ 210 mm/s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Maksymalny zakres badania bez przerwy na chłodzenie lampy ≥ 200 cm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Możliwość wykonywania badania spiralnego z pochylonym gantry w zakresie min ± 20⁰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Możliwość wykonywania badania aksjalnego z pochylonym gantry w zakresie min ± 20⁰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Maksymalne, diagnostyczne pole skanowania ≥ 50 cm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Maksymalne, rekonstruowane pole obrazowania FOV ≥ 80 cm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Maksymalna wartość współczynnika pitch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≥ 1.7 – 10 pkt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&lt; 1.7 –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Automatyczny dobór współczynnika pitch w celu osiągnięcia wybranego pokrycia i czasu skanowania, utrzymując wybraną grubość warstwy oraz jakość obrazu.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Grubość najcieńszej dostępnej warstwy w akwizycji wielowarstwowej ≤ 0,65 mm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&gt; 0,60 mm – 0 pkt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≤ 0,60 mm – 10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Rozdzielczość wysokokontrastowa  w akwizycji submilimetrowej w czasie pełnego skanu w trybie helikalnym w matrycy 512 x 512 w płaszczyźnie XY mierzona w punkcie 50% charakterystyki MTF ≥ 12,0 pl/cm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TAK,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Najlepsza rozdzielczość przestrzenna izotropowa we wszystkich osiach ≤ 0,30 mm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Matryca rekonstrukcyjna min. 512x512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512x512 – 0 pkt</w:t>
            </w:r>
            <w:r w:rsidRPr="00D566FD">
              <w:rPr>
                <w:sz w:val="20"/>
                <w:szCs w:val="20"/>
              </w:rPr>
              <w:br/>
              <w:t>1024x1024 – 10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Modulowanie promieniowania RTG w zależności od rzeczywistej pochłanialności badanej anatomii, modulacja we wszystkich trzech osiach XYZ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Niskodawkowy, iteracyjny algorytm rekonstrukcji bazujący na modelu z wielokrotnym przetwarzaniem tych samych danych surowych (RAW) oraz redukujący szum w obszarze obrazu, umożliwiający redukcję dawki o co najmniej 80% w relacji do standardowej metody rekonstrukcji wstecznej FBP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TAK,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Szybkość rekonstrukcji obrazów w matrycy 512x512 z zastosowaniem oferowanego algorytmu rekonstrukcji iteracyjnej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≥ 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Specjalny tryb akwizycji zmniejszający promieniowanie nad szczególnie wrażliwymi organami (oczodoły, tarczyca, piersi) poprzez modulację prądu w zależności od kąta położenia lampy podczas obrotu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TAK,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Dodatkowe rozwiązanie dedykowane do fizycznej redukcji promieniowania o niższych energiach do ograniczenia dawki promieniowania i optymalnej jakości obrazów na granicy ośrodków tkanki miękkiej i powietrza w celu wykonywania badań przesiewowych w obrazowaniu płuc i jelita grubego, nie związana ze wstępną filtracją kolimatorem wiązki (np. dodatkowy dedykowany filtr ze złota lub cyny).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– 10 pkt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–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Algorytmy sztucznej inteligencji umożliwiający automatyczny dobór protokołów badania w oparciu o komunikacje z obsługą tomografu w postaci indywidualnej charakterystyki pacjenta, dobierając optymalną kombinację parametrów akwizycji, rekonstrukcji i czasu badania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Iteracyjny algorytm do redukcji zniekształceń od elementów metalowych we wszystkich obszarach ciała działający selektywnie w zależności o wyboru dokonanego przez obsługę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Algorytm ostrzegający operatora o wykryciu podczas topogramu obecności nieporządanych elementów metalowych (np. : pasków, biżuterii, łańcuszków, okularów, itd.) przed przystąpieniem do dalszej części badania spiralnego lub sekwencyjnego.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– 10 pkt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–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Możliwość wybrania i skonfigurowania protokołu badania (ustawienie wszystkich parametrów badania) bezpośrednio przy stole pacjenta, z panelu dotykowego na gantry lub z tabletu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– 10 pkt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–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Możliwość uruchomienia, w specyficznych przypadkach, badania z dowolnego miejsca spoza gantry tomografu i konsoli operatora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– 10 pkt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–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Akwizycja dwuenergetyczna umożliwiająca uzyskanie dwóch zestawów danych badanej objętości dla dwóch różnych energii promieniowania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Akwizycja dwuenergetyczna umożliwiająca uzyskanie dwóch zestawów danych obrazowych badanej objętości dla dwóch różnych energii promieniowania w trybie pojedynczego skanowania spiralnego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Akwizycja danych dla badań nisko- i wysoko-energetycznych uzyskana jedno-czasowo (symultanicznie).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472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Zakres skanu dla badań perfuzyjnych głowy z pojedynczego podania kontrastu ≥ 8 cm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528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bookmarkStart w:id="0" w:name="_Hlk79518977"/>
            <w:r w:rsidRPr="00D566FD">
              <w:rPr>
                <w:sz w:val="20"/>
                <w:szCs w:val="20"/>
              </w:rPr>
              <w:t xml:space="preserve">Automatyczna kwantyfikacja udaru niedokrwiennego mózgu z podaniem wyniku zgodnie ze skalą ASPECTS </w:t>
            </w:r>
            <w:bookmarkEnd w:id="0"/>
            <w:r w:rsidRPr="00D566FD">
              <w:rPr>
                <w:sz w:val="20"/>
                <w:szCs w:val="20"/>
              </w:rPr>
              <w:t>(Alberta Stroke Program Early CT Score)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- 20 pkt</w:t>
            </w:r>
          </w:p>
          <w:p w:rsidR="002A4242" w:rsidRPr="00D566FD" w:rsidRDefault="002A4242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528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Zakres skanu dla badań perfuzyjnych narządów miąższowych z pojedynczego podania kontrastu ≥ 8 cm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A4242" w:rsidRPr="00D566FD" w:rsidTr="005A09C3">
        <w:trPr>
          <w:gridAfter w:val="1"/>
          <w:wAfter w:w="8" w:type="dxa"/>
          <w:trHeight w:val="528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Maksymalny zakres wykonywania dynamicznych badań naczyniowych 4D-CTA przy pojedynczym podaniu kontrastu ≥ 30 cm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436E70">
        <w:trPr>
          <w:gridAfter w:val="1"/>
          <w:wAfter w:w="8" w:type="dxa"/>
          <w:trHeight w:val="528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9A0433" w:rsidRDefault="00F03CD8" w:rsidP="00F03CD8">
            <w:pPr>
              <w:snapToGrid w:val="0"/>
              <w:rPr>
                <w:sz w:val="20"/>
                <w:szCs w:val="20"/>
              </w:rPr>
            </w:pPr>
            <w:r w:rsidRPr="009A0433">
              <w:rPr>
                <w:sz w:val="20"/>
                <w:szCs w:val="20"/>
              </w:rPr>
              <w:t>System laserów do zabiegów biopsyjnych zintegrowany z gantry aparatu, połączony bezpośrednio z oprogramowaniem skanera TK w celu uzyskiwania wyższej precyzji badań.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8136CA">
              <w:rPr>
                <w:sz w:val="20"/>
                <w:szCs w:val="20"/>
              </w:rPr>
              <w:t>TAK/NIE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CD8" w:rsidRPr="00F03CD8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F03CD8">
              <w:rPr>
                <w:sz w:val="20"/>
                <w:szCs w:val="20"/>
              </w:rPr>
              <w:t xml:space="preserve">TAK - </w:t>
            </w:r>
            <w:r>
              <w:rPr>
                <w:sz w:val="20"/>
                <w:szCs w:val="20"/>
              </w:rPr>
              <w:t>5</w:t>
            </w:r>
            <w:r w:rsidRPr="00F03CD8">
              <w:rPr>
                <w:sz w:val="20"/>
                <w:szCs w:val="20"/>
              </w:rPr>
              <w:t>0 pkt</w:t>
            </w:r>
            <w:r w:rsidRPr="00F03CD8">
              <w:rPr>
                <w:sz w:val="20"/>
                <w:szCs w:val="20"/>
              </w:rPr>
              <w:br/>
              <w:t>NIE- 0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436E70">
        <w:trPr>
          <w:gridAfter w:val="1"/>
          <w:wAfter w:w="8" w:type="dxa"/>
          <w:trHeight w:val="528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9A0433" w:rsidRDefault="00F03CD8" w:rsidP="00F03CD8">
            <w:pPr>
              <w:snapToGrid w:val="0"/>
              <w:rPr>
                <w:sz w:val="20"/>
                <w:szCs w:val="20"/>
              </w:rPr>
            </w:pPr>
            <w:r w:rsidRPr="009A0433">
              <w:rPr>
                <w:sz w:val="20"/>
                <w:szCs w:val="20"/>
              </w:rPr>
              <w:t>Laserowa projekcja punktu wejścia igły oraz kąta wejścia podczas biopsji z dokładnością nie gorszą niż 5 mm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8136CA">
              <w:rPr>
                <w:sz w:val="20"/>
                <w:szCs w:val="20"/>
              </w:rPr>
              <w:t>TAK/NIE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CD8" w:rsidRPr="00F03CD8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F03CD8">
              <w:rPr>
                <w:sz w:val="20"/>
                <w:szCs w:val="20"/>
              </w:rPr>
              <w:t>TAK - 20 pkt</w:t>
            </w:r>
            <w:r w:rsidRPr="00F03CD8">
              <w:rPr>
                <w:sz w:val="20"/>
                <w:szCs w:val="20"/>
              </w:rPr>
              <w:br/>
              <w:t>NIE- 0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436E70">
        <w:trPr>
          <w:gridAfter w:val="1"/>
          <w:wAfter w:w="8" w:type="dxa"/>
          <w:trHeight w:val="528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9A0433" w:rsidRDefault="00F03CD8" w:rsidP="00F03CD8">
            <w:pPr>
              <w:snapToGrid w:val="0"/>
              <w:rPr>
                <w:sz w:val="20"/>
                <w:szCs w:val="20"/>
              </w:rPr>
            </w:pPr>
            <w:r w:rsidRPr="009A0433">
              <w:rPr>
                <w:sz w:val="20"/>
                <w:szCs w:val="20"/>
              </w:rPr>
              <w:t>Planowanie wielu ścieżek igły poprzez pomiar odległości i kąta od celu do punktu wejścia igły na jednym lub kilku przekrojach aksjalnych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8136CA">
              <w:rPr>
                <w:sz w:val="20"/>
                <w:szCs w:val="20"/>
              </w:rPr>
              <w:t>TAK/NIE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CD8" w:rsidRPr="00F03CD8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F03CD8">
              <w:rPr>
                <w:sz w:val="20"/>
                <w:szCs w:val="20"/>
              </w:rPr>
              <w:t>TAK - 10 pkt</w:t>
            </w:r>
            <w:r w:rsidRPr="00F03CD8">
              <w:rPr>
                <w:sz w:val="20"/>
                <w:szCs w:val="20"/>
              </w:rPr>
              <w:br/>
              <w:t>NIE- 0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436E70">
        <w:trPr>
          <w:gridAfter w:val="1"/>
          <w:wAfter w:w="8" w:type="dxa"/>
          <w:trHeight w:val="528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9A0433" w:rsidRDefault="00F03CD8" w:rsidP="00F03CD8">
            <w:pPr>
              <w:snapToGrid w:val="0"/>
              <w:rPr>
                <w:sz w:val="20"/>
                <w:szCs w:val="20"/>
              </w:rPr>
            </w:pPr>
            <w:r w:rsidRPr="009A0433">
              <w:rPr>
                <w:sz w:val="20"/>
                <w:szCs w:val="20"/>
              </w:rPr>
              <w:t>Fluoroskopowa nawigacja przy wykonywaniu biopsji, wyświetlająca obrazy z szybkością przynajmniej 10 obrazów/s na dodatkowym monitorze w pomieszczeniu badań oraz konsoli akwizycyjnej aparatu TK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8136CA">
              <w:rPr>
                <w:sz w:val="20"/>
                <w:szCs w:val="20"/>
              </w:rPr>
              <w:t>TAK/NIE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CD8" w:rsidRPr="00F03CD8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F03CD8">
              <w:rPr>
                <w:sz w:val="20"/>
                <w:szCs w:val="20"/>
              </w:rPr>
              <w:t>TAK - 10 pkt</w:t>
            </w:r>
            <w:r w:rsidRPr="00F03CD8">
              <w:rPr>
                <w:sz w:val="20"/>
                <w:szCs w:val="20"/>
              </w:rPr>
              <w:br/>
              <w:t>NIE- 0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436E70">
        <w:trPr>
          <w:gridAfter w:val="1"/>
          <w:wAfter w:w="8" w:type="dxa"/>
          <w:trHeight w:val="528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9A0433" w:rsidRDefault="00F03CD8" w:rsidP="00F03CD8">
            <w:pPr>
              <w:snapToGrid w:val="0"/>
              <w:rPr>
                <w:sz w:val="20"/>
                <w:szCs w:val="20"/>
              </w:rPr>
            </w:pPr>
            <w:r w:rsidRPr="009A0433">
              <w:rPr>
                <w:sz w:val="20"/>
                <w:szCs w:val="20"/>
              </w:rPr>
              <w:t>Ochrona lekarza podczas zabiegu biopsji - modulacja dawki w czasie rzeczywistym, w celu uniknięcia bezpośredniej ekspozycji rąk lekarza na promieniowanie rentgenowskie.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8136CA">
              <w:rPr>
                <w:sz w:val="20"/>
                <w:szCs w:val="20"/>
              </w:rPr>
              <w:t>TAK/NIE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3CD8" w:rsidRPr="00F03CD8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F03CD8">
              <w:rPr>
                <w:sz w:val="20"/>
                <w:szCs w:val="20"/>
              </w:rPr>
              <w:t>TAK - 20 pkt</w:t>
            </w:r>
            <w:r w:rsidRPr="00F03CD8">
              <w:rPr>
                <w:sz w:val="20"/>
                <w:szCs w:val="20"/>
              </w:rPr>
              <w:br/>
              <w:t>NIE- 0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trHeight w:val="454"/>
          <w:jc w:val="center"/>
        </w:trPr>
        <w:tc>
          <w:tcPr>
            <w:tcW w:w="129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b/>
                <w:bCs/>
                <w:sz w:val="20"/>
                <w:szCs w:val="20"/>
              </w:rPr>
              <w:t>V. KONSOLA OPERATORSKA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2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color w:val="000000"/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Stanowisko operatorskie – konsola akwizycyjna dwumonitorowa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5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Przekątna kolorowego monitora z aktywną matrycą ciekłokrystaliczną typu Flat ["]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≥ 21 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≥ 21 " – 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≥ 24 " – 10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596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Możliwość wykorzystania do podglądu rekonstrukcji badań przenośnego tabletu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596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Pojemność dysku twardego dla obrazów bez kompresji (512x512), wyrażona liczbą obrazów.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≥ 600 000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596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Bezpośrednia rekonstrukcja warstw MPR bez konieczności wstępnej rekonstrukcji cienkich warstw aksjalnych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596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Archiwizacja badań pacjentów na CD-R i DVD w standardzie DICOM 3.0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596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Dwukierunkowy interkom do komunikacji głosowej z pacjentem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596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Interfejs sieciowy zgodnie z DICOM 3.0 z następującymi klasami serwisowymi:                                                                 </w:t>
            </w:r>
          </w:p>
          <w:p w:rsidR="00F03CD8" w:rsidRPr="00D566FD" w:rsidRDefault="00F03CD8" w:rsidP="00F03CD8">
            <w:pPr>
              <w:rPr>
                <w:sz w:val="20"/>
                <w:szCs w:val="20"/>
                <w:lang w:val="en-US"/>
              </w:rPr>
            </w:pPr>
            <w:r w:rsidRPr="00D566FD">
              <w:rPr>
                <w:sz w:val="20"/>
                <w:szCs w:val="20"/>
                <w:lang w:val="en-US"/>
              </w:rPr>
              <w:t xml:space="preserve">- Send/Receive                                                                             </w:t>
            </w:r>
          </w:p>
          <w:p w:rsidR="00F03CD8" w:rsidRPr="00D566FD" w:rsidRDefault="00F03CD8" w:rsidP="00F03CD8">
            <w:pPr>
              <w:rPr>
                <w:sz w:val="20"/>
                <w:szCs w:val="20"/>
                <w:lang w:val="en-US"/>
              </w:rPr>
            </w:pPr>
            <w:r w:rsidRPr="00D566FD">
              <w:rPr>
                <w:sz w:val="20"/>
                <w:szCs w:val="20"/>
                <w:lang w:val="en-US"/>
              </w:rPr>
              <w:t xml:space="preserve">- Basic Print                                                                                  </w:t>
            </w:r>
          </w:p>
          <w:p w:rsidR="00F03CD8" w:rsidRPr="00D566FD" w:rsidRDefault="00F03CD8" w:rsidP="00F03CD8">
            <w:pPr>
              <w:rPr>
                <w:sz w:val="20"/>
                <w:szCs w:val="20"/>
                <w:lang w:val="en-US"/>
              </w:rPr>
            </w:pPr>
            <w:r w:rsidRPr="00D566FD">
              <w:rPr>
                <w:sz w:val="20"/>
                <w:szCs w:val="20"/>
                <w:lang w:val="en-US"/>
              </w:rPr>
              <w:t xml:space="preserve">- Query/ Retrieve </w:t>
            </w:r>
          </w:p>
          <w:p w:rsidR="00F03CD8" w:rsidRPr="00D566FD" w:rsidRDefault="00F03CD8" w:rsidP="00F03CD8">
            <w:pPr>
              <w:rPr>
                <w:sz w:val="20"/>
                <w:szCs w:val="20"/>
                <w:lang w:val="en-US"/>
              </w:rPr>
            </w:pPr>
            <w:r w:rsidRPr="00D566FD">
              <w:rPr>
                <w:sz w:val="20"/>
                <w:szCs w:val="20"/>
                <w:lang w:val="en-US"/>
              </w:rPr>
              <w:t xml:space="preserve">- Storage Commitment  </w:t>
            </w:r>
          </w:p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- Worklist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trHeight w:val="454"/>
          <w:jc w:val="center"/>
        </w:trPr>
        <w:tc>
          <w:tcPr>
            <w:tcW w:w="129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CD8" w:rsidRPr="00D566FD" w:rsidRDefault="00F03CD8" w:rsidP="00F03CD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566FD">
              <w:rPr>
                <w:b/>
                <w:bCs/>
                <w:sz w:val="20"/>
                <w:szCs w:val="20"/>
              </w:rPr>
              <w:t>VI. OPROGRAMOWANIE KONSOLI OPERATORSKIEJ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MIP (Maximum Intensity Projection)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VRT (Volume Rendering Techique)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Rekonstrukcje MPR (również skośne i krzywoliniowe z danych zbieranych przy dowolnym kącie gantry)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Prezentacje cine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Pomiary geometryczne (długości / kątów / powierzchni / objętości)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Pomiary analityczne (pomiar poziomu gęstości, profile gęstości, analiza skanu dynamicznego).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autoSpaceDE w:val="0"/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Obliczanie całkowitej dawki ekspozycyjnej (DLP lub CTDIvol), jaką uzyskał pacjent w trakcie badania i jej prezentacja na ekranie konsoli operatorskiej.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Wielozadaniowość / wielodostęp, w tym możliwość automatycznej rekonstrukcji, archiwizacji i dokumentacji w tle (w trakcie skanowania)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Oprogramowanie do synchronizacji startu badania spiralnego na podstawie automatycznej analizy napływu środka cieniującego w zadanej warstwie bez wykonywania wstrzyknięć testowych.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Automatyczna detekcja obszaru zainteresowania (ROI) wraz z obliczaniem wartości HU w badaniach z użyciem środka cieniującego.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–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–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Kompletny zestaw protokołów do badania wszystkich obszarów anatomicznych , z możliwością ich projektowania i zapamiętywania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Automatyczne, bez udziału operatora, ustawianie zakresu badania, dla danego pacjenta, na podstawie znaczników anatomicznych topogramu i wybranego protokołu badania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Automatyczne alarmowanie obsługi o możliwości przekroczenia dawki referencyjnej w danym badaniu (przed wykonaniem badania).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rPr>
                <w:color w:val="000000" w:themeColor="text1"/>
                <w:sz w:val="20"/>
                <w:szCs w:val="20"/>
              </w:rPr>
            </w:pPr>
            <w:r w:rsidRPr="00D566FD">
              <w:rPr>
                <w:color w:val="000000" w:themeColor="text1"/>
                <w:sz w:val="20"/>
                <w:szCs w:val="20"/>
              </w:rPr>
              <w:t>Akwizycja dwuenergetyczna/spektralna umożliwiająca uzyskanie dwóch zestawów danych obrazowych badanej anatomii dla dwóch różnych energii promieniowania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Automatyczne, bez udziału operatora, etykietowanie kręgów i ustawienie płaszczyzn rekonstrukcji kręgów w badaniach kręgosłupa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Automatyczne, bez udziału operatora, etykietowanie żeber z rozłożeniem ich na płaszczyźnie w badaniach klatki piersiowej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Oprogramowanie do zdalnego dostępu do konsoli operatorskiej, umożliwiające zdalne przejęcie konsoli operatorskiej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Identyczny wygląd interfejsu konsoli operatorskiej oraz stacji lekarskich, oprogramowanie od jednego producenta.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UPS umożliwiający podtrzymanie pracy konsoli operatorskiej na czas prawidłowego jej zamknięcia w przypadku utraty zasilania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9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/>
                <w:bCs/>
                <w:sz w:val="20"/>
                <w:szCs w:val="20"/>
              </w:rPr>
            </w:pPr>
          </w:p>
          <w:p w:rsidR="00F03CD8" w:rsidRPr="00D566FD" w:rsidRDefault="00F03CD8" w:rsidP="00F03CD8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Sterowanie wstrzykiwaczem kontrastu bezpośrednio z konsoli tomografu komputerowego. Możliwość programowania i zapamiętywania parametrów wstrzykiwacza bezpośrednio w protokole badania na konsoli operatorskiej.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trHeight w:val="611"/>
          <w:jc w:val="center"/>
        </w:trPr>
        <w:tc>
          <w:tcPr>
            <w:tcW w:w="129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b/>
                <w:sz w:val="20"/>
                <w:szCs w:val="20"/>
              </w:rPr>
            </w:pPr>
            <w:r w:rsidRPr="00D566FD">
              <w:rPr>
                <w:b/>
                <w:sz w:val="20"/>
                <w:szCs w:val="20"/>
              </w:rPr>
              <w:t xml:space="preserve">VII. </w:t>
            </w:r>
            <w:r w:rsidRPr="00D566FD">
              <w:rPr>
                <w:b/>
                <w:bCs/>
                <w:sz w:val="20"/>
                <w:szCs w:val="20"/>
              </w:rPr>
              <w:t>SYSTEM STANOWISK DIAGNOSTYCZNYCH (min. 4 komplety)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Stanowiska diagnostyczne działające w oparciu o technologię klient serwer.</w:t>
            </w:r>
          </w:p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Dostosowanie i aktualizacja posiadanego przez Zamawiającego rozwiązania serwerowego SyngoVia do funkcjonalności umożliwiających współpracę z oferowanym tomografem komputerowym. </w:t>
            </w:r>
          </w:p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Możliwość instalacji oprogramowania na dowolnej stacji diagnostycznej, posiadanej przez Zamawiającego wyposażonej w system operacyjny Windows 10.</w:t>
            </w:r>
          </w:p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Opracowywanie uzyskanych badań na stanowisku diagnostycznym możliwe po wyłączeniu tomografu i konsoli operatorskiej.</w:t>
            </w:r>
          </w:p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Komputery stanowisk lekarskich i serwer w konfiguracji sprzętowej zgodne z wymogami producenta oprogramowania, zapewniającej płynną pracę i obróbkę, przetwarzanie oraz ocenę badań.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Każde stanowisko diagnostyczne wyposażone w dwa monitory diagnostyczne o min. przekątnej 21” i rozdzielczości min, 2MP lub jeden monitor o min. przekątnej 30” i rozdzielczości min. 4MP, </w:t>
            </w:r>
          </w:p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Każde stanowisko diagnostyczne wyposażone w monitor opisowy o min. przekątnej 21” i rozdzielczości min. 2MP.</w:t>
            </w:r>
          </w:p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Min 1 stacja umożliwiająca ocenę badań radiologii klasycznej oraz minimum 2 stacje opisowe w standardzie kolorowych stacji opisowych tomografii komputerowej.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TAK, podać ilość i typ monitorów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Wsparcie techniczne w zakresie serwera aplikacyjnego obejmujące aktualizacje oprogramowania diagnostycznego (update/hotfix), modernizacje oprogramowania diagnostycznego (coroczne upgrady do najnowszej i aktualnej wersji oprogramowania).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Interfejs sieciowy zgodnie z DICOM 3.0 z następującymi klasami serwisowymi: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ind w:left="63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Send/Receive,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ind w:left="63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Basic Print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ind w:left="63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Retrieve</w:t>
            </w:r>
          </w:p>
          <w:p w:rsidR="00F03CD8" w:rsidRPr="00D566FD" w:rsidRDefault="00F03CD8" w:rsidP="00F03CD8">
            <w:pPr>
              <w:suppressAutoHyphens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Dodawanie i edycja  węzłów DICOM w oprogramowaniu nie wymaga dodatkowych licencji.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Zasilacz UPS do każdej ze stacji o parametrach zapewniających zakończenie pracy (min. 30 minut)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Automatyczny import badań poprzednich z archiwum PACS. Możliwość zdefiniowania ilości badań poprzednich oraz okresu czasu z jakiego mają być automatycznie zaimportowane. </w:t>
            </w:r>
          </w:p>
          <w:p w:rsidR="00F03CD8" w:rsidRPr="00D566FD" w:rsidRDefault="00F03CD8" w:rsidP="00F03CD8">
            <w:pPr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Import uruchamiany automatycznie z chwilą otrzymania badania bieżącego lub na podstawie listy roboczej tomografu.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Przeglądanie i wyświetlanie w jakości diagnostycznej badań wielu modalności min. CT, MR, NM, PT, XA, XR itp.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MIP (Maximum Intensity Projection)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SSD (Surface Shaded Display)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VR (Volume Rendering)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Reformatowanie wielopłaszczyznowe (MPR), rekonstrukcje wzdłuż dowolnej prostej (równoległe lub promieniste) lub krzywej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Zaawansowana rejestracja i rozpoznawanie anatomii w oparciu o algorytmy sztucznej inteligencji pozwalająca na: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ind w:left="63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automatyczne rekonstrukcje MPR/widoki zorientowane anatomicznie dla chirurgów/ortopedów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ind w:left="63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automatyczne generowanie rekonstrukcji wzdłuż linii kręgosłupa</w:t>
            </w:r>
          </w:p>
          <w:p w:rsidR="00F03CD8" w:rsidRPr="00D566FD" w:rsidRDefault="00F03CD8" w:rsidP="00F03CD8">
            <w:pPr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wstępny zakres (rozmiar, ilość warstw) oraz orientacja rekonstrukcji jest ustawiona automatycznie, zależnie od anatomii.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Oprogramowanie do manipulacji obrazem (przedstawienie w negatywie, obrót obrazu i odbicia lustrzane, powiększenie obrazu, dodawanie obrazów)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Oprogramowanie do wirtualnej endoskopii umożliwiające endoskopię dróg powietrznych itp., z przekrojami w trzech głównych płaszczyznach (wraz z interaktywną synchronizacją </w:t>
            </w:r>
          </w:p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1 użytkownika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Oprogramowanie do wirtualnej kolonografii, umożliwiające: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automatyczną segmentację jelita grubego,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jednoczesną prezentację wnętrza jelita i projekcję przekrojów w trzech głównych płaszczyznach.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jednoczesną prezentację badania kolonografii w dwóch pozycjach (na brzuchu i na plecach) z synchronizacją przestrzenną.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 xml:space="preserve">pomiary polipów w widoku wewnątrzjelitowym 3D, 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 xml:space="preserve">automatyczne zaznaczanie kolorem resztek kałowych tzw. stool tagging, 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 xml:space="preserve">ukrywanie jelita cienkiego, 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wyświetlanie odległości od odbytnicy</w:t>
            </w:r>
          </w:p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1 użytkownika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Możliwość rozwinięcia ściany jelita na płaszczyźnie w postaci jednej wstęgi.</w:t>
            </w:r>
          </w:p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Automatyczna detekcja polipów</w:t>
            </w:r>
          </w:p>
          <w:p w:rsidR="00F03CD8" w:rsidRPr="00D566FD" w:rsidRDefault="00F03CD8" w:rsidP="00F03CD8">
            <w:pPr>
              <w:snapToGrid w:val="0"/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1 użytkownika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Automatyczne usuwanie struktur kostnych z pozostawieniem wyłącznie zakontrastowanego drzewa naczyniowego. Możliwość prezentacji układu naczyniowego oraz przeziernych struktur kostnych w czasie rzeczywistym.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Oprogramowanie do angiografii CT umożliwiające: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 xml:space="preserve">automatyczną identyfikację i izolację zakontrastowanego naczynia z objętości badanej, 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 xml:space="preserve">rozwinięcie wzdłuż linii centralnej naczynia, 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lastRenderedPageBreak/>
              <w:t xml:space="preserve">pomiar średnicy, pola przekroju w płaszczyźnie prostopadłej do osi naczynia, 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 xml:space="preserve">automatyczne wyznaczanie stenozy, 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  <w:lang w:eastAsia="pl-PL"/>
              </w:rPr>
              <w:t>automatyczna</w:t>
            </w:r>
            <w:r w:rsidRPr="00D566FD">
              <w:rPr>
                <w:sz w:val="20"/>
                <w:szCs w:val="20"/>
              </w:rPr>
              <w:t xml:space="preserve"> segmentację i automatyczne pomiary</w:t>
            </w:r>
          </w:p>
          <w:p w:rsidR="00F03CD8" w:rsidRPr="00D566FD" w:rsidRDefault="00F03CD8" w:rsidP="00F03CD8">
            <w:pPr>
              <w:snapToGrid w:val="0"/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2 użytkowników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Wsparcie w badaniach CT w procesie planowania stentu, polegające na generowaniu raportów zawierających pomiary oraz zdjęcia, pozwalających  na zamawianie dedykowanych stentów naczyniowych</w:t>
            </w:r>
          </w:p>
          <w:p w:rsidR="00F03CD8" w:rsidRPr="00D566FD" w:rsidRDefault="00F03CD8" w:rsidP="00F03CD8">
            <w:pPr>
              <w:snapToGrid w:val="0"/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2 użytkowników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Oprogramowanie umożliwiające wyświetlanie obrazów monoenergetycznych o ściśle określonej energii  pochodzących z akwizycji dwuenergetycznej CT, w tym z 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</w:rPr>
              <w:t xml:space="preserve">wizualizacją </w:t>
            </w:r>
            <w:r w:rsidRPr="00D566FD">
              <w:rPr>
                <w:sz w:val="20"/>
                <w:szCs w:val="20"/>
                <w:lang w:eastAsia="pl-PL"/>
              </w:rPr>
              <w:t xml:space="preserve">obrazu optymalnego kontrastu, 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  <w:lang w:eastAsia="pl-PL"/>
              </w:rPr>
              <w:t>możliwością red</w:t>
            </w:r>
            <w:r w:rsidRPr="00D566FD">
              <w:rPr>
                <w:sz w:val="20"/>
                <w:szCs w:val="20"/>
              </w:rPr>
              <w:t>ukcji artefaktów od metalowych przedmiotów.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Oprogramowanie do oceny perfuzji mózgu umożliwiające ocenę ilościową i jakościową (mapy barwne) co najmniej następujących parametrów: 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rBF (miejscowy przepływ krwi), 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rBV (miejscowa objętość krwi) 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TTP (czas do szczytu krzywej wzmocnienia) 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MTT (średni czas przejścia) 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PS (ocena bariery przepuszczalności błon komórkowych)</w:t>
            </w:r>
          </w:p>
          <w:p w:rsidR="00F03CD8" w:rsidRPr="00D566FD" w:rsidRDefault="00F03CD8" w:rsidP="00F03CD8">
            <w:pPr>
              <w:snapToGrid w:val="0"/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1 użytkownika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Funkcjonalność szybkiego i powtarzalnego automatycznego generowania map perfuzyjnych bez koniczności ręcznego otwierania badania na stacji lekarskiej oraz ich archiwizowania na potrzeby szybkiej oceny badań SOR (m.in. udarów). </w:t>
            </w:r>
          </w:p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Możliwość natychmiastowego wysłania wygenerowanych map do aparatu zabiegowego. </w:t>
            </w:r>
          </w:p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Możliwość tworzenia własnego szablonu opracowywania badań perfuzyjnych (makro).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Aplikacja do oceny udarów niedokrwiennych w badaniach badań CT, realizująca: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automatyczna ocena badań CT bez kontrastu (natywnych) wraz z określeniem parametru umożliwiającego oszacowanie rozległości i zaawansowania strefy niedokrwienia,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automatyczne generowanie pomiarów/map bez konieczności ręcznego otwierania badania na stacji lekarskiej automatyczne wysyłanie pomiarów/map do systemu PACS</w:t>
            </w:r>
          </w:p>
          <w:p w:rsidR="00F03CD8" w:rsidRPr="00D566FD" w:rsidRDefault="00F03CD8" w:rsidP="00F03CD8">
            <w:pPr>
              <w:snapToGrid w:val="0"/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1 użytkownika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Oprogramowanie do automatycznej lub ręcznej segmentacji 3D i oceny krwiaków w mózgu z serii bez kontrastu wraz z automatycznym obliczaniem objętości krwiaka oraz jego krótkiej i długiej osi</w:t>
            </w:r>
          </w:p>
          <w:p w:rsidR="00F03CD8" w:rsidRPr="00D566FD" w:rsidRDefault="00F03CD8" w:rsidP="00F03CD8">
            <w:pPr>
              <w:snapToGrid w:val="0"/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lastRenderedPageBreak/>
              <w:t>-  jednoczesny dostęp dla min. 1 użytkownika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lastRenderedPageBreak/>
              <w:t xml:space="preserve">TAK, 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podać rodzaj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Oprogramowanie do segmentacji 3D i oceny tętniaków w mózgu z serii z kontrastem wraz z automatycznym lub ręcznymi pomiarami min.: objętości tętniaka, minimalnej i maksymalnej długości tętniaka oraz maksymalnej i minimalnej średnicy szyjki tętniaka</w:t>
            </w:r>
          </w:p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1 użytkownika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TAK, 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podać rodzaj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Funkcjonalność automatycznego generowania rekonstrukcji z badań dwuenergetycznych, np. map barwnych, serii o wybranej energii, na potrzeby łatwej oceny badań dwuenergetycznych z dowolnego stanowiska (np. przeglądarki PACS), nie wymagające uruchamiania dedykowanej aplikacji dwuenergetycznej.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- 5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Automatyczne porównywanie badań CT w 3D, z kolorowym zaznaczeniem zmian pomiędzy badaniami realizujące: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automatyczne zarejestrowanie/załadowanie/wyświetlenie badania bieżącego i poprzedniego bez konieczności ręcznej interakcji przez użytkownika,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automatyczne zaznaczenie w kolorze (np. pomarańczowy kolor zwiększenie gęstości HU, niebieski zmniejszenie HU) wszelkich zmian w budowie płuc pomiędzy dwoma badaniami CT.</w:t>
            </w:r>
          </w:p>
          <w:p w:rsidR="00F03CD8" w:rsidRPr="00D566FD" w:rsidRDefault="00F03CD8" w:rsidP="00F03CD8">
            <w:pPr>
              <w:snapToGrid w:val="0"/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2 użytkowników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- 5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Automatyczne oznaczanie kręgów kręgosłupa w badaniach CT.</w:t>
            </w:r>
          </w:p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Automatyczne oznaczanie żeber w badaniach CT.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Oprogramowanie do efektywnej oceny badań onkologicznych z możliwością segmentacji zmiany, możliwością porównywania wielu badań tego samego pacjenta jednocześnie, wraz z synchronizacją przestrzenną</w:t>
            </w:r>
          </w:p>
          <w:p w:rsidR="00F03CD8" w:rsidRPr="00D566FD" w:rsidRDefault="00F03CD8" w:rsidP="00F03CD8">
            <w:pPr>
              <w:snapToGrid w:val="0"/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2 użytkowników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Oprogramowanie do automatycznej segmentacji  i prezentacji w 3D zmian w narządach miąższowych,  w tym w wątrobie oraz węzłach chłonnych wraz z automatycznym pomiarem zmiany zgodnie z RECIST 1.1, WHO i jej objętości</w:t>
            </w:r>
          </w:p>
          <w:p w:rsidR="00F03CD8" w:rsidRPr="00D566FD" w:rsidRDefault="00F03CD8" w:rsidP="00F03CD8">
            <w:pPr>
              <w:snapToGrid w:val="0"/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2 użytkowników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9A0433" w:rsidP="00F03C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03CD8" w:rsidRPr="00D566FD">
              <w:rPr>
                <w:sz w:val="20"/>
                <w:szCs w:val="20"/>
              </w:rPr>
              <w:t>programowanie do efektywnej oceny zmian ogniskowych w płucach z automatyczną identyfikacją zmian guzkowych w miąższu i przyopłucnowych przez program komputerowy, z możliwością zapamiętywania zmian, automatyczna ocena dynamiki wielkości zmian</w:t>
            </w:r>
          </w:p>
          <w:p w:rsidR="00F03CD8" w:rsidRPr="00D566FD" w:rsidRDefault="00F03CD8" w:rsidP="00F03CD8">
            <w:pPr>
              <w:snapToGrid w:val="0"/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2 użytkowników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Dedykowane (odrębne) algorytmy do segmentacji zmian w płucach, wątrobie oraz węzłach chłonnych</w:t>
            </w:r>
          </w:p>
          <w:p w:rsidR="00F03CD8" w:rsidRPr="00D566FD" w:rsidRDefault="00F03CD8" w:rsidP="00F03CD8">
            <w:pPr>
              <w:snapToGrid w:val="0"/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2 użytkowników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Oprogramowanie do pogłębionej analizy zmian hipo/hiperdensyjnych w narządach miąższowych w oparciu o zadane poziomy gęstości HU wraz z wyznaczeniem objętości obszaru hipo/hiperdensyjnego i jego udziału procentowego do całej zmiany</w:t>
            </w:r>
          </w:p>
          <w:p w:rsidR="00F03CD8" w:rsidRPr="00D566FD" w:rsidRDefault="00F03CD8" w:rsidP="00F03CD8">
            <w:pPr>
              <w:snapToGrid w:val="0"/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2 użytkowników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Oprogramowanie do automatycznej detekcji i oceny guzków płuc wraz z oceną trendów wzrostu (typu CAD)</w:t>
            </w:r>
          </w:p>
          <w:p w:rsidR="00F03CD8" w:rsidRPr="00D566FD" w:rsidRDefault="00F03CD8" w:rsidP="00F03CD8">
            <w:pPr>
              <w:snapToGrid w:val="0"/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1 użytkownika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Automatyczne przetwarzanie w tle (bez ingerencji użytkownika) przez serwer aplikacyjny niskodawkowych badań CT klatki piersiowej, na potrzeby obsługi programów przesiewowych.</w:t>
            </w:r>
          </w:p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Oprogramowanie serwera aplikacyjnego typu Second Reader, w sposób automatyczny, bez konieczności ręcznego otwierania badań, przetwarza w tle badania CT, dokonuje wyszukań zmian w płucach typu Lung CAD, zapisuje je w seriach wynikowych DICOM w archiwum PACS. </w:t>
            </w:r>
          </w:p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Serie wynikowe zapisane w PACS zawierają znaczniki Lung CAD wraz z towarzyszącymi warstwami.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Oprogramowanie do oceny perfuzji wielonarządowej umożliwiające ocenę ilościową i jakościową (mapy barwne)co najmniej następujących parametrów: rBF (miejscowy przepływ krwi), rBV (miejscowa objętość krwi)</w:t>
            </w:r>
          </w:p>
          <w:p w:rsidR="00F03CD8" w:rsidRPr="00D566FD" w:rsidRDefault="00F03CD8" w:rsidP="00F03CD8">
            <w:pPr>
              <w:snapToGrid w:val="0"/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1 użytkownika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Specjalistyczne oprogramowanie do diagnostyki chorób płuc /POCHP i rozedmy miąższowej/ umożliwiające obliczenie rozedmy i analizę dróg oddechowych.</w:t>
            </w:r>
          </w:p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Ocena drzewa oskrzelowego w przypadku pacjentów z ciężką niewydolnością oddechową, ciężkimi zaburzeniami rytmu serca z synchronizacją położenia kursora.</w:t>
            </w:r>
          </w:p>
          <w:p w:rsidR="00F03CD8" w:rsidRPr="00D566FD" w:rsidRDefault="00F03CD8" w:rsidP="00F03CD8">
            <w:pPr>
              <w:snapToGrid w:val="0"/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1 użytkownika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Aplikacja do oceny badań płuc CT realizująca: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 xml:space="preserve">bezpośredni dostęp do podobnych przypadków referencyjnych, z uwzględnieniem na śródmiąższowych chorób płuc (ILD), w tym najnowszych przypadków Covid-19. </w:t>
            </w:r>
            <w:r w:rsidRPr="00D566FD">
              <w:rPr>
                <w:sz w:val="20"/>
                <w:szCs w:val="20"/>
                <w:lang w:eastAsia="pl-PL"/>
              </w:rPr>
              <w:br/>
              <w:t>Wsparcie diagnostyczne z użyciem technologii AI.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zaznaczanie ROI danego obszaru zwraca najbardziej zbliżone opisy wraz z obrazami referencyjnymi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funkcjonalność oparta o bazę danych przypadków od Thieme eRef.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baza danych objęta ciągłą aktualizacją</w:t>
            </w:r>
          </w:p>
          <w:p w:rsidR="00F03CD8" w:rsidRPr="00D566FD" w:rsidRDefault="00F03CD8" w:rsidP="00F03CD8">
            <w:pPr>
              <w:snapToGrid w:val="0"/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2 użytkowników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Dedykowane </w:t>
            </w:r>
            <w:bookmarkStart w:id="1" w:name="_Hlk58421965"/>
            <w:r w:rsidRPr="00D566FD">
              <w:rPr>
                <w:sz w:val="20"/>
                <w:szCs w:val="20"/>
              </w:rPr>
              <w:t>oprogramowanie do oceny badań zapalenia płuc oraz przypadków COVID-19</w:t>
            </w:r>
            <w:bookmarkEnd w:id="1"/>
            <w:r w:rsidRPr="00D566FD">
              <w:rPr>
                <w:sz w:val="20"/>
                <w:szCs w:val="20"/>
              </w:rPr>
              <w:t>.</w:t>
            </w:r>
          </w:p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lastRenderedPageBreak/>
              <w:t>Wyliczanie i przedstawienie w postaci tabelarycznej następujących parametrów: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31"/>
              </w:numPr>
              <w:snapToGrid w:val="0"/>
              <w:ind w:hanging="231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indeksu nieprzejrzystości (opacities): łącznego, dla lewego i prawego płuca, oraz poszczególnych płatów,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31"/>
              </w:numPr>
              <w:snapToGrid w:val="0"/>
              <w:ind w:hanging="231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objętości: łącznej, dla lewego i prawego płuca, oraz poszczególnych płatów,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31"/>
              </w:numPr>
              <w:snapToGrid w:val="0"/>
              <w:ind w:hanging="231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objętości nieprzejrzystości (opacities): łącznej, dla lewego i prawego płuca, oraz poszczególnych płatów,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31"/>
              </w:numPr>
              <w:snapToGrid w:val="0"/>
              <w:ind w:hanging="231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udziału procentowego nieprzejrzystości (opacities): łącznego, dla lewego i prawego płuca, oraz poszczególnych płatów,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31"/>
              </w:numPr>
              <w:snapToGrid w:val="0"/>
              <w:ind w:hanging="231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średniego i standardowego odchylenia wartości HU pomiędzy wartością HU dla miąższu płuc a wykrytymi nieprzejrzystośćiami (opacities).</w:t>
            </w:r>
          </w:p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Wizualizacja obszaru nieprzejrzystości (opacities) w widoku osiowym 2D oraz w widoku 3D VRT na tle widoku płuc.</w:t>
            </w:r>
          </w:p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Eksport wyników w pliku DICOM.</w:t>
            </w:r>
          </w:p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1 użytkownika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Rozszerzone funkcjonalności aplikacji do oceny badań zapalenia płuc oraz przypadków COVID-19: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automatyczne wyliczanie parametrów, bez konieczności otwarcia badania przez użytkownika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zakresy wartości gęstości HU wyznaczane automatycznie, bez konieczności ręcznego określania ich przez radiologa.</w:t>
            </w:r>
            <w:r w:rsidRPr="00D566FD">
              <w:rPr>
                <w:sz w:val="20"/>
                <w:szCs w:val="20"/>
              </w:rPr>
              <w:t xml:space="preserve"> </w:t>
            </w:r>
          </w:p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1 użytkownika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Oprogramowanie umożliwiające analizę naczyń płuc z możliwością szybkiej oceny perfuzji płuc z wykorzystaniem danych uzyskanych w akwizycji dwuenergetycznej, realizujące: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wyświetlanie w różnych kolorach naczyń zasilających obszary z poprawną perfuzją i ograniczoną perfuzją, np. kolor czerwony: niska ilość kontrastu, niebeski: wysoka ilość kontrastu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 xml:space="preserve">wyświetlanie stężenia środka kontrastującego w miąższu płuc w postaci kolorowej maski (nakładki) 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ocena ilościowa z określeniem w mg/ml stężenia środka kontrastującego w zaznaczonym obszarze ROI</w:t>
            </w:r>
          </w:p>
          <w:p w:rsidR="00F03CD8" w:rsidRPr="00D566FD" w:rsidRDefault="00F03CD8" w:rsidP="00F03CD8">
            <w:pPr>
              <w:snapToGrid w:val="0"/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1 użytkownika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Oprogramowanie do oceny badań organów miąższowych (m.in. wątroby) wykonanych metodą dwuenergetyczną, umożliwiające: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 xml:space="preserve">wyznaczenie koncentracji środka kontrastowego w postaci kolorowych map, w tkankach oraz zmianach, 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 xml:space="preserve">możliwość płynnej zmiany wyświetlania pomiędzy kolorowym obrazem środka </w:t>
            </w:r>
            <w:r w:rsidRPr="00D566FD">
              <w:rPr>
                <w:sz w:val="20"/>
                <w:szCs w:val="20"/>
                <w:lang w:eastAsia="pl-PL"/>
              </w:rPr>
              <w:lastRenderedPageBreak/>
              <w:t xml:space="preserve">kontrastującego oraz bez środka kontrastującego 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  <w:lang w:eastAsia="pl-PL"/>
              </w:rPr>
              <w:t>mapy stężenia</w:t>
            </w:r>
            <w:r w:rsidRPr="00D566FD">
              <w:rPr>
                <w:sz w:val="20"/>
                <w:szCs w:val="20"/>
              </w:rPr>
              <w:t xml:space="preserve"> tłuszczu w wątrobie</w:t>
            </w:r>
          </w:p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1 użytkownika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Aplikacja dla szybkiej i dokładnej oceny badań SOR, w tym politraumy, obejmująca w obrębie jednej dedykowanej aplikacji klinicznej) następujące etapy oceny: 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 xml:space="preserve">ocena kostna z możliwością obracania żeber, rozwinięciem struktury kostnej klatki piersiowej na płaszczyźnie, 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ocena kręgosłupa z automatycznym wyznaczaniem linii rdzenia kręgowego, przeglądaniem w płaszczyznach prostopadłych do osi kręgosłupa</w:t>
            </w:r>
          </w:p>
          <w:p w:rsidR="00F03CD8" w:rsidRPr="00D566FD" w:rsidRDefault="00F03CD8" w:rsidP="00F03CD8">
            <w:pPr>
              <w:pStyle w:val="Akapitzlist"/>
              <w:numPr>
                <w:ilvl w:val="0"/>
                <w:numId w:val="29"/>
              </w:numPr>
              <w:suppressAutoHyphens w:val="0"/>
              <w:snapToGrid w:val="0"/>
              <w:ind w:left="630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 xml:space="preserve">automatyczne oznakowanie kręgów kręgosłupa i żeber </w:t>
            </w:r>
          </w:p>
          <w:p w:rsidR="00F03CD8" w:rsidRPr="00D566FD" w:rsidRDefault="00F03CD8" w:rsidP="00F03CD8">
            <w:pPr>
              <w:snapToGrid w:val="0"/>
              <w:ind w:left="133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-  jednoczesny dostęp dla min. 1 użytkownika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611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Alternatywna w stosunku do innych technik wymaganych zapisami SIWZ technika renderingu 3D umożliwiająca fotorealistyczną prezentację ludzkiej anatomii działająca w czasie rzeczywistym (bez znacznych spowolnień) i zawierająca szereg zoptymalizowanych pod kątem danej anatomii presetów obrazowania oraz konfigurowalnych pod kątem danego użytkownika widoków wyświetlania.</w:t>
            </w:r>
          </w:p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bookmarkStart w:id="2" w:name="_Hlk109041311"/>
            <w:r w:rsidRPr="00D566FD">
              <w:rPr>
                <w:sz w:val="20"/>
                <w:szCs w:val="20"/>
              </w:rPr>
              <w:t xml:space="preserve">Oprogramowanie umożliwiające tworzenie i udostępnianie obrazów. </w:t>
            </w:r>
            <w:bookmarkEnd w:id="2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 - 10 pkt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- 0 pkt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cantSplit/>
          <w:trHeight w:val="371"/>
          <w:jc w:val="center"/>
        </w:trPr>
        <w:tc>
          <w:tcPr>
            <w:tcW w:w="1294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CD8" w:rsidRPr="00D566FD" w:rsidRDefault="00F03CD8" w:rsidP="00F03CD8">
            <w:pPr>
              <w:snapToGrid w:val="0"/>
              <w:rPr>
                <w:b/>
                <w:sz w:val="20"/>
                <w:szCs w:val="20"/>
              </w:rPr>
            </w:pPr>
            <w:r w:rsidRPr="00D566FD">
              <w:rPr>
                <w:b/>
                <w:sz w:val="20"/>
                <w:szCs w:val="20"/>
              </w:rPr>
              <w:t>VIII. POZOSTAŁE WYMAGANIA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03CD8" w:rsidRPr="00D566FD" w:rsidTr="005A09C3">
        <w:trPr>
          <w:cantSplit/>
          <w:trHeight w:val="244"/>
          <w:jc w:val="center"/>
        </w:trPr>
        <w:tc>
          <w:tcPr>
            <w:tcW w:w="12942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290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pStyle w:val="Nagwek1"/>
              <w:suppressAutoHyphens w:val="0"/>
              <w:snapToGrid w:val="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566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Integracja aparatu z systemem informatycznym RIS/PACS Zamawiającego (Softmed Orion/Agfa Impax) w zakresie obsługi list roboczych. Integracja i konfiguracja dostarczanego urządzenia z posiadanym systemem RIS/PACS na koszt Wykonawcy.</w:t>
            </w:r>
          </w:p>
          <w:p w:rsidR="00F03CD8" w:rsidRPr="00D566FD" w:rsidRDefault="00F03CD8" w:rsidP="00F03C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Archiwizacja danych obrazowych w systemie PACS Zamawiającego (Impax Agfa). Integracja i konfiguracja dostarczanego urządzenia z posiadanym systemem PACS na koszt Wykonawcy.</w:t>
            </w:r>
          </w:p>
          <w:p w:rsidR="00F03CD8" w:rsidRPr="00D566FD" w:rsidRDefault="00F03CD8" w:rsidP="00F03C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Konfiguracja systemów RIS (Softmed Orion) oraz PACS (Agfa Impax) może być wykonana wyłącznie przez  serwis tych systemów. Koszty związane z integracją w cenie oferty. Integracja aparatu z systemem RIS (Orion Softmed) i PACS  (Impax Agfa) Zamawiającego </w:t>
            </w:r>
            <w:r w:rsidRPr="00D566FD">
              <w:rPr>
                <w:kern w:val="2"/>
                <w:sz w:val="20"/>
                <w:szCs w:val="20"/>
              </w:rPr>
              <w:t>na podstawie licencji pozyskanych przez Zamawiającego.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dotyczy</w:t>
            </w:r>
          </w:p>
        </w:tc>
      </w:tr>
      <w:tr w:rsidR="00F03CD8" w:rsidRPr="00D566FD" w:rsidTr="005A09C3">
        <w:trPr>
          <w:gridAfter w:val="1"/>
          <w:wAfter w:w="8" w:type="dxa"/>
          <w:trHeight w:val="290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rFonts w:eastAsia="Calibri"/>
                <w:sz w:val="20"/>
                <w:szCs w:val="20"/>
                <w:lang w:eastAsia="pl-PL"/>
              </w:rPr>
              <w:t xml:space="preserve">Duplikator płyt CD/DVD/Blue-Ray wersja z drukarka atramentową generujący trwałe podpisy na płytach. System min. dwunapędowy wraz z oprogramowaniem z możliwością nagrania płyt z dowolnie wybraną przeglądarką DICOM. Możliwość wymiany przeglądarki DICOM dołączanej do nagranej płyty. Wyposażony we wszystkie elementy oraz oprogramowaniem umożliwiające </w:t>
            </w:r>
            <w:r w:rsidRPr="00D566FD">
              <w:rPr>
                <w:iCs/>
                <w:sz w:val="20"/>
                <w:szCs w:val="20"/>
              </w:rPr>
              <w:t>podłączenie z systemami RIS/PACS w tym z istniejącym w SU Kraków systemem AGFA IMPAX, Praca w standardzie BluRay, Zasobnik płyt o pojemności min. 2x50 płyt.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290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Zestaw firmowych fantomów serwisowych do kalibracji i testów podstawowych spełniających aktualne wymogi prawne.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290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Rolki do przesuwania pacjenta</w:t>
            </w:r>
            <w:r w:rsidR="00196E15">
              <w:rPr>
                <w:sz w:val="20"/>
                <w:szCs w:val="20"/>
              </w:rPr>
              <w:t xml:space="preserve"> </w:t>
            </w:r>
            <w:r w:rsidR="00196E15" w:rsidRPr="0087591A">
              <w:rPr>
                <w:b/>
                <w:color w:val="0070C0"/>
                <w:sz w:val="20"/>
                <w:szCs w:val="20"/>
              </w:rPr>
              <w:t>lub deska do przesuwania pacjenta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290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snapToGrid w:val="0"/>
              <w:jc w:val="both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Zestaw środkow ochrony osobistej przed promieniowaniem. Koc radiologiczny min 0,5mmPb o wymiarach min 120x80 cm – 2 sztuki. </w:t>
            </w:r>
            <w:r w:rsidRPr="00D566FD">
              <w:rPr>
                <w:sz w:val="20"/>
                <w:szCs w:val="20"/>
                <w:lang w:eastAsia="pl-PL"/>
              </w:rPr>
              <w:t>garsonka M (kamizelka 0,5mmPb, spódnica 0,25 mmPb) – min. 4 komplety, garsonka XL (kamizelka 0,5mmPb, spódnica 0,25 mmPb) – min. 4 komplety, fartuch dwustronny XXL (0,5mmPb przód, 0,25mmPb tył) – 2 sztuki, osłony tarczycy min 4 sztuki, osłona miednicy na rzep 0,5 mmPb min 45x50cm – 2 szt, osłona miednicy na pałąku 0,5 mmPb min 45x50cm – 2 szt.  okulary ochronne min 2 sztuki, przyłbice min 4 szt.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dotyczy</w:t>
            </w:r>
          </w:p>
        </w:tc>
      </w:tr>
      <w:tr w:rsidR="00F03CD8" w:rsidRPr="00D566FD" w:rsidTr="005A09C3">
        <w:trPr>
          <w:gridAfter w:val="1"/>
          <w:wAfter w:w="8" w:type="dxa"/>
          <w:trHeight w:val="290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both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Automatyczny wstrzykiwacz kontrastu do tomografii komputerowej zawieszony sufitowo lub na ramieniu aparatu (nie na wózku). </w:t>
            </w:r>
          </w:p>
          <w:p w:rsidR="00F03CD8" w:rsidRPr="00D566FD" w:rsidRDefault="00F03CD8" w:rsidP="00F03CD8">
            <w:pPr>
              <w:jc w:val="both"/>
              <w:rPr>
                <w:sz w:val="20"/>
                <w:szCs w:val="20"/>
              </w:rPr>
            </w:pPr>
            <w:r w:rsidRPr="00D566FD">
              <w:rPr>
                <w:rFonts w:eastAsiaTheme="minorHAnsi"/>
                <w:sz w:val="20"/>
                <w:szCs w:val="20"/>
              </w:rPr>
              <w:t>Wstrzykiwacz bezwkładowy,3 kanałowy do skanera CT (2 źródła kontrastu i 1 źródło NaCl). Możliwość bezpośredniego zastosowania dwóch butelek z kontrastem każdego z dostępnych producentów środków cieniujących o pojemności od 50ml do 500ml oraz NaCl o pojemności do 1000ml. Możliwość podtrzymania temperatury wstępnie podgrzanego środka kontrastowego. Ultradźwiękowy system wykrywania pęcherzyków powietrza w wężykach wstrzykiwacza. Możliwość przeprowadzenia testu iniekcji sola fizjologiczną w celu oceny właściwego umieszczenia dostępu. Możliwość przeprowadzenia mieszania płynów za pomocą iniekcji naprzemiennej kontrastu i soli fizjologicznej w różnych stężeniach: (zawartość środka kontrastowego 15%, 20%,25% 30%,50%). Prędkości iniekcji kontrastu 0,5ml/s do 9,7 ml/s (co 0,1ml/s). Możliwość wstrzyknięcia dla każdej fazy 1ml-200ml (co 1ml). Możliwość wyboru z przygotowanego przez producenta menu wstrzykiwacza stężenia i marki różnych producentów środka kontrastowego (z uwagi na różne parametry lepkości środków kontrastowych). Możliwość wyboru z przygotowanego przez producenta menu wstrzykiwacza objętości butelki (w celu dokładnej kalkulacji czy ilość kontrastu zapewni możliwość wykonania zleconego badania). Możliwość wyboru z przygotowanego przez producenta menu wstrzykiwacza rozmiaru wkłucia indywidualnie dla każdego pacjenta (w celu dobrania optymalnej prędkości podania środka kontrastowego, co redukuje ryzyko wynaczynienia). Dwie identyczne konsole sterujące z interfejsem w języku polskim z możliwością wprowadzenia wszystkich parametrów badania (objętość płynów i prędkość podania, czas opóźnienia, marka i stężenie kontrastu, rozmiar wkłucia) zarówno w pokoju badań jak i w sterowni. Komunikaty graficzne i głosowe dotyczące czynności obsługowych w języku polskim wraz z możliwością wyświetlania krótkich filmów instruktażowych na obu konsolach. Możliwość wprowadzenia do pamięci wstrzykiwacza  (min. 2GB ) dedykowanych protokołów podania kontrastu i NaCl.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290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both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Cieplarka do podgrzewania środków kontrastowych. Wyświetlacz wskazujący temperaturę. Pojemność komory min. </w:t>
            </w:r>
            <w:r w:rsidRPr="00FC5B92">
              <w:rPr>
                <w:b/>
                <w:strike/>
                <w:color w:val="0070C0"/>
                <w:sz w:val="20"/>
                <w:szCs w:val="20"/>
              </w:rPr>
              <w:t>30l</w:t>
            </w:r>
            <w:r w:rsidR="0042649D" w:rsidRPr="00FC5B92">
              <w:rPr>
                <w:b/>
                <w:strike/>
                <w:color w:val="0070C0"/>
                <w:sz w:val="20"/>
                <w:szCs w:val="20"/>
              </w:rPr>
              <w:t xml:space="preserve"> </w:t>
            </w:r>
            <w:bookmarkStart w:id="3" w:name="_GoBack"/>
            <w:bookmarkEnd w:id="3"/>
            <w:r w:rsidR="0042649D" w:rsidRPr="00FC5B92">
              <w:rPr>
                <w:b/>
                <w:color w:val="0070C0"/>
                <w:sz w:val="20"/>
                <w:szCs w:val="20"/>
              </w:rPr>
              <w:t>20l</w:t>
            </w:r>
            <w:r w:rsidRPr="00FC5B92">
              <w:rPr>
                <w:b/>
                <w:color w:val="0070C0"/>
                <w:sz w:val="20"/>
                <w:szCs w:val="20"/>
              </w:rPr>
              <w:t>.</w:t>
            </w:r>
            <w:r w:rsidRPr="00D566FD">
              <w:rPr>
                <w:sz w:val="20"/>
                <w:szCs w:val="20"/>
              </w:rPr>
              <w:t xml:space="preserve"> Drzwi co najmniej pojedyncze. Zakres regulacji temperatury min. +10 do + 50st C, regulacja temperatury co 0,1 st C. Komora</w:t>
            </w:r>
            <w:r w:rsidR="0042649D">
              <w:rPr>
                <w:sz w:val="20"/>
                <w:szCs w:val="20"/>
              </w:rPr>
              <w:t xml:space="preserve"> lub obudowa </w:t>
            </w:r>
            <w:r w:rsidRPr="00D566FD">
              <w:rPr>
                <w:sz w:val="20"/>
                <w:szCs w:val="20"/>
              </w:rPr>
              <w:t xml:space="preserve"> wykonana ze stali nierdzewnej. Ilość półek min.2. </w:t>
            </w:r>
          </w:p>
          <w:p w:rsidR="00F03CD8" w:rsidRPr="00D566FD" w:rsidRDefault="00F03CD8" w:rsidP="00F03CD8">
            <w:pPr>
              <w:jc w:val="both"/>
              <w:rPr>
                <w:sz w:val="20"/>
                <w:szCs w:val="20"/>
                <w:lang w:eastAsia="pl-PL"/>
              </w:rPr>
            </w:pPr>
            <w:r w:rsidRPr="00D566FD">
              <w:rPr>
                <w:sz w:val="20"/>
                <w:szCs w:val="20"/>
                <w:lang w:eastAsia="pl-PL"/>
              </w:rPr>
              <w:t>Przeznaczoną do ogrzewania płynów infuzyjnych, irygacyjnych, środków kontrastowych oraz akcesoriów medycznych. Cechy charakterystyczne urządzenia: Obudowa wykonana ze stali nierdzewnej, wyświetlacz wskazujący temperaturę lub czas pracy.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290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6FD">
              <w:rPr>
                <w:rFonts w:ascii="Times New Roman" w:hAnsi="Times New Roman" w:cs="Times New Roman"/>
                <w:bCs/>
                <w:sz w:val="20"/>
                <w:szCs w:val="20"/>
              </w:rPr>
              <w:t>Oprogramowanie typu DICOM-Reader z wieczystą gwarancją do automatycznego transferu płyt CD i DVD z nagranymi obrazami DICOM do węzłów PACS (odbsługujących DICOM  C-Store). Oprogramowanie powinno umożliwiać automatyczny transfer  zawartości płyt bez bezkonieczności obsługi procesu przez użytkownika.  Oprgramowanie powinno umożliwiać transfer wszystkich obiektów zgodnych  ze standardem DICOM. Oprogramowanie powinno posiadać fukcjonalność automatycznego edycji i zamiany treści tagów DICOM przez wysłaniem do PACS według zdefiniowanych reguł. Sześć odrębnych licencji umożliwiających import z co najmniej sześciu różnych modalności do porównania (MR,TK,RTG,ANGIO,RT,MN) każda z zewnętrznym napędem CD/DVD za przyłączem typu USB.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dotyczy</w:t>
            </w:r>
          </w:p>
        </w:tc>
      </w:tr>
      <w:tr w:rsidR="00F03CD8" w:rsidRPr="00D566FD" w:rsidTr="005A09C3">
        <w:trPr>
          <w:gridAfter w:val="1"/>
          <w:wAfter w:w="8" w:type="dxa"/>
          <w:trHeight w:val="477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Instrukcja obsługi aparatu TK w formie elektronicznej i papierowej oraz instrukcje obsługi urządzeń wyposażenia-   w języku polskim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Dostarczyć wraz z dostawą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Nie dotyczy</w:t>
            </w:r>
          </w:p>
        </w:tc>
      </w:tr>
      <w:tr w:rsidR="00F03CD8" w:rsidRPr="00D566FD" w:rsidTr="005A09C3">
        <w:trPr>
          <w:gridAfter w:val="1"/>
          <w:wAfter w:w="8" w:type="dxa"/>
          <w:trHeight w:val="347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Moc podłączeniowa [kVA]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329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Ilość ciepła emitowana do pomieszczenia badań w trakcie skanowania [kW]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398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Zakres temperatur pracy systemu [stopnie C]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0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Przed rozpoczęciem prac adaptacyjnych Wykonawca ustali z Zamawiającym ostateczne usytuowanie aparatów wewnątrz pracowni TK oraz szczegóły projektu osłon stałych.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0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both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Montaż urządzenia – we wskazanych pomieszczeniach SU Kraków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0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both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Wykonawca gwarantuje, że masa systemu nie wpłynie na dopuszczalne obciążenie stropu pracowni.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0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both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Podać informację czy system wymaga dodatkowych (poza istniejącą infrastrukturą) instalacji chłodzących.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0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both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W przypadku potrzeby odprowadzenia ciepła z oferowanego systemu, urządzeń zasilających, peryferyjnych i komputerów należy dostarczyć i zainstalować odpowiedni system zapewniający pracę systemu w warunkach zgodnych z wytycznymi producenta.</w:t>
            </w:r>
          </w:p>
          <w:p w:rsidR="00F03CD8" w:rsidRPr="00D566FD" w:rsidRDefault="00F03CD8" w:rsidP="00F03CD8">
            <w:pPr>
              <w:jc w:val="both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UWAGA: po stronie Wykonawcy wszystkie ewentualne prace i czynności projektowe </w:t>
            </w:r>
            <w:r w:rsidRPr="00D566FD">
              <w:rPr>
                <w:sz w:val="20"/>
                <w:szCs w:val="20"/>
              </w:rPr>
              <w:lastRenderedPageBreak/>
              <w:t>(w tym dokonanie uzgodnień z projektantem szpitala) i wykonawcze.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0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spacing w:line="288" w:lineRule="auto"/>
              <w:jc w:val="both"/>
              <w:rPr>
                <w:bCs/>
                <w:iCs/>
                <w:sz w:val="20"/>
                <w:szCs w:val="20"/>
              </w:rPr>
            </w:pPr>
            <w:r w:rsidRPr="00D566FD">
              <w:rPr>
                <w:bCs/>
                <w:iCs/>
                <w:sz w:val="20"/>
                <w:szCs w:val="20"/>
              </w:rPr>
              <w:t>Wykonawca gwarantuje, że jego urządzenie już po oddaniu do eksploatacji nie będzie wymagało prowadzenia przez Zamawiającego dodatkowych instalacji i innych prac związanych z eksploatacją urządzenia.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0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pStyle w:val="Nagwek1"/>
              <w:keepLines w:val="0"/>
              <w:numPr>
                <w:ilvl w:val="0"/>
                <w:numId w:val="3"/>
              </w:numPr>
              <w:suppressAutoHyphens w:val="0"/>
              <w:snapToGrid w:val="0"/>
              <w:spacing w:before="0" w:line="288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D566F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Ciężar całego systemu [kg] z rozbiciem na najbardziej istotne elementy składowe.</w:t>
            </w:r>
          </w:p>
          <w:p w:rsidR="00F03CD8" w:rsidRPr="00D566FD" w:rsidRDefault="00F03CD8" w:rsidP="00F03CD8">
            <w:pPr>
              <w:snapToGrid w:val="0"/>
              <w:spacing w:line="288" w:lineRule="auto"/>
              <w:jc w:val="both"/>
              <w:rPr>
                <w:bCs/>
                <w:iCs/>
                <w:sz w:val="20"/>
                <w:szCs w:val="20"/>
              </w:rPr>
            </w:pPr>
            <w:r w:rsidRPr="00D566FD">
              <w:rPr>
                <w:bCs/>
                <w:iCs/>
                <w:sz w:val="20"/>
                <w:szCs w:val="20"/>
              </w:rPr>
              <w:t>UWAGA – Wykonawca gwarantuje jednocześnie, że masa systemu nie wpłynie na dopuszczalne obciążenie konstrukcji obiektu.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TAK, Podać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0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both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Warunki klimatyczne wymagane podczas pracy urządzenia: zakres temperatur [0C], zakres wilgotności [%]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0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both"/>
              <w:rPr>
                <w:b/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W cenie oferty – niezbędne prace instalacyjne i adaptacyjne umożliwiające montaż i ergonomiczną pracę oferowanego systemu. (opracowanie projektów i realizacja), oraz dokumentacja – konieczne do odbioru i dopuszczenia do eksploatacji pracowni oraz aparatu przez uprawnione instytucje.</w:t>
            </w:r>
          </w:p>
          <w:p w:rsidR="00F03CD8" w:rsidRPr="00D566FD" w:rsidRDefault="00F03CD8" w:rsidP="00F03CD8">
            <w:pPr>
              <w:pStyle w:val="Tekstpodstawowy"/>
              <w:jc w:val="both"/>
              <w:rPr>
                <w:rFonts w:ascii="Times New Roman" w:hAnsi="Times New Roman"/>
                <w:b/>
                <w:szCs w:val="20"/>
              </w:rPr>
            </w:pPr>
            <w:r w:rsidRPr="00D566FD">
              <w:rPr>
                <w:rFonts w:ascii="Times New Roman" w:hAnsi="Times New Roman"/>
                <w:szCs w:val="20"/>
              </w:rPr>
              <w:t>Zakres minimalny niezbędnej adaptacji pomieszczeń co najmniej: wymiana wykładziny w Sali badań, wymiana klimatyzatorów, wymiana kanałów kablowych, malowanie wszystkich pomieszczeń. Prace w zakresie instalacji zasilającej: co najmniej opomiarowanie linii zasilającej,  dostosowanie zabezpieczeń, dostosowanie linii zasilającej. Pozostałe prace związane z wymaganą adaptacją co najmniej: wykonanie projektu osłon stałych, projekt nośności stropu, wykonanie projektów branżowych powykonawczych – w branżach w których wystąpią zmiany, zabezpieczenie terenu remontu, odbiór odpadów poremontowych oraz opakowań po dostarczanym sprzęcie, dostosowanie wielkości pracowni TK</w:t>
            </w:r>
            <w:r w:rsidR="009A0433">
              <w:rPr>
                <w:rFonts w:ascii="Times New Roman" w:hAnsi="Times New Roman"/>
                <w:szCs w:val="20"/>
              </w:rPr>
              <w:t>, sterowni oraz pomieszczenia przygotowania pacjenta</w:t>
            </w:r>
            <w:r w:rsidRPr="00D566FD">
              <w:rPr>
                <w:rFonts w:ascii="Times New Roman" w:hAnsi="Times New Roman"/>
                <w:szCs w:val="20"/>
              </w:rPr>
              <w:t xml:space="preserve"> do rozmiarów umożliwiających optymalne wykorzystanie oferowanego systemu. Uzbrojenie pracowni i </w:t>
            </w:r>
            <w:r w:rsidR="009A0433" w:rsidRPr="00D566FD">
              <w:rPr>
                <w:rFonts w:ascii="Times New Roman" w:hAnsi="Times New Roman"/>
                <w:szCs w:val="20"/>
              </w:rPr>
              <w:t>opisowi</w:t>
            </w:r>
            <w:r w:rsidRPr="00D566FD">
              <w:rPr>
                <w:rFonts w:ascii="Times New Roman" w:hAnsi="Times New Roman"/>
                <w:szCs w:val="20"/>
              </w:rPr>
              <w:t xml:space="preserve"> o wymagane przyłącza 230V i LAN, montaż wymaganych osłon radiologicznych w tym drzwi i okien w nowo wydzielonej dostosowanej do oferowanego systemu sterowni. Wszystkie nowo instalowane elementy takie jak drzwi okna i osłony radiologiczne, nowe wraz z wymaganymi prawem dokumentami i certyfikatami.</w:t>
            </w:r>
            <w:r w:rsidRPr="00D566FD">
              <w:rPr>
                <w:rFonts w:ascii="Times New Roman" w:eastAsia="Arial Unicode MS" w:hAnsi="Times New Roman"/>
                <w:szCs w:val="20"/>
              </w:rPr>
              <w:t xml:space="preserve"> </w:t>
            </w:r>
            <w:r w:rsidRPr="00D566FD">
              <w:rPr>
                <w:rStyle w:val="gwp6ad392b6font"/>
                <w:rFonts w:ascii="Times New Roman" w:eastAsia="Arial Unicode MS" w:hAnsi="Times New Roman"/>
                <w:szCs w:val="20"/>
              </w:rPr>
              <w:t>Pracowni TK po adaptacji ma być kompletna i wyposażona we wszystkie niezbędne elementy i wyposażenie umożliwiające odbiór przez prawem wymagane instytucje.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0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both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Wykonawca dostosuje istniejącą i wykona (w razie wystąpienia takiej potrzeby) nową niezbędną instalację elektryczną, teletechniczną oraz inne niezbędne instalacje do </w:t>
            </w:r>
            <w:r w:rsidRPr="00D566FD">
              <w:rPr>
                <w:sz w:val="20"/>
                <w:szCs w:val="20"/>
              </w:rPr>
              <w:lastRenderedPageBreak/>
              <w:t>prawidłowego zamontowania, uruchomienia i użytkowania urządzenia, jak również wykona wszystkie wynikające z tego dostosowania prace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0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Integracja istniejącej lub w razie potrzeby adaptacja instalacji wentylacyjnej i klimatyzacyjnej gwarantującej utrzymywanie wymaganej przez producenta temperatury i wilgotności (dotyczy wszystkich pomieszczeń adaptowanego obszaru, tj. pomieszczenia badań, sterownie, maszynownie, pomieszczenia dla personelu i pacjentów).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0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both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Pełna dokumentacja powykonawcza zawierająca dokumentację architektoniczną, budowlaną, instalacyjną - w tym informacje elektryczne i teletechniczne. Projekt osłon radiologicznych w 3 egzemplarzach. Testy specjalistyczne. Testy odbiorcze w zakresie ustalonym z użytkownikiem.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0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both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Instalacja aparatu oraz wykonanie wszelkich prac adaptacyjnych we wskazanych przez Zamawiającego pomieszczeniach wg odrębnych uzgodnień z użytkownikiem i pod jego nadzorem. Przed oddaniem do eksploatacji – przeprowadzenie testów oddanie do eksploatacji w pełnej funkcjonalności.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0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both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Wykonawca jest odpowiedzialny za realizację całokształtu prac adaptacyjnych i instalacyjnych przy współpracy z inspektorem nadzoru Zamawiającego.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0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both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W cenie oferty – prace porządkowe po instalacji, odbiór zbędnych opakowań, substancji szkodliwych (o ile występują), naprawa szkód (o ile wystąpią podczas dostawy i montażu).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CD8" w:rsidRPr="00D566FD" w:rsidTr="005A09C3">
        <w:trPr>
          <w:gridAfter w:val="1"/>
          <w:wAfter w:w="8" w:type="dxa"/>
          <w:trHeight w:val="404"/>
          <w:jc w:val="center"/>
        </w:trPr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numPr>
                <w:ilvl w:val="0"/>
                <w:numId w:val="14"/>
              </w:num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both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W obrębie pomieszczeń i ich otoczeniu – przygotowanie i odpowiednie zabezpieczenie dróg transportu, otworów montażowych oraz innych niezbędnych obiektów i czynności związanych z realizacją przedmiotu zamówienia.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ind w:left="-7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jc w:val="center"/>
              <w:rPr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>Bez oceny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3CD8" w:rsidRPr="00D566FD" w:rsidRDefault="00F03CD8" w:rsidP="00F03CD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2A4242" w:rsidRPr="00D566FD" w:rsidRDefault="002A4242" w:rsidP="002A4242">
      <w:pPr>
        <w:autoSpaceDN w:val="0"/>
        <w:spacing w:after="120" w:line="276" w:lineRule="auto"/>
        <w:jc w:val="center"/>
        <w:textAlignment w:val="baseline"/>
        <w:rPr>
          <w:rFonts w:eastAsia="Lucida Sans Unicode"/>
          <w:kern w:val="3"/>
          <w:sz w:val="20"/>
          <w:szCs w:val="20"/>
          <w:lang w:eastAsia="zh-CN" w:bidi="hi-IN"/>
        </w:rPr>
      </w:pPr>
      <w:r w:rsidRPr="00D566FD">
        <w:rPr>
          <w:rFonts w:eastAsia="Lucida Sans Unicode"/>
          <w:kern w:val="3"/>
          <w:sz w:val="20"/>
          <w:szCs w:val="20"/>
          <w:lang w:eastAsia="zh-CN" w:bidi="hi-IN"/>
        </w:rPr>
        <w:br w:type="page"/>
      </w:r>
    </w:p>
    <w:p w:rsidR="002A4242" w:rsidRPr="00D566FD" w:rsidRDefault="002A4242" w:rsidP="002A4242">
      <w:pPr>
        <w:jc w:val="center"/>
        <w:rPr>
          <w:sz w:val="20"/>
          <w:szCs w:val="20"/>
        </w:rPr>
      </w:pPr>
    </w:p>
    <w:p w:rsidR="002A4242" w:rsidRPr="00D566FD" w:rsidRDefault="002A4242" w:rsidP="002A4242">
      <w:pPr>
        <w:jc w:val="center"/>
        <w:rPr>
          <w:sz w:val="20"/>
          <w:szCs w:val="20"/>
        </w:rPr>
      </w:pPr>
    </w:p>
    <w:p w:rsidR="002A4242" w:rsidRPr="00DF6259" w:rsidRDefault="00DB4DE1" w:rsidP="002A4242">
      <w:pPr>
        <w:spacing w:line="288" w:lineRule="auto"/>
        <w:jc w:val="center"/>
        <w:rPr>
          <w:b/>
          <w:color w:val="000000" w:themeColor="text1"/>
          <w:kern w:val="2"/>
          <w:sz w:val="20"/>
          <w:szCs w:val="20"/>
          <w:u w:val="single"/>
        </w:rPr>
      </w:pPr>
      <w:r w:rsidRPr="00DF6259">
        <w:rPr>
          <w:b/>
          <w:color w:val="000000" w:themeColor="text1"/>
          <w:kern w:val="2"/>
          <w:sz w:val="20"/>
          <w:szCs w:val="20"/>
          <w:u w:val="single"/>
        </w:rPr>
        <w:t>Warunki gwarancji, szkolenia i serwisu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1134"/>
        <w:gridCol w:w="2835"/>
        <w:gridCol w:w="1984"/>
      </w:tblGrid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566FD">
              <w:rPr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napToGrid w:val="0"/>
              <w:jc w:val="center"/>
              <w:outlineLvl w:val="2"/>
              <w:rPr>
                <w:b/>
                <w:bCs/>
                <w:kern w:val="2"/>
                <w:sz w:val="20"/>
                <w:szCs w:val="20"/>
              </w:rPr>
            </w:pPr>
            <w:r w:rsidRPr="00D566FD">
              <w:rPr>
                <w:b/>
                <w:bCs/>
                <w:kern w:val="2"/>
                <w:sz w:val="20"/>
                <w:szCs w:val="20"/>
              </w:rPr>
              <w:t>Parametr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566FD">
              <w:rPr>
                <w:b/>
                <w:bCs/>
                <w:kern w:val="2"/>
                <w:sz w:val="20"/>
                <w:szCs w:val="20"/>
              </w:rPr>
              <w:t>Parametr wymagany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566FD">
              <w:rPr>
                <w:b/>
                <w:bCs/>
                <w:kern w:val="2"/>
                <w:sz w:val="20"/>
                <w:szCs w:val="20"/>
              </w:rPr>
              <w:t>Parametr oferowany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566FD">
              <w:rPr>
                <w:b/>
                <w:bCs/>
                <w:kern w:val="2"/>
                <w:sz w:val="20"/>
                <w:szCs w:val="20"/>
              </w:rPr>
              <w:t>Sposób oceny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tabs>
                <w:tab w:val="left" w:pos="0"/>
              </w:tabs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566FD">
              <w:rPr>
                <w:b/>
                <w:bCs/>
                <w:kern w:val="2"/>
                <w:sz w:val="20"/>
                <w:szCs w:val="20"/>
              </w:rPr>
              <w:t>GWARANCJE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Okres pełnej, bez wyłączeń gwarancji dla wszystkich zaoferowanych elementów tomografu komputerowego wraz z wstrzykiwaczem [liczba miesięcy]</w:t>
            </w:r>
          </w:p>
          <w:p w:rsidR="002A4242" w:rsidRPr="00D566FD" w:rsidRDefault="002A4242" w:rsidP="00436E70">
            <w:pPr>
              <w:rPr>
                <w:i/>
                <w:iCs/>
                <w:kern w:val="2"/>
                <w:sz w:val="20"/>
                <w:szCs w:val="20"/>
              </w:rPr>
            </w:pPr>
            <w:r w:rsidRPr="00D566FD">
              <w:rPr>
                <w:i/>
                <w:iCs/>
                <w:kern w:val="2"/>
                <w:sz w:val="20"/>
                <w:szCs w:val="20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D566FD">
              <w:rPr>
                <w:i/>
                <w:kern w:val="2"/>
                <w:sz w:val="20"/>
                <w:szCs w:val="20"/>
              </w:rPr>
              <w:t>Zamawiający zastrzega, że górną granicą punktacji gwarancji będzie 10 lat.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≥ 60 miesięcy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2" w:rsidRPr="00D566FD" w:rsidRDefault="002A4242" w:rsidP="00436E70">
            <w:pPr>
              <w:snapToGrid w:val="0"/>
              <w:ind w:right="-12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Najdłuższy okres – 30 pkt. Inne – proporcjonalnie mniej względem najdłuższego okresu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Okres pełnej, bez wyłączeń gwarancji dla urządzeń wspomagających i peryferyjnych [liczba miesięcy]</w:t>
            </w:r>
          </w:p>
          <w:p w:rsidR="002A4242" w:rsidRPr="00D566FD" w:rsidRDefault="002A4242" w:rsidP="00436E70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≥ 24 miesiące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2" w:rsidRPr="00D566FD" w:rsidRDefault="002A4242" w:rsidP="00436E70">
            <w:pPr>
              <w:snapToGrid w:val="0"/>
              <w:ind w:right="-12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Gwarancja dostępności części zamiennych [liczba lat] – min. 8 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snapToGrid w:val="0"/>
              <w:ind w:right="-12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tabs>
                <w:tab w:val="left" w:pos="0"/>
              </w:tabs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iCs/>
                <w:kern w:val="2"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snapToGrid w:val="0"/>
              <w:ind w:right="-12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tabs>
                <w:tab w:val="left" w:pos="0"/>
              </w:tabs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 w:rsidRPr="00D566FD">
              <w:rPr>
                <w:b/>
                <w:bCs/>
                <w:kern w:val="2"/>
                <w:sz w:val="20"/>
                <w:szCs w:val="20"/>
              </w:rPr>
              <w:t>WARUNKI SERWISU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tabs>
                <w:tab w:val="left" w:pos="0"/>
              </w:tabs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Zdalna diagnostyka przez chronione łącze z możliwością rejestracji i odczytu online rejestrów błędów, oraz monitorowaniem systemu (uwaga – całość ewentualnych prac i wyposażenia sprzętowego, które będzie służyło tej funkcjonalności po stronie wykonawcy)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TAK,</w:t>
            </w:r>
          </w:p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podać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W cenie oferty -  przeglądy okresowe w okresie gwarancji (w częstotliwości i w zakresie zgodnym z wymogami producenta). Obowiązkowy (w cenie oferty) przegląd z końcem biegu gwarancji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Wszystkie czynności serwisowe, w tym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rPr>
                <w:rFonts w:eastAsia="Andale Sans UI"/>
                <w:kern w:val="2"/>
                <w:sz w:val="20"/>
                <w:szCs w:val="20"/>
              </w:rPr>
            </w:pPr>
            <w:r w:rsidRPr="00D566FD">
              <w:rPr>
                <w:rFonts w:eastAsia="Andale Sans UI"/>
                <w:kern w:val="2"/>
                <w:sz w:val="20"/>
                <w:szCs w:val="20"/>
              </w:rPr>
              <w:t>Czas reakcji (dotyczy także reakcji zdalnej): „przyjęte zgłoszenie – podjęta naprawa” =&lt; 48 [godz.]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rPr>
                <w:rFonts w:eastAsia="Andale Sans UI"/>
                <w:kern w:val="2"/>
                <w:sz w:val="20"/>
                <w:szCs w:val="20"/>
              </w:rPr>
            </w:pPr>
            <w:r w:rsidRPr="00D566FD">
              <w:rPr>
                <w:rFonts w:eastAsia="Andale Sans UI"/>
                <w:kern w:val="2"/>
                <w:sz w:val="20"/>
                <w:szCs w:val="20"/>
              </w:rPr>
              <w:t>Możliwość zgłoszeń 24h/dobę, 365 dni/rok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rPr>
                <w:rFonts w:eastAsia="Andale Sans UI"/>
                <w:kern w:val="2"/>
                <w:sz w:val="20"/>
                <w:szCs w:val="20"/>
              </w:rPr>
            </w:pPr>
            <w:r w:rsidRPr="00D566FD">
              <w:rPr>
                <w:rFonts w:eastAsia="Andale Sans UI"/>
                <w:kern w:val="2"/>
                <w:sz w:val="20"/>
                <w:szCs w:val="20"/>
              </w:rPr>
              <w:t>Wymiana każdego podzespołu na nowy po pierwszej  nieskutecznej próbie jego naprawy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Zakończenie działań serwisowych – do 5 dni roboczych od dnia zgłoszenia awarii, a w przypadku konieczności importu części zamiennych, nie dłuższym niż 10</w:t>
            </w:r>
            <w:r w:rsidRPr="00D566FD">
              <w:rPr>
                <w:b/>
                <w:kern w:val="2"/>
                <w:sz w:val="20"/>
                <w:szCs w:val="20"/>
              </w:rPr>
              <w:t xml:space="preserve"> </w:t>
            </w:r>
            <w:r w:rsidRPr="00D566FD">
              <w:rPr>
                <w:kern w:val="2"/>
                <w:sz w:val="20"/>
                <w:szCs w:val="20"/>
              </w:rPr>
              <w:t>dni roboczych od dnia zgłoszenia awarii.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tabs>
                <w:tab w:val="left" w:pos="0"/>
              </w:tabs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(przy dostawie sprzętu)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rPr>
                <w:rFonts w:eastAsia="Andale Sans UI"/>
                <w:kern w:val="2"/>
                <w:sz w:val="20"/>
                <w:szCs w:val="20"/>
              </w:rPr>
            </w:pPr>
            <w:r w:rsidRPr="00D566FD">
              <w:rPr>
                <w:rFonts w:eastAsia="Andale Sans UI"/>
                <w:kern w:val="2"/>
                <w:sz w:val="20"/>
                <w:szCs w:val="20"/>
              </w:rPr>
              <w:t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 w:rsidRPr="00D566FD">
              <w:rPr>
                <w:b/>
                <w:bCs/>
                <w:kern w:val="2"/>
                <w:sz w:val="20"/>
                <w:szCs w:val="20"/>
              </w:rPr>
              <w:t>SZKOLENIA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 xml:space="preserve">Szkolenia dla personelu  medycznego z zakresu obsługi urządzenia (min. 1 dzień przez min 6 godzin) w momencie jego instalacji i odbioru. Kolejne szkolenia tj. minimum 5 dni (min 5 osób przez min 6 godzin dziennie) szkoleniowych przed rozpoczęciem pracy oraz kolejnych 3 dni szkoleniowe w trakcie pierwszych 12 miesięcy użytkowania (min 5 osób przez min 6 godzin dziennie). W razie potrzeby Zamawiającego, możliwość stałego wsparcia aplikacyjnego w początkowym (do 6 -ciu miesięcy) okresie pracy urządzeń (dodatkowe szkolenie, dodatkowa grupa osób, konsultacje, itp.). </w:t>
            </w:r>
            <w:r w:rsidRPr="00D566FD">
              <w:rPr>
                <w:sz w:val="20"/>
                <w:szCs w:val="20"/>
              </w:rPr>
              <w:t>Szkolenia obejmujące zagadnienia w zakresie efektywności energetycznej urządzenia, , energooszczędności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Szkolenia dla personelu technicznego (min. 2 osoby – 1 dzień co najmniej 6 godzin)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Liczba i okres szkoleń:</w:t>
            </w:r>
          </w:p>
          <w:p w:rsidR="002A4242" w:rsidRPr="00D566FD" w:rsidRDefault="002A4242" w:rsidP="00436E70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pierwsze szkolenie - tuż po instalacji systemu, w wymiarze do 2 dni roboczych</w:t>
            </w:r>
          </w:p>
          <w:p w:rsidR="002A4242" w:rsidRPr="00D566FD" w:rsidRDefault="002A4242" w:rsidP="00436E70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dodatkowe, w razie potrzeby, w innym terminie ustalonym z kierownikiem pracowni,</w:t>
            </w:r>
          </w:p>
          <w:p w:rsidR="002A4242" w:rsidRPr="00D566FD" w:rsidRDefault="002A4242" w:rsidP="00436E70">
            <w:pPr>
              <w:rPr>
                <w:i/>
                <w:kern w:val="2"/>
                <w:sz w:val="20"/>
                <w:szCs w:val="20"/>
              </w:rPr>
            </w:pPr>
            <w:r w:rsidRPr="00D566FD">
              <w:rPr>
                <w:i/>
                <w:kern w:val="2"/>
                <w:sz w:val="20"/>
                <w:szCs w:val="20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rPr>
                <w:b/>
                <w:bCs/>
                <w:kern w:val="2"/>
                <w:sz w:val="20"/>
                <w:szCs w:val="20"/>
              </w:rPr>
            </w:pPr>
            <w:r w:rsidRPr="00D566FD">
              <w:rPr>
                <w:b/>
                <w:bCs/>
                <w:kern w:val="2"/>
                <w:sz w:val="20"/>
                <w:szCs w:val="20"/>
              </w:rPr>
              <w:t>DOKUMENTACJA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autoSpaceDE w:val="0"/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Instrukcje obsługi w języku polskim w formie elektronicznej i drukowanej (przekazane w momencie dostawy dla każdego egzemplarza) – dotyczy także urządzeń peryferyjnych</w:t>
            </w:r>
          </w:p>
          <w:p w:rsidR="002A4242" w:rsidRPr="00D566FD" w:rsidRDefault="002A4242" w:rsidP="00436E70">
            <w:pPr>
              <w:autoSpaceDE w:val="0"/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Instrukcje i szkolenia zawierające wskazówki dot.  zarządzania wydajnością i energooszczędnością urządzenia, działań w zakresie efektywności energetycznej urządzenia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autoSpaceDE w:val="0"/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sz w:val="20"/>
                <w:szCs w:val="20"/>
              </w:rPr>
              <w:t xml:space="preserve">Paszport techniczny zgodny z wzorem użytkowanym w SU oraz informacje umożliwiające wypełnienie karty technicznej urządzenia zgodnej z Rozporządzeniem Ministra Zdrowia z dnia 19 października 2021 r.Poz. 1959 </w:t>
            </w:r>
            <w:r w:rsidRPr="00D566FD">
              <w:rPr>
                <w:bCs/>
                <w:sz w:val="20"/>
                <w:szCs w:val="20"/>
              </w:rPr>
              <w:t>w sprawie informacji zawartych w Krajowej Bazie Urządzeń Radiologicznych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Dokumentacja (lub tzw. lista kontrolna zawierająca wykaz części i czynności) dotycząca przeglądów technicznych w języku polskim (dostarczona przy dostawie)</w:t>
            </w:r>
          </w:p>
          <w:p w:rsidR="002A4242" w:rsidRPr="00D566FD" w:rsidRDefault="002A4242" w:rsidP="00436E70">
            <w:pPr>
              <w:snapToGrid w:val="0"/>
              <w:rPr>
                <w:i/>
                <w:kern w:val="2"/>
                <w:sz w:val="20"/>
                <w:szCs w:val="20"/>
              </w:rPr>
            </w:pPr>
            <w:r w:rsidRPr="00D566FD">
              <w:rPr>
                <w:i/>
                <w:kern w:val="2"/>
                <w:sz w:val="20"/>
                <w:szCs w:val="20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Możliwość mycia i dezynfekcji poszczególnych elementów aparatów w oparciu o przedstawione przez wykonawcę zalecane preparaty myjące i dezynfekujące.</w:t>
            </w:r>
          </w:p>
          <w:p w:rsidR="002A4242" w:rsidRPr="00D566FD" w:rsidRDefault="002A4242" w:rsidP="00436E70">
            <w:pPr>
              <w:rPr>
                <w:i/>
                <w:kern w:val="2"/>
                <w:sz w:val="20"/>
                <w:szCs w:val="20"/>
              </w:rPr>
            </w:pPr>
            <w:r w:rsidRPr="00D566FD">
              <w:rPr>
                <w:i/>
                <w:kern w:val="2"/>
                <w:sz w:val="20"/>
                <w:szCs w:val="20"/>
              </w:rPr>
              <w:t>UWAGA – zalecane środki powinny zawierać nazwy związków chemicznych, a nie tylko nazwy handlowe preparatów.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- - -</w:t>
            </w: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rPr>
                <w:b/>
                <w:kern w:val="2"/>
                <w:sz w:val="20"/>
                <w:szCs w:val="20"/>
              </w:rPr>
            </w:pPr>
            <w:r w:rsidRPr="00D566FD">
              <w:rPr>
                <w:b/>
                <w:kern w:val="2"/>
                <w:sz w:val="20"/>
                <w:szCs w:val="20"/>
              </w:rPr>
              <w:t>Pozostałe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rPr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 xml:space="preserve">Komplet testów, pomiarów i dokumentów niezbędnych do odbioru aparatów przez WSSE i inne uprawnione instytucje (w tym wszystkie czynności niezbędne do odbiorów formalnych) </w:t>
            </w:r>
            <w:r w:rsidRPr="00D566FD">
              <w:rPr>
                <w:sz w:val="20"/>
                <w:szCs w:val="20"/>
              </w:rPr>
              <w:t>w tym pomiary rozkładu mocy dawki wokół aparatu i pomiary w otoczeniu miejsca użytkowania, testy odbiorcze i specjalistyczne, projekt osłon stałych także testów specjalistycznych dla monitorów stanowisk opisowych.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Tryb oszczędzania energii lub niskiego poboru mocy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2A4242" w:rsidRPr="00D566FD" w:rsidTr="00436E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numPr>
                <w:ilvl w:val="0"/>
                <w:numId w:val="26"/>
              </w:numPr>
              <w:contextualSpacing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rPr>
                <w:kern w:val="2"/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Możliwość automatycznego przechodzenia urządzenia w tryb czuwania/niskiego poboru mocy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2" w:rsidRPr="00D566FD" w:rsidRDefault="002A4242" w:rsidP="00436E70">
            <w:pPr>
              <w:jc w:val="center"/>
              <w:rPr>
                <w:sz w:val="20"/>
                <w:szCs w:val="20"/>
              </w:rPr>
            </w:pPr>
            <w:r w:rsidRPr="00D566FD">
              <w:rPr>
                <w:kern w:val="2"/>
                <w:sz w:val="20"/>
                <w:szCs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242" w:rsidRPr="00D566FD" w:rsidRDefault="002A4242" w:rsidP="00436E70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2A4242" w:rsidRPr="00D566FD" w:rsidRDefault="002A4242" w:rsidP="002A4242">
      <w:pPr>
        <w:spacing w:after="160" w:line="259" w:lineRule="auto"/>
        <w:jc w:val="center"/>
        <w:rPr>
          <w:sz w:val="20"/>
          <w:szCs w:val="20"/>
        </w:rPr>
      </w:pPr>
    </w:p>
    <w:p w:rsidR="002A4242" w:rsidRPr="00D566FD" w:rsidRDefault="002A4242" w:rsidP="002A4242">
      <w:pPr>
        <w:jc w:val="center"/>
        <w:rPr>
          <w:sz w:val="20"/>
          <w:szCs w:val="20"/>
        </w:rPr>
      </w:pPr>
    </w:p>
    <w:p w:rsidR="002A4242" w:rsidRPr="00D566FD" w:rsidRDefault="002A4242" w:rsidP="00D15B41">
      <w:pPr>
        <w:jc w:val="center"/>
        <w:rPr>
          <w:sz w:val="20"/>
          <w:szCs w:val="20"/>
        </w:rPr>
      </w:pPr>
    </w:p>
    <w:sectPr w:rsidR="002A4242" w:rsidRPr="00D566FD" w:rsidSect="001D46D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F64" w:rsidRDefault="004B6F64" w:rsidP="002824BC">
      <w:r>
        <w:separator/>
      </w:r>
    </w:p>
  </w:endnote>
  <w:endnote w:type="continuationSeparator" w:id="0">
    <w:p w:rsidR="004B6F64" w:rsidRDefault="004B6F64" w:rsidP="0028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113081"/>
      <w:docPartObj>
        <w:docPartGallery w:val="Page Numbers (Bottom of Page)"/>
        <w:docPartUnique/>
      </w:docPartObj>
    </w:sdtPr>
    <w:sdtEndPr/>
    <w:sdtContent>
      <w:p w:rsidR="00436E70" w:rsidRDefault="0056743F">
        <w:pPr>
          <w:pStyle w:val="Stopka"/>
          <w:jc w:val="right"/>
        </w:pPr>
        <w:r>
          <w:fldChar w:fldCharType="begin"/>
        </w:r>
        <w:r w:rsidR="00436E70">
          <w:instrText>PAGE   \* MERGEFORMAT</w:instrText>
        </w:r>
        <w:r>
          <w:fldChar w:fldCharType="separate"/>
        </w:r>
        <w:r w:rsidR="00FC5B92">
          <w:rPr>
            <w:noProof/>
          </w:rPr>
          <w:t>18</w:t>
        </w:r>
        <w:r>
          <w:fldChar w:fldCharType="end"/>
        </w:r>
      </w:p>
    </w:sdtContent>
  </w:sdt>
  <w:p w:rsidR="00436E70" w:rsidRDefault="00436E70" w:rsidP="00D7488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F64" w:rsidRDefault="004B6F64" w:rsidP="002824BC">
      <w:r>
        <w:separator/>
      </w:r>
    </w:p>
  </w:footnote>
  <w:footnote w:type="continuationSeparator" w:id="0">
    <w:p w:rsidR="004B6F64" w:rsidRDefault="004B6F64" w:rsidP="0028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0" w:rsidRPr="00DB0578" w:rsidRDefault="00436E70" w:rsidP="00A46CB8">
    <w:pPr>
      <w:tabs>
        <w:tab w:val="center" w:pos="4536"/>
      </w:tabs>
      <w:rPr>
        <w:lang w:eastAsia="pl-PL"/>
      </w:rPr>
    </w:pPr>
    <w:r>
      <w:rPr>
        <w:bCs/>
        <w:lang w:eastAsia="pl-PL"/>
      </w:rPr>
      <w:t>DFP.271.112</w:t>
    </w:r>
    <w:r w:rsidRPr="00DB0578">
      <w:rPr>
        <w:bCs/>
        <w:lang w:eastAsia="pl-PL"/>
      </w:rPr>
      <w:t>.2022.AMW</w:t>
    </w:r>
    <w:r w:rsidRPr="00DB0578">
      <w:rPr>
        <w:lang w:eastAsia="pl-PL"/>
      </w:rPr>
      <w:t xml:space="preserve">                                                               </w:t>
    </w:r>
  </w:p>
  <w:p w:rsidR="00436E70" w:rsidRPr="00DB0578" w:rsidRDefault="00436E70" w:rsidP="00A46CB8">
    <w:pPr>
      <w:tabs>
        <w:tab w:val="center" w:pos="4536"/>
      </w:tabs>
      <w:jc w:val="right"/>
      <w:rPr>
        <w:lang w:eastAsia="pl-PL"/>
      </w:rPr>
    </w:pPr>
    <w:r w:rsidRPr="00DB0578">
      <w:rPr>
        <w:lang w:eastAsia="pl-PL"/>
      </w:rPr>
      <w:t>Załącznik nr 1</w:t>
    </w:r>
    <w:r>
      <w:rPr>
        <w:lang w:eastAsia="pl-PL"/>
      </w:rPr>
      <w:t>a</w:t>
    </w:r>
    <w:r w:rsidRPr="00DB0578">
      <w:rPr>
        <w:lang w:eastAsia="pl-PL"/>
      </w:rPr>
      <w:t xml:space="preserve"> do SWZ</w:t>
    </w:r>
  </w:p>
  <w:p w:rsidR="00436E70" w:rsidRDefault="00436E70" w:rsidP="00D748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D1C0C16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3D92BE7"/>
    <w:multiLevelType w:val="hybridMultilevel"/>
    <w:tmpl w:val="18A27676"/>
    <w:lvl w:ilvl="0" w:tplc="6D8A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F31FD"/>
    <w:multiLevelType w:val="hybridMultilevel"/>
    <w:tmpl w:val="D1844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6185F"/>
    <w:multiLevelType w:val="hybridMultilevel"/>
    <w:tmpl w:val="44BE8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B5634"/>
    <w:multiLevelType w:val="hybridMultilevel"/>
    <w:tmpl w:val="9F6A2E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43CE2"/>
    <w:multiLevelType w:val="hybridMultilevel"/>
    <w:tmpl w:val="4FAE3FD4"/>
    <w:lvl w:ilvl="0" w:tplc="A48E6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31DDF"/>
    <w:multiLevelType w:val="hybridMultilevel"/>
    <w:tmpl w:val="E774E7B2"/>
    <w:lvl w:ilvl="0" w:tplc="E1AC43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77546"/>
    <w:multiLevelType w:val="hybridMultilevel"/>
    <w:tmpl w:val="A8F2C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615A2"/>
    <w:multiLevelType w:val="hybridMultilevel"/>
    <w:tmpl w:val="23EC6B9A"/>
    <w:lvl w:ilvl="0" w:tplc="653E63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12A5A"/>
    <w:multiLevelType w:val="hybridMultilevel"/>
    <w:tmpl w:val="53C0666E"/>
    <w:lvl w:ilvl="0" w:tplc="5EBAA026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D7D61"/>
    <w:multiLevelType w:val="hybridMultilevel"/>
    <w:tmpl w:val="9D684E86"/>
    <w:lvl w:ilvl="0" w:tplc="705030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70258"/>
    <w:multiLevelType w:val="hybridMultilevel"/>
    <w:tmpl w:val="7B8ACC54"/>
    <w:lvl w:ilvl="0" w:tplc="117C0A8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35928"/>
    <w:multiLevelType w:val="singleLevel"/>
    <w:tmpl w:val="C082AE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EE3621D"/>
    <w:multiLevelType w:val="hybridMultilevel"/>
    <w:tmpl w:val="7DE63C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92AAB"/>
    <w:multiLevelType w:val="hybridMultilevel"/>
    <w:tmpl w:val="21DC5B92"/>
    <w:lvl w:ilvl="0" w:tplc="6D7C9886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91580F"/>
    <w:multiLevelType w:val="hybridMultilevel"/>
    <w:tmpl w:val="456EF62E"/>
    <w:lvl w:ilvl="0" w:tplc="515EF7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71CA9"/>
    <w:multiLevelType w:val="hybridMultilevel"/>
    <w:tmpl w:val="79BE0E96"/>
    <w:lvl w:ilvl="0" w:tplc="653E63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E579E"/>
    <w:multiLevelType w:val="hybridMultilevel"/>
    <w:tmpl w:val="1786DB60"/>
    <w:lvl w:ilvl="0" w:tplc="4A0E674E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1F00BD"/>
    <w:multiLevelType w:val="hybridMultilevel"/>
    <w:tmpl w:val="E6F03896"/>
    <w:lvl w:ilvl="0" w:tplc="D29C611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F0D9E"/>
    <w:multiLevelType w:val="hybridMultilevel"/>
    <w:tmpl w:val="4B6CE00E"/>
    <w:lvl w:ilvl="0" w:tplc="653E632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A1281"/>
    <w:multiLevelType w:val="hybridMultilevel"/>
    <w:tmpl w:val="9C04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50E44"/>
    <w:multiLevelType w:val="hybridMultilevel"/>
    <w:tmpl w:val="0D306A08"/>
    <w:lvl w:ilvl="0" w:tplc="63CAB48C">
      <w:start w:val="1"/>
      <w:numFmt w:val="decimal"/>
      <w:lvlText w:val="%1."/>
      <w:lvlJc w:val="left"/>
      <w:pPr>
        <w:ind w:left="360" w:hanging="360"/>
      </w:pPr>
      <w:rPr>
        <w:rFonts w:hint="default"/>
        <w:w w:val="9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EA18BC"/>
    <w:multiLevelType w:val="hybridMultilevel"/>
    <w:tmpl w:val="E4F05BBA"/>
    <w:lvl w:ilvl="0" w:tplc="22BE5B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85128"/>
    <w:multiLevelType w:val="hybridMultilevel"/>
    <w:tmpl w:val="534E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9"/>
  </w:num>
  <w:num w:numId="8">
    <w:abstractNumId w:val="8"/>
  </w:num>
  <w:num w:numId="9">
    <w:abstractNumId w:val="26"/>
  </w:num>
  <w:num w:numId="10">
    <w:abstractNumId w:val="13"/>
  </w:num>
  <w:num w:numId="11">
    <w:abstractNumId w:val="19"/>
  </w:num>
  <w:num w:numId="12">
    <w:abstractNumId w:val="27"/>
  </w:num>
  <w:num w:numId="13">
    <w:abstractNumId w:val="6"/>
  </w:num>
  <w:num w:numId="14">
    <w:abstractNumId w:val="1"/>
  </w:num>
  <w:num w:numId="15">
    <w:abstractNumId w:val="3"/>
  </w:num>
  <w:num w:numId="16">
    <w:abstractNumId w:val="2"/>
    <w:lvlOverride w:ilvl="0">
      <w:startOverride w:val="1"/>
    </w:lvlOverride>
  </w:num>
  <w:num w:numId="17">
    <w:abstractNumId w:val="5"/>
  </w:num>
  <w:num w:numId="18">
    <w:abstractNumId w:val="24"/>
  </w:num>
  <w:num w:numId="19">
    <w:abstractNumId w:val="11"/>
  </w:num>
  <w:num w:numId="20">
    <w:abstractNumId w:val="23"/>
  </w:num>
  <w:num w:numId="21">
    <w:abstractNumId w:val="20"/>
  </w:num>
  <w:num w:numId="22">
    <w:abstractNumId w:val="21"/>
  </w:num>
  <w:num w:numId="23">
    <w:abstractNumId w:val="18"/>
  </w:num>
  <w:num w:numId="24">
    <w:abstractNumId w:val="25"/>
  </w:num>
  <w:num w:numId="25">
    <w:abstractNumId w:val="14"/>
  </w:num>
  <w:num w:numId="26">
    <w:abstractNumId w:val="17"/>
  </w:num>
  <w:num w:numId="27">
    <w:abstractNumId w:val="15"/>
  </w:num>
  <w:num w:numId="28">
    <w:abstractNumId w:val="12"/>
  </w:num>
  <w:num w:numId="29">
    <w:abstractNumId w:val="10"/>
  </w:num>
  <w:num w:numId="30">
    <w:abstractNumId w:val="22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F5E"/>
    <w:rsid w:val="000048EF"/>
    <w:rsid w:val="00026AF6"/>
    <w:rsid w:val="000344F7"/>
    <w:rsid w:val="00045BC3"/>
    <w:rsid w:val="00045F25"/>
    <w:rsid w:val="00046179"/>
    <w:rsid w:val="00052088"/>
    <w:rsid w:val="00053FF9"/>
    <w:rsid w:val="00071F9B"/>
    <w:rsid w:val="00075888"/>
    <w:rsid w:val="000770D2"/>
    <w:rsid w:val="00081524"/>
    <w:rsid w:val="00083D30"/>
    <w:rsid w:val="000B7732"/>
    <w:rsid w:val="000C220F"/>
    <w:rsid w:val="000D1D7B"/>
    <w:rsid w:val="000E11F6"/>
    <w:rsid w:val="000F044B"/>
    <w:rsid w:val="00114621"/>
    <w:rsid w:val="00117CFE"/>
    <w:rsid w:val="00124ED5"/>
    <w:rsid w:val="00136F49"/>
    <w:rsid w:val="0014308D"/>
    <w:rsid w:val="0015463E"/>
    <w:rsid w:val="00180BC8"/>
    <w:rsid w:val="00181D52"/>
    <w:rsid w:val="001902A7"/>
    <w:rsid w:val="001925DE"/>
    <w:rsid w:val="00196E15"/>
    <w:rsid w:val="001A3472"/>
    <w:rsid w:val="001A593E"/>
    <w:rsid w:val="001C1D9C"/>
    <w:rsid w:val="001C373D"/>
    <w:rsid w:val="001D46DC"/>
    <w:rsid w:val="001E349F"/>
    <w:rsid w:val="001F652A"/>
    <w:rsid w:val="001F6CF2"/>
    <w:rsid w:val="002022ED"/>
    <w:rsid w:val="00207DEF"/>
    <w:rsid w:val="00216FA0"/>
    <w:rsid w:val="00231C44"/>
    <w:rsid w:val="00233B49"/>
    <w:rsid w:val="00236CB1"/>
    <w:rsid w:val="00245467"/>
    <w:rsid w:val="002619D0"/>
    <w:rsid w:val="002670BA"/>
    <w:rsid w:val="002824BC"/>
    <w:rsid w:val="00284510"/>
    <w:rsid w:val="002A4242"/>
    <w:rsid w:val="002A7757"/>
    <w:rsid w:val="002B4E53"/>
    <w:rsid w:val="002C5ED5"/>
    <w:rsid w:val="002C7D20"/>
    <w:rsid w:val="002D0060"/>
    <w:rsid w:val="00302567"/>
    <w:rsid w:val="00325184"/>
    <w:rsid w:val="003263E7"/>
    <w:rsid w:val="00330A78"/>
    <w:rsid w:val="00330D60"/>
    <w:rsid w:val="00334B72"/>
    <w:rsid w:val="00335F50"/>
    <w:rsid w:val="0036411D"/>
    <w:rsid w:val="00366181"/>
    <w:rsid w:val="003700F1"/>
    <w:rsid w:val="00375F99"/>
    <w:rsid w:val="00376860"/>
    <w:rsid w:val="00381816"/>
    <w:rsid w:val="00382B5D"/>
    <w:rsid w:val="00391161"/>
    <w:rsid w:val="00391441"/>
    <w:rsid w:val="00394784"/>
    <w:rsid w:val="003B2C90"/>
    <w:rsid w:val="003B3397"/>
    <w:rsid w:val="003B5145"/>
    <w:rsid w:val="003B5A71"/>
    <w:rsid w:val="003C6504"/>
    <w:rsid w:val="003D64F9"/>
    <w:rsid w:val="003D7090"/>
    <w:rsid w:val="003E448B"/>
    <w:rsid w:val="003F0E87"/>
    <w:rsid w:val="003F68AA"/>
    <w:rsid w:val="00401F58"/>
    <w:rsid w:val="004022DE"/>
    <w:rsid w:val="00404184"/>
    <w:rsid w:val="00406A8F"/>
    <w:rsid w:val="0042649D"/>
    <w:rsid w:val="00434FB0"/>
    <w:rsid w:val="00436E70"/>
    <w:rsid w:val="00443727"/>
    <w:rsid w:val="00452A7C"/>
    <w:rsid w:val="00463ABA"/>
    <w:rsid w:val="004817C2"/>
    <w:rsid w:val="00484DA1"/>
    <w:rsid w:val="004B6F64"/>
    <w:rsid w:val="004C1C8E"/>
    <w:rsid w:val="004C33A6"/>
    <w:rsid w:val="004D07FB"/>
    <w:rsid w:val="004F4435"/>
    <w:rsid w:val="0050627A"/>
    <w:rsid w:val="00510A71"/>
    <w:rsid w:val="005152A2"/>
    <w:rsid w:val="00520BFC"/>
    <w:rsid w:val="00525E16"/>
    <w:rsid w:val="00527ACE"/>
    <w:rsid w:val="00530A46"/>
    <w:rsid w:val="00531DE4"/>
    <w:rsid w:val="0054732C"/>
    <w:rsid w:val="005508B9"/>
    <w:rsid w:val="0056743F"/>
    <w:rsid w:val="00592797"/>
    <w:rsid w:val="005961D4"/>
    <w:rsid w:val="005A09C3"/>
    <w:rsid w:val="005A5D9F"/>
    <w:rsid w:val="005C4002"/>
    <w:rsid w:val="005C7B2C"/>
    <w:rsid w:val="005D0EED"/>
    <w:rsid w:val="005D0FF0"/>
    <w:rsid w:val="005D2519"/>
    <w:rsid w:val="005E46FB"/>
    <w:rsid w:val="005F2AFB"/>
    <w:rsid w:val="00602908"/>
    <w:rsid w:val="00603B59"/>
    <w:rsid w:val="00613FFE"/>
    <w:rsid w:val="00625C1B"/>
    <w:rsid w:val="006274F7"/>
    <w:rsid w:val="0063156C"/>
    <w:rsid w:val="00632B8F"/>
    <w:rsid w:val="00646BA9"/>
    <w:rsid w:val="006471C1"/>
    <w:rsid w:val="006642CE"/>
    <w:rsid w:val="00672D0E"/>
    <w:rsid w:val="00684D96"/>
    <w:rsid w:val="00685266"/>
    <w:rsid w:val="00686B91"/>
    <w:rsid w:val="0068727E"/>
    <w:rsid w:val="006935A7"/>
    <w:rsid w:val="006950B1"/>
    <w:rsid w:val="006C2E5F"/>
    <w:rsid w:val="006D4E1F"/>
    <w:rsid w:val="006D7CA7"/>
    <w:rsid w:val="006E2D5B"/>
    <w:rsid w:val="006F25C5"/>
    <w:rsid w:val="006F32FD"/>
    <w:rsid w:val="006F3E8B"/>
    <w:rsid w:val="00703BAF"/>
    <w:rsid w:val="007058BF"/>
    <w:rsid w:val="00736534"/>
    <w:rsid w:val="007422B3"/>
    <w:rsid w:val="0074430B"/>
    <w:rsid w:val="007444D4"/>
    <w:rsid w:val="00757ABA"/>
    <w:rsid w:val="00761426"/>
    <w:rsid w:val="00762FA1"/>
    <w:rsid w:val="00763CE2"/>
    <w:rsid w:val="00774C69"/>
    <w:rsid w:val="0077585C"/>
    <w:rsid w:val="007924A1"/>
    <w:rsid w:val="007C7A22"/>
    <w:rsid w:val="007D23FC"/>
    <w:rsid w:val="007D4EBA"/>
    <w:rsid w:val="007D629D"/>
    <w:rsid w:val="007E294E"/>
    <w:rsid w:val="007E6CBE"/>
    <w:rsid w:val="00804938"/>
    <w:rsid w:val="008071BD"/>
    <w:rsid w:val="00813ADA"/>
    <w:rsid w:val="008161F3"/>
    <w:rsid w:val="00817987"/>
    <w:rsid w:val="00821651"/>
    <w:rsid w:val="0082203C"/>
    <w:rsid w:val="00831371"/>
    <w:rsid w:val="00846619"/>
    <w:rsid w:val="00857154"/>
    <w:rsid w:val="008615A6"/>
    <w:rsid w:val="00866082"/>
    <w:rsid w:val="00870442"/>
    <w:rsid w:val="0087591A"/>
    <w:rsid w:val="008912A0"/>
    <w:rsid w:val="008922DF"/>
    <w:rsid w:val="00893F86"/>
    <w:rsid w:val="00894A3D"/>
    <w:rsid w:val="008A15A8"/>
    <w:rsid w:val="008A2808"/>
    <w:rsid w:val="008B0E8C"/>
    <w:rsid w:val="008B72D1"/>
    <w:rsid w:val="008C1CC3"/>
    <w:rsid w:val="008C5355"/>
    <w:rsid w:val="008D0C2D"/>
    <w:rsid w:val="008D7277"/>
    <w:rsid w:val="008E1825"/>
    <w:rsid w:val="008E4C12"/>
    <w:rsid w:val="008F2691"/>
    <w:rsid w:val="008F6277"/>
    <w:rsid w:val="009040CB"/>
    <w:rsid w:val="00904B3E"/>
    <w:rsid w:val="00927802"/>
    <w:rsid w:val="00937DC0"/>
    <w:rsid w:val="0094632C"/>
    <w:rsid w:val="00953240"/>
    <w:rsid w:val="00963398"/>
    <w:rsid w:val="009641E2"/>
    <w:rsid w:val="00966589"/>
    <w:rsid w:val="00986F25"/>
    <w:rsid w:val="00993550"/>
    <w:rsid w:val="009A0433"/>
    <w:rsid w:val="009C173F"/>
    <w:rsid w:val="009D7772"/>
    <w:rsid w:val="009E66CB"/>
    <w:rsid w:val="009F4C23"/>
    <w:rsid w:val="009F552E"/>
    <w:rsid w:val="009F7457"/>
    <w:rsid w:val="00A01C2E"/>
    <w:rsid w:val="00A06CD9"/>
    <w:rsid w:val="00A15ECE"/>
    <w:rsid w:val="00A20142"/>
    <w:rsid w:val="00A21077"/>
    <w:rsid w:val="00A354E6"/>
    <w:rsid w:val="00A42422"/>
    <w:rsid w:val="00A42F0C"/>
    <w:rsid w:val="00A4486A"/>
    <w:rsid w:val="00A46CB8"/>
    <w:rsid w:val="00A54494"/>
    <w:rsid w:val="00A957F5"/>
    <w:rsid w:val="00AA34AB"/>
    <w:rsid w:val="00AA43D8"/>
    <w:rsid w:val="00AA4630"/>
    <w:rsid w:val="00AA5EED"/>
    <w:rsid w:val="00AA76C6"/>
    <w:rsid w:val="00AD0AF5"/>
    <w:rsid w:val="00AD3033"/>
    <w:rsid w:val="00AD7EFA"/>
    <w:rsid w:val="00AE26C5"/>
    <w:rsid w:val="00AF7D11"/>
    <w:rsid w:val="00B10AE0"/>
    <w:rsid w:val="00B15306"/>
    <w:rsid w:val="00B434DB"/>
    <w:rsid w:val="00B4685C"/>
    <w:rsid w:val="00B7570E"/>
    <w:rsid w:val="00B95558"/>
    <w:rsid w:val="00B96050"/>
    <w:rsid w:val="00B965E5"/>
    <w:rsid w:val="00B96983"/>
    <w:rsid w:val="00BB1644"/>
    <w:rsid w:val="00BB167C"/>
    <w:rsid w:val="00BB3A45"/>
    <w:rsid w:val="00BC3B43"/>
    <w:rsid w:val="00BC50CF"/>
    <w:rsid w:val="00BE4E51"/>
    <w:rsid w:val="00BF45BF"/>
    <w:rsid w:val="00C05CA9"/>
    <w:rsid w:val="00C17CB8"/>
    <w:rsid w:val="00C26913"/>
    <w:rsid w:val="00C37A05"/>
    <w:rsid w:val="00C434C8"/>
    <w:rsid w:val="00C620E1"/>
    <w:rsid w:val="00C7494A"/>
    <w:rsid w:val="00C91D31"/>
    <w:rsid w:val="00CA09DF"/>
    <w:rsid w:val="00CC5386"/>
    <w:rsid w:val="00CD165F"/>
    <w:rsid w:val="00CE720E"/>
    <w:rsid w:val="00D1100C"/>
    <w:rsid w:val="00D15B41"/>
    <w:rsid w:val="00D16483"/>
    <w:rsid w:val="00D23CC0"/>
    <w:rsid w:val="00D36D11"/>
    <w:rsid w:val="00D414EE"/>
    <w:rsid w:val="00D44A80"/>
    <w:rsid w:val="00D566FD"/>
    <w:rsid w:val="00D625B6"/>
    <w:rsid w:val="00D636D8"/>
    <w:rsid w:val="00D6764A"/>
    <w:rsid w:val="00D7488A"/>
    <w:rsid w:val="00D921DD"/>
    <w:rsid w:val="00DB1064"/>
    <w:rsid w:val="00DB1086"/>
    <w:rsid w:val="00DB4DE1"/>
    <w:rsid w:val="00DC7FA8"/>
    <w:rsid w:val="00DE0F5C"/>
    <w:rsid w:val="00DE15FC"/>
    <w:rsid w:val="00DE75E3"/>
    <w:rsid w:val="00DF5AA3"/>
    <w:rsid w:val="00DF6259"/>
    <w:rsid w:val="00E024B4"/>
    <w:rsid w:val="00E10333"/>
    <w:rsid w:val="00E155D7"/>
    <w:rsid w:val="00E26799"/>
    <w:rsid w:val="00E31770"/>
    <w:rsid w:val="00E43370"/>
    <w:rsid w:val="00E5056E"/>
    <w:rsid w:val="00E509B2"/>
    <w:rsid w:val="00E62246"/>
    <w:rsid w:val="00E62C81"/>
    <w:rsid w:val="00E665DB"/>
    <w:rsid w:val="00E72FF6"/>
    <w:rsid w:val="00E82A39"/>
    <w:rsid w:val="00E82B69"/>
    <w:rsid w:val="00EA292C"/>
    <w:rsid w:val="00EB42B3"/>
    <w:rsid w:val="00EB7DCB"/>
    <w:rsid w:val="00EC0E53"/>
    <w:rsid w:val="00EC3387"/>
    <w:rsid w:val="00EC7EC3"/>
    <w:rsid w:val="00ED047E"/>
    <w:rsid w:val="00ED12BD"/>
    <w:rsid w:val="00ED3803"/>
    <w:rsid w:val="00ED7CEB"/>
    <w:rsid w:val="00EE42E0"/>
    <w:rsid w:val="00EF0534"/>
    <w:rsid w:val="00EF18A5"/>
    <w:rsid w:val="00F03CD8"/>
    <w:rsid w:val="00F03FBF"/>
    <w:rsid w:val="00F07D7D"/>
    <w:rsid w:val="00F15975"/>
    <w:rsid w:val="00F23A71"/>
    <w:rsid w:val="00F36B41"/>
    <w:rsid w:val="00F40D13"/>
    <w:rsid w:val="00F5119E"/>
    <w:rsid w:val="00F67F5E"/>
    <w:rsid w:val="00F70336"/>
    <w:rsid w:val="00F713A9"/>
    <w:rsid w:val="00F77186"/>
    <w:rsid w:val="00F8781F"/>
    <w:rsid w:val="00F90030"/>
    <w:rsid w:val="00FA1AFC"/>
    <w:rsid w:val="00FB350F"/>
    <w:rsid w:val="00FB7789"/>
    <w:rsid w:val="00FC2138"/>
    <w:rsid w:val="00FC5B92"/>
    <w:rsid w:val="00FC7BE6"/>
    <w:rsid w:val="00FD2081"/>
    <w:rsid w:val="00FF1EB6"/>
    <w:rsid w:val="00FF2B83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5B45A"/>
  <w15:docId w15:val="{DFA83647-E4E9-4A35-A05E-7F976DFD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C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1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D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F67F5E"/>
    <w:pPr>
      <w:keepNext/>
      <w:numPr>
        <w:numId w:val="1"/>
      </w:numPr>
      <w:outlineLvl w:val="2"/>
    </w:pPr>
    <w:rPr>
      <w:rFonts w:ascii="Comic Sans MS" w:hAnsi="Comic Sans MS"/>
      <w:b/>
      <w:bCs/>
      <w:sz w:val="18"/>
      <w:szCs w:val="20"/>
    </w:rPr>
  </w:style>
  <w:style w:type="paragraph" w:styleId="Nagwek4">
    <w:name w:val="heading 4"/>
    <w:basedOn w:val="Normalny"/>
    <w:next w:val="Normalny"/>
    <w:link w:val="Nagwek4Znak"/>
    <w:qFormat/>
    <w:rsid w:val="002A4242"/>
    <w:pPr>
      <w:keepNext/>
      <w:widowControl w:val="0"/>
      <w:tabs>
        <w:tab w:val="num" w:pos="0"/>
      </w:tabs>
      <w:ind w:left="864" w:hanging="864"/>
      <w:jc w:val="center"/>
      <w:outlineLvl w:val="3"/>
    </w:pPr>
    <w:rPr>
      <w:rFonts w:eastAsia="Arial Unicode MS"/>
      <w:b/>
      <w:kern w:val="1"/>
      <w:sz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A4242"/>
    <w:pPr>
      <w:keepNext/>
      <w:widowControl w:val="0"/>
      <w:shd w:val="clear" w:color="auto" w:fill="FFFFFF"/>
      <w:tabs>
        <w:tab w:val="num" w:pos="0"/>
      </w:tabs>
      <w:ind w:right="140"/>
      <w:outlineLvl w:val="4"/>
    </w:pPr>
    <w:rPr>
      <w:rFonts w:eastAsia="Andale Sans UI" w:cs="Arial"/>
      <w:b/>
      <w:bCs/>
      <w:kern w:val="1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67F5E"/>
    <w:rPr>
      <w:rFonts w:ascii="Comic Sans MS" w:eastAsia="Times New Roman" w:hAnsi="Comic Sans MS" w:cs="Times New Roman"/>
      <w:b/>
      <w:bCs/>
      <w:sz w:val="18"/>
      <w:szCs w:val="20"/>
      <w:lang w:eastAsia="ar-SA"/>
    </w:rPr>
  </w:style>
  <w:style w:type="character" w:styleId="Uwydatnienie">
    <w:name w:val="Emphasis"/>
    <w:qFormat/>
    <w:rsid w:val="00F67F5E"/>
    <w:rPr>
      <w:b/>
      <w:bCs/>
      <w:i w:val="0"/>
      <w:iCs w:val="0"/>
    </w:rPr>
  </w:style>
  <w:style w:type="paragraph" w:styleId="HTML-wstpniesformatowany">
    <w:name w:val="HTML Preformatted"/>
    <w:basedOn w:val="Normalny"/>
    <w:link w:val="HTML-wstpniesformatowanyZnak"/>
    <w:unhideWhenUsed/>
    <w:rsid w:val="00F67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67F5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F67F5E"/>
    <w:pPr>
      <w:suppressAutoHyphens w:val="0"/>
    </w:pPr>
    <w:rPr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7F5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nhideWhenUsed/>
    <w:rsid w:val="00F67F5E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67F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67F5E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Lista-kontynuacja23">
    <w:name w:val="Lista - kontynuacja 23"/>
    <w:basedOn w:val="Normalny"/>
    <w:rsid w:val="00F67F5E"/>
    <w:pPr>
      <w:spacing w:after="120"/>
      <w:ind w:left="566"/>
    </w:pPr>
  </w:style>
  <w:style w:type="paragraph" w:styleId="Nagwek">
    <w:name w:val="header"/>
    <w:basedOn w:val="Normalny"/>
    <w:link w:val="NagwekZnak"/>
    <w:uiPriority w:val="99"/>
    <w:unhideWhenUsed/>
    <w:rsid w:val="00F67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F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F5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5E"/>
    <w:rPr>
      <w:rFonts w:ascii="Tahoma" w:eastAsia="Times New Roman" w:hAnsi="Tahoma" w:cs="Times New Roman"/>
      <w:sz w:val="16"/>
      <w:szCs w:val="16"/>
      <w:lang w:eastAsia="ar-SA"/>
    </w:rPr>
  </w:style>
  <w:style w:type="paragraph" w:styleId="Akapitzlist">
    <w:name w:val="List Paragraph"/>
    <w:aliases w:val="Numerowanie,List Paragraph,Akapit z listą BS,Kolorowa lista — akcent 11,Normal,sw tekst,Akapit z listą3,Akapit z listą31,Wypunktowanie,Normal2,L1,ISCG Numerowanie,lp1,2 heading,A_wyliczenie,K-P_odwolanie,Akapit z listą5,maz_wyliczenie"/>
    <w:basedOn w:val="Normalny"/>
    <w:link w:val="AkapitzlistZnak"/>
    <w:qFormat/>
    <w:rsid w:val="00F67F5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Normal Znak,sw tekst Znak,Akapit z listą3 Znak,Akapit z listą31 Znak,Wypunktowanie Znak,Normal2 Znak,L1 Znak,ISCG Numerowanie Znak,lp1 Znak"/>
    <w:link w:val="Akapitzlist"/>
    <w:qFormat/>
    <w:locked/>
    <w:rsid w:val="00F67F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F67F5E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67F5E"/>
    <w:pPr>
      <w:suppressLineNumbers/>
    </w:pPr>
  </w:style>
  <w:style w:type="paragraph" w:styleId="Tekstpodstawowy">
    <w:name w:val="Body Text"/>
    <w:basedOn w:val="Normalny"/>
    <w:link w:val="TekstpodstawowyZnak"/>
    <w:rsid w:val="00F67F5E"/>
    <w:pPr>
      <w:overflowPunct w:val="0"/>
      <w:autoSpaceDE w:val="0"/>
      <w:spacing w:line="288" w:lineRule="auto"/>
    </w:pPr>
    <w:rPr>
      <w:rFonts w:ascii="Century Gothic" w:hAnsi="Century Gothic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67F5E"/>
    <w:rPr>
      <w:rFonts w:ascii="Century Gothic" w:eastAsia="Times New Roman" w:hAnsi="Century Gothic" w:cs="Times New Roman"/>
      <w:sz w:val="20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A354E6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376860"/>
  </w:style>
  <w:style w:type="character" w:styleId="Odwoaniedokomentarza">
    <w:name w:val="annotation reference"/>
    <w:basedOn w:val="Domylnaczcionkaakapitu"/>
    <w:uiPriority w:val="99"/>
    <w:semiHidden/>
    <w:unhideWhenUsed/>
    <w:rsid w:val="00685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2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2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2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71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ED1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Tabela-Siatka">
    <w:name w:val="Table Grid"/>
    <w:basedOn w:val="Standardowy"/>
    <w:uiPriority w:val="59"/>
    <w:rsid w:val="0059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2A4242"/>
    <w:rPr>
      <w:rFonts w:ascii="Times New Roman" w:eastAsia="Arial Unicode MS" w:hAnsi="Times New Roman" w:cs="Times New Roman"/>
      <w:b/>
      <w:kern w:val="1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A4242"/>
    <w:rPr>
      <w:rFonts w:ascii="Times New Roman" w:eastAsia="Andale Sans UI" w:hAnsi="Times New Roman" w:cs="Arial"/>
      <w:b/>
      <w:bCs/>
      <w:kern w:val="1"/>
      <w:sz w:val="20"/>
      <w:szCs w:val="24"/>
      <w:shd w:val="clear" w:color="auto" w:fill="FFFFFF"/>
      <w:lang w:eastAsia="pl-PL"/>
    </w:rPr>
  </w:style>
  <w:style w:type="paragraph" w:customStyle="1" w:styleId="AbsatzTableFormat">
    <w:name w:val="AbsatzTableFormat"/>
    <w:basedOn w:val="Normalny"/>
    <w:rsid w:val="002A4242"/>
    <w:pPr>
      <w:spacing w:line="360" w:lineRule="auto"/>
    </w:pPr>
    <w:rPr>
      <w:rFonts w:eastAsia="MS Mincho"/>
      <w:bCs/>
      <w:sz w:val="20"/>
      <w:szCs w:val="16"/>
    </w:rPr>
  </w:style>
  <w:style w:type="paragraph" w:styleId="Bezodstpw">
    <w:name w:val="No Spacing"/>
    <w:uiPriority w:val="1"/>
    <w:qFormat/>
    <w:rsid w:val="002A42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gwp6ad392b6font">
    <w:name w:val="gwp6ad392b6_font"/>
    <w:basedOn w:val="Domylnaczcionkaakapitu"/>
    <w:rsid w:val="002A4242"/>
  </w:style>
  <w:style w:type="paragraph" w:styleId="NormalnyWeb">
    <w:name w:val="Normal (Web)"/>
    <w:basedOn w:val="Normalny"/>
    <w:uiPriority w:val="99"/>
    <w:unhideWhenUsed/>
    <w:rsid w:val="002A424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2A424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C81B-9D1B-4542-B86E-731831EF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23</Pages>
  <Words>6971</Words>
  <Characters>41830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Kaczara</dc:creator>
  <cp:lastModifiedBy>Anna Matys</cp:lastModifiedBy>
  <cp:revision>119</cp:revision>
  <dcterms:created xsi:type="dcterms:W3CDTF">2022-07-18T05:51:00Z</dcterms:created>
  <dcterms:modified xsi:type="dcterms:W3CDTF">2022-09-13T08:39:00Z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2022-06-21T09:54:40Z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038b69a6-c741-4d89-9e3e-a78ef6c944b1</vt:lpwstr>
  </property>
  <property fmtid="{D5CDD505-2E9C-101B-9397-08002B2CF9AE}" pid="8" name="MSIP_Label_ff6dbec8-95a8-4638-9f5f-bd076536645c_ContentBits">
    <vt:lpwstr>0</vt:lpwstr>
  </property>
</Properties>
</file>