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7D" w:rsidRDefault="005C627D" w:rsidP="005C62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</w:t>
      </w:r>
      <w:r w:rsidR="000C541D">
        <w:t>3</w:t>
      </w:r>
      <w:r w:rsidR="00A135EA">
        <w:t xml:space="preserve"> do S</w:t>
      </w:r>
      <w:r>
        <w:t>WZ</w:t>
      </w:r>
    </w:p>
    <w:p w:rsidR="005C627D" w:rsidRDefault="00F10E61" w:rsidP="005C62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ZP/OA/12/2</w:t>
      </w:r>
      <w:r w:rsidR="00A135EA">
        <w:t>1</w:t>
      </w:r>
    </w:p>
    <w:p w:rsidR="005C627D" w:rsidRDefault="005C627D" w:rsidP="005C627D">
      <w:pPr>
        <w:spacing w:after="0"/>
      </w:pPr>
    </w:p>
    <w:p w:rsidR="005C627D" w:rsidRPr="005C627D" w:rsidRDefault="005C627D" w:rsidP="005C627D">
      <w:pPr>
        <w:spacing w:after="0"/>
        <w:jc w:val="center"/>
        <w:rPr>
          <w:b/>
        </w:rPr>
      </w:pPr>
      <w:r w:rsidRPr="005C627D">
        <w:rPr>
          <w:b/>
        </w:rPr>
        <w:t>ZESTAWIENIE PARAMETRÓW TECHNICZNYCH I UŻYTKOWYCH ANALIZATORA IMMUNOLOGICZNEGO I WARUNKI PODLEGAJĄCE OCENIE</w:t>
      </w:r>
    </w:p>
    <w:p w:rsidR="005C627D" w:rsidRDefault="005C627D" w:rsidP="005C627D">
      <w:pPr>
        <w:spacing w:after="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304"/>
        <w:gridCol w:w="1701"/>
        <w:gridCol w:w="2098"/>
      </w:tblGrid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Parametry wymagane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Warunek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Parametry oferowane przez Wykonawcę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 xml:space="preserve">Punktacja </w:t>
            </w: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Producent/kraj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Model/Typ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Podać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Wieloparametrowy, automatyczny analizator do badań diagnostycznych metodą immunochemiczną, </w:t>
            </w:r>
            <w:r w:rsidRPr="00C002A1">
              <w:rPr>
                <w:bCs/>
              </w:rPr>
              <w:t>rok produkcji – nie starszy niż 2008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</w:rPr>
            </w:pPr>
          </w:p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</w:rPr>
            </w:pPr>
            <w:r w:rsidRPr="00C002A1">
              <w:rPr>
                <w:bCs/>
              </w:rPr>
              <w:t>Tak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rPr>
                <w:bCs/>
              </w:rPr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Analizator wyposażony w UPS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 xml:space="preserve">Tak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automatycznej analizy na jednym analizatorze badań hormonów tarczycy, płciowych, markerów nowotworowych, markerów sercowych, chorób zakaźnych, markerów wątrobowych, HIV oraz D-dimerów, przeciwciał przeciwtarczycowych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</w:rPr>
            </w:pPr>
            <w:r w:rsidRPr="00C002A1">
              <w:rPr>
                <w:bCs/>
              </w:rPr>
              <w:t>Zakres liniowości testu D-dimer – do 10 000 ng/ml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  <w:i/>
              </w:rPr>
              <w:t>10 pkt za największy  zakres liniowości, pozostałe proporcjonalnie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pojedynczych badań bez zwiększania kosztów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w tym samym czasie kilku parametrów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  <w:i/>
              </w:rPr>
            </w:pPr>
            <w:r w:rsidRPr="00C002A1">
              <w:rPr>
                <w:bCs/>
                <w:i/>
              </w:rPr>
              <w:t xml:space="preserve">15 parametrów </w:t>
            </w:r>
          </w:p>
          <w:p w:rsidR="005C627D" w:rsidRPr="00C002A1" w:rsidRDefault="005C627D" w:rsidP="00C002A1">
            <w:pPr>
              <w:spacing w:after="0" w:line="240" w:lineRule="auto"/>
              <w:rPr>
                <w:bCs/>
                <w:i/>
              </w:rPr>
            </w:pPr>
            <w:r w:rsidRPr="00C002A1">
              <w:rPr>
                <w:bCs/>
                <w:i/>
              </w:rPr>
              <w:t xml:space="preserve"> i powyżej – 10 pkt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  <w:i/>
              </w:rPr>
              <w:t>pozostałe proporcjonalnie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</w:rPr>
            </w:pPr>
            <w:r w:rsidRPr="00C002A1">
              <w:rPr>
                <w:bCs/>
              </w:rPr>
              <w:t>W zestawie odczynnikowym załączone kalibratory i kontrole jakości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Stała gotowość aparatu do pracy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Zminimalizowanie czynności przy wykonywaniu testów. Całkowicie automatyczny proces analizy.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Odczynniki w postaci gotowej do użycia. Zamawiający dopuszcza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w przypadku kilku z odczynników (kalibratory i kontrole zawarte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lastRenderedPageBreak/>
              <w:t xml:space="preserve">w opakowaniu testów) postać liofilizowaną do rozpuszczenia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t>w wodzie destylowanej lub odpowiednim, dołączonym do zestawu rozpuszczalniku.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lastRenderedPageBreak/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Krzywa kalibracyjna opracowana przez producenta w formie kodu paskowego, wprowadzana do pamięci komputera automatycznie.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Automatyczne testowanie odczynników i systemu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Średni czas wykonania oznaczeń 15-60 min.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Wykluczone ryzyko kontaminacji –aparat bezigłowy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  <w:i/>
              </w:rPr>
            </w:pPr>
            <w:r w:rsidRPr="00C002A1">
              <w:rPr>
                <w:bCs/>
                <w:i/>
              </w:rPr>
              <w:t>tak – 10 pkt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rPr>
                <w:bCs/>
                <w:i/>
              </w:rPr>
              <w:t>nie – 0 pkt.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Instrukcja obsługi aparatu w języku polskim.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Termin przydatności odczynnika na pokładzie analizatora. Zamawiający odstępuje od wymogu aby na ulotkach znajdował się termin przydatności odczynnika.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Czułość testu HBsAg wystarczająca do wykrywania mutagenów oraz antygenów w okresie okienka serologicznego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Możliwość włączenia analizatora do LIS – komunikacja dwukierunkowa koszt włączenia po stronie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Należy dołączyć do oferty oświadczenie, że analizator oraz odczynniki posiadają deklaracje zgodności i Wykonawca  zobowiązuje się je dostarczyć na każde żądanie Zamawiającego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Instalacja, uruchomienie analizatora oraz szkolenie personelu laboratorium w zakresie obsługi oraz interpretacji wyników na koszt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5C627D" w:rsidRPr="00C002A1" w:rsidTr="00C002A1">
        <w:tc>
          <w:tcPr>
            <w:tcW w:w="9355" w:type="dxa"/>
            <w:gridSpan w:val="5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  <w:rPr>
                <w:b/>
              </w:rPr>
            </w:pPr>
            <w:r w:rsidRPr="00C002A1">
              <w:rPr>
                <w:b/>
              </w:rPr>
              <w:t>WARUNKI SERWISU I GWARANCJI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Autoryzowany serwis gwarancyjny na terenie Polski – podać nazwę firmy, adres i dane kontaktowe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0C541D" w:rsidRPr="00C002A1" w:rsidRDefault="000C541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Czas przystąpienia do naprawy maks. 48 h (w dni robocze).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0C541D" w:rsidRPr="00C002A1" w:rsidRDefault="000C541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 xml:space="preserve">Zabezpieczenie użytkownika poprzez dostarczenie aparatu zastępczego na czas naprawy trwającej powyżej 7 dni roboczych 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Bezpłatny serwis gwarancyjny w okresie trwania umowy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Koszty napraw, konserwacji, przeglądów, itp., analizatora w okresie dzierżawy  wraz z kosztami dojazdów, pokrywa w całości Wykonawca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</w:tbl>
    <w:p w:rsidR="005C627D" w:rsidRDefault="005C627D" w:rsidP="005C627D">
      <w:pPr>
        <w:spacing w:after="0"/>
      </w:pPr>
    </w:p>
    <w:p w:rsidR="000C541D" w:rsidRPr="000C541D" w:rsidRDefault="000C541D" w:rsidP="005C627D">
      <w:pPr>
        <w:spacing w:after="0"/>
        <w:rPr>
          <w:b/>
        </w:rPr>
      </w:pPr>
      <w:r w:rsidRPr="000C541D">
        <w:rPr>
          <w:b/>
        </w:rPr>
        <w:t>UWAGA!</w:t>
      </w:r>
    </w:p>
    <w:p w:rsidR="000C541D" w:rsidRDefault="000C541D" w:rsidP="000C541D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Wartości określone w wymaganiach jako „TAK” należy traktować jako niezbędne minimum, którego niespełnienie będzie skutkowało odrzuceniem oferty. </w:t>
      </w:r>
    </w:p>
    <w:p w:rsidR="000C541D" w:rsidRDefault="000C541D" w:rsidP="000C541D">
      <w:pPr>
        <w:pStyle w:val="Akapitzlist"/>
        <w:numPr>
          <w:ilvl w:val="0"/>
          <w:numId w:val="1"/>
        </w:numPr>
        <w:spacing w:after="0"/>
        <w:jc w:val="both"/>
      </w:pPr>
      <w:r>
        <w:t>Kolumna „Parametry oferowane przez Wykonawcę” musi być w całości wypełniona. 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0C541D" w:rsidRDefault="000C541D" w:rsidP="000C541D">
      <w:pPr>
        <w:spacing w:after="0"/>
      </w:pPr>
    </w:p>
    <w:p w:rsidR="000C541D" w:rsidRDefault="000C541D" w:rsidP="000C541D">
      <w:pPr>
        <w:spacing w:after="0"/>
      </w:pPr>
    </w:p>
    <w:p w:rsidR="00A135EA" w:rsidRPr="00A135EA" w:rsidRDefault="00A135EA" w:rsidP="00A135EA">
      <w:pPr>
        <w:spacing w:after="0" w:line="276" w:lineRule="auto"/>
        <w:jc w:val="both"/>
        <w:rPr>
          <w:b/>
          <w:i/>
          <w:color w:val="FF0000"/>
        </w:rPr>
      </w:pPr>
      <w:r w:rsidRPr="00A135EA">
        <w:rPr>
          <w:b/>
          <w:i/>
          <w:color w:val="FF0000"/>
        </w:rPr>
        <w:t>UWAGA!</w:t>
      </w:r>
    </w:p>
    <w:p w:rsidR="00A135EA" w:rsidRPr="00A135EA" w:rsidRDefault="00A135EA" w:rsidP="00A135EA">
      <w:pPr>
        <w:numPr>
          <w:ilvl w:val="0"/>
          <w:numId w:val="2"/>
        </w:numPr>
        <w:spacing w:after="0" w:line="276" w:lineRule="auto"/>
        <w:contextualSpacing/>
        <w:jc w:val="both"/>
        <w:rPr>
          <w:i/>
        </w:rPr>
      </w:pPr>
      <w:r w:rsidRPr="00A13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A135EA">
        <w:rPr>
          <w:i/>
        </w:rPr>
        <w:t>.</w:t>
      </w:r>
    </w:p>
    <w:p w:rsidR="00A135EA" w:rsidRPr="00A135EA" w:rsidRDefault="00A135EA" w:rsidP="00A135EA">
      <w:pPr>
        <w:numPr>
          <w:ilvl w:val="0"/>
          <w:numId w:val="2"/>
        </w:numPr>
        <w:spacing w:after="0" w:line="276" w:lineRule="auto"/>
        <w:contextualSpacing/>
        <w:jc w:val="both"/>
        <w:rPr>
          <w:i/>
        </w:rPr>
      </w:pPr>
      <w:r w:rsidRPr="00A135EA">
        <w:rPr>
          <w:b/>
          <w:i/>
          <w:color w:val="FF0000"/>
        </w:rPr>
        <w:t>Podpis własnoręczny nie jest tożsamy z elektronicznym podpisem osobistym.</w:t>
      </w:r>
    </w:p>
    <w:p w:rsidR="00A135EA" w:rsidRPr="00A135EA" w:rsidRDefault="00A135EA" w:rsidP="00A135EA">
      <w:pPr>
        <w:spacing w:after="0" w:line="276" w:lineRule="auto"/>
        <w:jc w:val="both"/>
        <w:rPr>
          <w:i/>
        </w:rPr>
      </w:pPr>
    </w:p>
    <w:p w:rsidR="005C627D" w:rsidRPr="000C541D" w:rsidRDefault="005C627D" w:rsidP="000C541D">
      <w:pPr>
        <w:spacing w:after="0"/>
        <w:rPr>
          <w:sz w:val="18"/>
          <w:szCs w:val="18"/>
        </w:rPr>
      </w:pPr>
      <w:bookmarkStart w:id="0" w:name="_GoBack"/>
      <w:bookmarkEnd w:id="0"/>
    </w:p>
    <w:sectPr w:rsidR="005C627D" w:rsidRPr="000C541D" w:rsidSect="00C12D42">
      <w:headerReference w:type="default" r:id="rId7"/>
      <w:foot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2A" w:rsidRDefault="0050192A" w:rsidP="00D14FD8">
      <w:pPr>
        <w:spacing w:after="0" w:line="240" w:lineRule="auto"/>
      </w:pPr>
      <w:r>
        <w:separator/>
      </w:r>
    </w:p>
  </w:endnote>
  <w:endnote w:type="continuationSeparator" w:id="0">
    <w:p w:rsidR="0050192A" w:rsidRDefault="0050192A" w:rsidP="00D1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D8" w:rsidRDefault="00D14F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135EA">
      <w:rPr>
        <w:noProof/>
      </w:rPr>
      <w:t>3</w:t>
    </w:r>
    <w:r>
      <w:fldChar w:fldCharType="end"/>
    </w:r>
  </w:p>
  <w:p w:rsidR="00D14FD8" w:rsidRDefault="00D14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2A" w:rsidRDefault="0050192A" w:rsidP="00D14FD8">
      <w:pPr>
        <w:spacing w:after="0" w:line="240" w:lineRule="auto"/>
      </w:pPr>
      <w:r>
        <w:separator/>
      </w:r>
    </w:p>
  </w:footnote>
  <w:footnote w:type="continuationSeparator" w:id="0">
    <w:p w:rsidR="0050192A" w:rsidRDefault="0050192A" w:rsidP="00D1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2" w:rsidRDefault="00A135EA">
    <w:pPr>
      <w:pStyle w:val="Nagwek"/>
    </w:pPr>
    <w:r w:rsidRPr="002A5449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D"/>
    <w:rsid w:val="000C541D"/>
    <w:rsid w:val="0050192A"/>
    <w:rsid w:val="005C627D"/>
    <w:rsid w:val="006F39F2"/>
    <w:rsid w:val="00A135EA"/>
    <w:rsid w:val="00C002A1"/>
    <w:rsid w:val="00C12D42"/>
    <w:rsid w:val="00D14FD8"/>
    <w:rsid w:val="00DA6030"/>
    <w:rsid w:val="00F10E61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BEF11"/>
  <w15:chartTrackingRefBased/>
  <w15:docId w15:val="{3C79BA93-C2D1-43EC-B76C-5B5764E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4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F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2021-09-14T11:04:00Z</dcterms:created>
  <dcterms:modified xsi:type="dcterms:W3CDTF">2021-09-14T11:04:00Z</dcterms:modified>
</cp:coreProperties>
</file>