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7A4F2A" w:rsidP="00BA1890">
      <w:pPr>
        <w:jc w:val="center"/>
        <w:rPr>
          <w:rFonts w:ascii="Tahoma" w:hAnsi="Tahoma" w:cs="Tahoma"/>
          <w:b/>
          <w:color w:val="0070C0"/>
        </w:rPr>
      </w:pPr>
      <w:r>
        <w:rPr>
          <w:rFonts w:ascii="Tahoma" w:hAnsi="Tahoma" w:cs="Tahoma"/>
          <w:b/>
          <w:color w:val="0070C0"/>
          <w:sz w:val="24"/>
          <w:szCs w:val="24"/>
        </w:rPr>
        <w:t xml:space="preserve">Dostawa </w:t>
      </w:r>
      <w:r w:rsidR="00C94C1D">
        <w:rPr>
          <w:rFonts w:ascii="Tahoma" w:hAnsi="Tahoma" w:cs="Tahoma"/>
          <w:b/>
          <w:color w:val="0070C0"/>
          <w:sz w:val="24"/>
          <w:szCs w:val="24"/>
        </w:rPr>
        <w:t>ultrasonografu wraz z instalacją</w:t>
      </w:r>
      <w:r w:rsidR="00983FC0">
        <w:rPr>
          <w:rFonts w:ascii="Tahoma" w:hAnsi="Tahoma" w:cs="Tahoma"/>
          <w:b/>
          <w:color w:val="0070C0"/>
          <w:sz w:val="24"/>
          <w:szCs w:val="24"/>
        </w:rPr>
        <w:t>,</w:t>
      </w:r>
      <w:r w:rsidR="00C94C1D">
        <w:rPr>
          <w:rFonts w:ascii="Tahoma" w:hAnsi="Tahoma" w:cs="Tahoma"/>
          <w:b/>
          <w:color w:val="0070C0"/>
          <w:sz w:val="24"/>
          <w:szCs w:val="24"/>
        </w:rPr>
        <w:t xml:space="preserve"> szkoleniem pracowników </w:t>
      </w:r>
      <w:r w:rsidR="00983FC0">
        <w:rPr>
          <w:rFonts w:ascii="Tahoma" w:hAnsi="Tahoma" w:cs="Tahoma"/>
          <w:b/>
          <w:color w:val="0070C0"/>
          <w:sz w:val="24"/>
          <w:szCs w:val="24"/>
        </w:rPr>
        <w:t xml:space="preserve">i finansowaniem </w:t>
      </w:r>
      <w:r w:rsidR="00C94C1D">
        <w:rPr>
          <w:rFonts w:ascii="Tahoma" w:hAnsi="Tahoma" w:cs="Tahoma"/>
          <w:b/>
          <w:color w:val="0070C0"/>
          <w:sz w:val="24"/>
          <w:szCs w:val="24"/>
        </w:rPr>
        <w:t xml:space="preserve">dla Oddziału </w:t>
      </w:r>
      <w:proofErr w:type="spellStart"/>
      <w:r w:rsidR="00C94C1D">
        <w:rPr>
          <w:rFonts w:ascii="Tahoma" w:hAnsi="Tahoma" w:cs="Tahoma"/>
          <w:b/>
          <w:color w:val="0070C0"/>
          <w:sz w:val="24"/>
          <w:szCs w:val="24"/>
        </w:rPr>
        <w:t>Ginekologiczno</w:t>
      </w:r>
      <w:proofErr w:type="spellEnd"/>
      <w:r w:rsidR="00C94C1D">
        <w:rPr>
          <w:rFonts w:ascii="Tahoma" w:hAnsi="Tahoma" w:cs="Tahoma"/>
          <w:b/>
          <w:color w:val="0070C0"/>
          <w:sz w:val="24"/>
          <w:szCs w:val="24"/>
        </w:rPr>
        <w:t xml:space="preserve"> - Położniczego</w:t>
      </w:r>
      <w:r>
        <w:rPr>
          <w:rFonts w:ascii="Tahoma" w:hAnsi="Tahoma" w:cs="Tahoma"/>
          <w:b/>
          <w:color w:val="0070C0"/>
          <w:sz w:val="24"/>
          <w:szCs w:val="24"/>
        </w:rPr>
        <w:t>.</w:t>
      </w:r>
      <w:r w:rsidR="00AA08CA">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983FC0" w:rsidP="00F9433F">
      <w:pPr>
        <w:pStyle w:val="Nagwek1"/>
        <w:ind w:left="4248" w:firstLine="708"/>
        <w:jc w:val="both"/>
        <w:rPr>
          <w:rFonts w:ascii="Tahoma" w:hAnsi="Tahoma"/>
          <w:b/>
          <w:i w:val="0"/>
          <w:sz w:val="18"/>
          <w:szCs w:val="18"/>
        </w:rPr>
      </w:pPr>
      <w:r>
        <w:rPr>
          <w:rFonts w:ascii="Tahoma" w:hAnsi="Tahoma"/>
          <w:b/>
          <w:i w:val="0"/>
          <w:sz w:val="18"/>
          <w:szCs w:val="18"/>
          <w:u w:val="none"/>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C904E1"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C904E1"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C904E1"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00983FC0">
        <w:rPr>
          <w:rFonts w:ascii="Tahoma" w:hAnsi="Tahoma" w:cs="Tahoma"/>
          <w:sz w:val="18"/>
          <w:szCs w:val="18"/>
        </w:rPr>
        <w:t xml:space="preserve"> ze zm.</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371891" w:rsidRPr="00371891">
        <w:rPr>
          <w:rFonts w:ascii="Tahoma" w:hAnsi="Tahoma" w:cs="Tahoma"/>
          <w:b/>
          <w:color w:val="0070C0"/>
          <w:sz w:val="18"/>
          <w:szCs w:val="18"/>
        </w:rPr>
        <w:t xml:space="preserve">Dostawa </w:t>
      </w:r>
      <w:r w:rsidR="00C94C1D">
        <w:rPr>
          <w:rFonts w:ascii="Tahoma" w:hAnsi="Tahoma" w:cs="Tahoma"/>
          <w:b/>
          <w:color w:val="0070C0"/>
          <w:sz w:val="18"/>
          <w:szCs w:val="18"/>
        </w:rPr>
        <w:t>ultrasonografu wraz z instalacją</w:t>
      </w:r>
      <w:r w:rsidR="00983FC0">
        <w:rPr>
          <w:rFonts w:ascii="Tahoma" w:hAnsi="Tahoma" w:cs="Tahoma"/>
          <w:b/>
          <w:color w:val="0070C0"/>
          <w:sz w:val="18"/>
          <w:szCs w:val="18"/>
        </w:rPr>
        <w:t>,</w:t>
      </w:r>
      <w:r w:rsidR="00C94C1D">
        <w:rPr>
          <w:rFonts w:ascii="Tahoma" w:hAnsi="Tahoma" w:cs="Tahoma"/>
          <w:b/>
          <w:color w:val="0070C0"/>
          <w:sz w:val="18"/>
          <w:szCs w:val="18"/>
        </w:rPr>
        <w:t xml:space="preserve"> szkoleniem pracowników</w:t>
      </w:r>
      <w:r w:rsidR="00983FC0">
        <w:rPr>
          <w:rFonts w:ascii="Tahoma" w:hAnsi="Tahoma" w:cs="Tahoma"/>
          <w:b/>
          <w:color w:val="0070C0"/>
          <w:sz w:val="18"/>
          <w:szCs w:val="18"/>
        </w:rPr>
        <w:t xml:space="preserve"> i finansowaniem</w:t>
      </w:r>
      <w:r w:rsidR="00C94C1D">
        <w:rPr>
          <w:rFonts w:ascii="Tahoma" w:hAnsi="Tahoma" w:cs="Tahoma"/>
          <w:b/>
          <w:color w:val="0070C0"/>
          <w:sz w:val="18"/>
          <w:szCs w:val="18"/>
        </w:rPr>
        <w:t xml:space="preserve"> dla Oddziału </w:t>
      </w:r>
      <w:proofErr w:type="spellStart"/>
      <w:r w:rsidR="00C94C1D">
        <w:rPr>
          <w:rFonts w:ascii="Tahoma" w:hAnsi="Tahoma" w:cs="Tahoma"/>
          <w:b/>
          <w:color w:val="0070C0"/>
          <w:sz w:val="18"/>
          <w:szCs w:val="18"/>
        </w:rPr>
        <w:t>Ginekologiczno</w:t>
      </w:r>
      <w:proofErr w:type="spellEnd"/>
      <w:r w:rsidR="00C94C1D">
        <w:rPr>
          <w:rFonts w:ascii="Tahoma" w:hAnsi="Tahoma" w:cs="Tahoma"/>
          <w:b/>
          <w:color w:val="0070C0"/>
          <w:sz w:val="18"/>
          <w:szCs w:val="18"/>
        </w:rPr>
        <w:t xml:space="preserve"> - Położniczego</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Default="00132A5B" w:rsidP="00D51DEA">
      <w:pPr>
        <w:autoSpaceDE w:val="0"/>
        <w:autoSpaceDN w:val="0"/>
        <w:adjustRightInd w:val="0"/>
        <w:rPr>
          <w:rFonts w:ascii="Tahoma" w:hAnsi="Tahoma" w:cs="Tahoma"/>
          <w:b/>
          <w:bCs/>
          <w:sz w:val="18"/>
          <w:szCs w:val="18"/>
        </w:rPr>
      </w:pPr>
      <w:r w:rsidRPr="00C94C1D">
        <w:rPr>
          <w:rFonts w:ascii="Tahoma" w:hAnsi="Tahoma"/>
          <w:b/>
          <w:bCs/>
          <w:sz w:val="18"/>
          <w:szCs w:val="18"/>
        </w:rPr>
        <w:t>3.2. Kod CPV:</w:t>
      </w:r>
      <w:r w:rsidR="00D51DEA" w:rsidRPr="00C94C1D">
        <w:rPr>
          <w:rFonts w:ascii="Tahoma" w:hAnsi="Tahoma"/>
          <w:b/>
          <w:bCs/>
          <w:sz w:val="18"/>
          <w:szCs w:val="18"/>
        </w:rPr>
        <w:tab/>
      </w:r>
      <w:r w:rsidR="00871A16" w:rsidRPr="00C94C1D">
        <w:rPr>
          <w:rFonts w:ascii="Tahoma" w:hAnsi="Tahoma"/>
          <w:b/>
          <w:bCs/>
          <w:sz w:val="18"/>
          <w:szCs w:val="18"/>
        </w:rPr>
        <w:t>33.</w:t>
      </w:r>
      <w:r w:rsidR="00C94C1D" w:rsidRPr="00C94C1D">
        <w:rPr>
          <w:rFonts w:ascii="Tahoma" w:hAnsi="Tahoma"/>
          <w:b/>
          <w:bCs/>
          <w:sz w:val="18"/>
          <w:szCs w:val="18"/>
        </w:rPr>
        <w:t>11</w:t>
      </w:r>
      <w:r w:rsidR="00371891" w:rsidRPr="00C94C1D">
        <w:rPr>
          <w:rFonts w:ascii="Tahoma" w:hAnsi="Tahoma"/>
          <w:b/>
          <w:bCs/>
          <w:sz w:val="18"/>
          <w:szCs w:val="18"/>
        </w:rPr>
        <w:t>.</w:t>
      </w:r>
      <w:r w:rsidR="00C94C1D" w:rsidRPr="00C94C1D">
        <w:rPr>
          <w:rFonts w:ascii="Tahoma" w:hAnsi="Tahoma"/>
          <w:b/>
          <w:bCs/>
          <w:sz w:val="18"/>
          <w:szCs w:val="18"/>
        </w:rPr>
        <w:t>20</w:t>
      </w:r>
      <w:r w:rsidR="00371891" w:rsidRPr="00C94C1D">
        <w:rPr>
          <w:rFonts w:ascii="Tahoma" w:hAnsi="Tahoma"/>
          <w:b/>
          <w:bCs/>
          <w:sz w:val="18"/>
          <w:szCs w:val="18"/>
        </w:rPr>
        <w:t>.00-</w:t>
      </w:r>
      <w:r w:rsidR="00C94C1D" w:rsidRPr="00C94C1D">
        <w:rPr>
          <w:rFonts w:ascii="Tahoma" w:hAnsi="Tahoma"/>
          <w:b/>
          <w:bCs/>
          <w:sz w:val="18"/>
          <w:szCs w:val="18"/>
        </w:rPr>
        <w:t>8</w:t>
      </w:r>
      <w:r w:rsidR="00871A16" w:rsidRPr="00C94C1D">
        <w:rPr>
          <w:rFonts w:ascii="Tahoma" w:hAnsi="Tahoma"/>
          <w:b/>
          <w:bCs/>
          <w:sz w:val="18"/>
          <w:szCs w:val="18"/>
        </w:rPr>
        <w:t xml:space="preserve">  </w:t>
      </w:r>
      <w:r w:rsidR="00C94C1D" w:rsidRPr="00C94C1D">
        <w:rPr>
          <w:rFonts w:ascii="Tahoma" w:hAnsi="Tahoma" w:cs="Tahoma"/>
          <w:b/>
          <w:bCs/>
          <w:sz w:val="18"/>
          <w:szCs w:val="18"/>
        </w:rPr>
        <w:t>Obrazujący pogłosowy, ultradźwiękowy i dopplerowski</w:t>
      </w:r>
    </w:p>
    <w:p w:rsidR="00BC1593" w:rsidRDefault="00BC1593" w:rsidP="00D51DEA">
      <w:pPr>
        <w:autoSpaceDE w:val="0"/>
        <w:autoSpaceDN w:val="0"/>
        <w:adjustRightInd w:val="0"/>
        <w:rPr>
          <w:rFonts w:ascii="Tahoma" w:hAnsi="Tahoma" w:cs="Tahoma"/>
          <w:b/>
          <w:bCs/>
          <w:sz w:val="18"/>
          <w:szCs w:val="18"/>
        </w:rPr>
      </w:pPr>
    </w:p>
    <w:p w:rsidR="00BC1593" w:rsidRPr="00C94C1D" w:rsidRDefault="00BC1593" w:rsidP="00247AAD">
      <w:pPr>
        <w:autoSpaceDE w:val="0"/>
        <w:autoSpaceDN w:val="0"/>
        <w:adjustRightInd w:val="0"/>
        <w:ind w:left="426" w:hanging="426"/>
        <w:jc w:val="both"/>
        <w:rPr>
          <w:rFonts w:ascii="Tahoma" w:hAnsi="Tahoma"/>
          <w:b/>
          <w:bCs/>
          <w:sz w:val="18"/>
          <w:szCs w:val="18"/>
        </w:rPr>
      </w:pPr>
      <w:r>
        <w:rPr>
          <w:rFonts w:ascii="Tahoma" w:hAnsi="Tahoma" w:cs="Tahoma"/>
          <w:b/>
          <w:bCs/>
          <w:sz w:val="18"/>
          <w:szCs w:val="18"/>
        </w:rPr>
        <w:t xml:space="preserve">3.3. </w:t>
      </w:r>
      <w:bookmarkStart w:id="0" w:name="_Hlk45695322"/>
      <w:r w:rsidRPr="00247AAD">
        <w:rPr>
          <w:rFonts w:ascii="Tahoma" w:hAnsi="Tahoma" w:cs="Tahoma"/>
          <w:sz w:val="18"/>
          <w:szCs w:val="18"/>
        </w:rPr>
        <w:t xml:space="preserve">Zapłata ceny dokonana zostanie </w:t>
      </w:r>
      <w:bookmarkEnd w:id="0"/>
      <w:r w:rsidR="00247AAD" w:rsidRPr="00247AAD">
        <w:rPr>
          <w:rFonts w:ascii="Tahoma" w:hAnsi="Tahoma" w:cs="Tahoma"/>
          <w:sz w:val="18"/>
          <w:szCs w:val="18"/>
        </w:rPr>
        <w:t>w 60 równych ratach miesięcznych, płatnych do ostatniego dnia każdego miesiąca, począwszy od miesiąca następnego po miesiącu otrzymania prawidłowo wystawionej faktury VAT.</w:t>
      </w:r>
      <w:r>
        <w:rPr>
          <w:rFonts w:ascii="Tahoma" w:hAnsi="Tahoma" w:cs="Tahoma"/>
          <w:color w:val="000000"/>
        </w:rPr>
        <w:t xml:space="preserve"> </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4.2. Dostawa przedmiotu zamówienia bezpośrednio do siedziby: WS-SPZOZ w Zgorzelcu  59-900 Zgorzelec, ul. Lubańska 11-12</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bookmarkStart w:id="1" w:name="_GoBack"/>
      <w:bookmarkEnd w:id="1"/>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lastRenderedPageBreak/>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371891">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lastRenderedPageBreak/>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7A75F9">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w:t>
      </w:r>
      <w:r w:rsidRPr="00CA5B8A">
        <w:rPr>
          <w:rFonts w:ascii="Tahoma" w:hAnsi="Tahoma"/>
          <w:b/>
          <w:sz w:val="18"/>
          <w:szCs w:val="18"/>
        </w:rPr>
        <w:lastRenderedPageBreak/>
        <w:t xml:space="preserve">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371891" w:rsidRPr="00371891" w:rsidRDefault="00371891" w:rsidP="009B1180">
      <w:pPr>
        <w:pStyle w:val="Akapitzlist"/>
        <w:numPr>
          <w:ilvl w:val="3"/>
          <w:numId w:val="42"/>
        </w:numPr>
        <w:spacing w:before="120"/>
        <w:ind w:left="1701" w:hanging="851"/>
        <w:jc w:val="both"/>
        <w:rPr>
          <w:rFonts w:ascii="Tahoma" w:hAnsi="Tahoma" w:cs="Tahoma"/>
          <w:sz w:val="18"/>
          <w:szCs w:val="18"/>
        </w:rPr>
      </w:pPr>
      <w:bookmarkStart w:id="2" w:name="_Hlk19605849"/>
      <w:bookmarkStart w:id="3" w:name="_Hlk36803595"/>
      <w:r w:rsidRPr="00A5060B">
        <w:rPr>
          <w:rFonts w:ascii="Tahoma" w:hAnsi="Tahoma" w:cs="Tahoma"/>
          <w:sz w:val="18"/>
          <w:szCs w:val="18"/>
        </w:rPr>
        <w:t>Oświadczenie Wykonawcy, że oferowany wyrób medyczny spełnia wymogi Ustawy z dnia 20 maja 2010r. o wyrobach medycznych (tj. Dz.U. z 2020r., poz. 186 t.j.)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2"/>
      <w:r>
        <w:rPr>
          <w:rFonts w:ascii="Tahoma" w:hAnsi="Tahoma" w:cs="Tahoma"/>
          <w:sz w:val="18"/>
          <w:szCs w:val="18"/>
        </w:rPr>
        <w:t>.</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bookmarkEnd w:id="3"/>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bookmarkStart w:id="4" w:name="_Hlk36803607"/>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bookmarkEnd w:id="4"/>
    </w:p>
    <w:p w:rsidR="00314435" w:rsidRDefault="00BC63E3" w:rsidP="00314435">
      <w:pPr>
        <w:pStyle w:val="Akapitzlist"/>
        <w:numPr>
          <w:ilvl w:val="3"/>
          <w:numId w:val="42"/>
        </w:numPr>
        <w:spacing w:before="120"/>
        <w:ind w:left="1701" w:hanging="851"/>
        <w:jc w:val="both"/>
        <w:rPr>
          <w:rFonts w:ascii="Tahoma" w:hAnsi="Tahoma" w:cs="Tahoma"/>
          <w:sz w:val="18"/>
          <w:szCs w:val="18"/>
        </w:rPr>
      </w:pPr>
      <w:bookmarkStart w:id="5" w:name="_Hlk36803617"/>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bookmarkEnd w:id="5"/>
      <w:r w:rsidRPr="009B1180">
        <w:rPr>
          <w:rFonts w:ascii="Tahoma" w:hAnsi="Tahoma" w:cs="Tahoma"/>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lastRenderedPageBreak/>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 xml:space="preserve">do reprezentowania ich w postępowaniu o udzielenie niniejszego zamówienia albo reprezentowania w postępowaniu o udzielenie niniejszego </w:t>
      </w:r>
      <w:r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sidR="00983FC0">
        <w:rPr>
          <w:rFonts w:ascii="Tahoma" w:hAnsi="Tahoma" w:cs="Tahoma"/>
          <w:b/>
          <w:color w:val="2F5496"/>
          <w:sz w:val="18"/>
          <w:szCs w:val="18"/>
          <w:highlight w:val="yellow"/>
        </w:rPr>
        <w:t>2</w:t>
      </w:r>
      <w:r w:rsidR="00C94C1D">
        <w:rPr>
          <w:rFonts w:ascii="Tahoma" w:hAnsi="Tahoma" w:cs="Tahoma"/>
          <w:b/>
          <w:color w:val="2F5496"/>
          <w:sz w:val="18"/>
          <w:szCs w:val="18"/>
          <w:highlight w:val="yellow"/>
        </w:rPr>
        <w:t>5</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lastRenderedPageBreak/>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6"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lastRenderedPageBreak/>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lastRenderedPageBreak/>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7"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7"/>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6"/>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lastRenderedPageBreak/>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C94C1D">
        <w:rPr>
          <w:rFonts w:ascii="Tahoma" w:hAnsi="Tahoma" w:cs="Tahoma"/>
          <w:sz w:val="18"/>
          <w:szCs w:val="18"/>
        </w:rPr>
        <w:t>7 600</w:t>
      </w:r>
      <w:r w:rsidR="00C246B1" w:rsidRPr="00C246B1">
        <w:rPr>
          <w:rFonts w:ascii="Tahoma" w:hAnsi="Tahoma" w:cs="Tahoma"/>
          <w:sz w:val="18"/>
          <w:szCs w:val="18"/>
        </w:rPr>
        <w:t>,00</w:t>
      </w:r>
      <w:r w:rsidR="001912FC">
        <w:rPr>
          <w:rFonts w:ascii="Tahoma" w:hAnsi="Tahoma" w:cs="Tahoma"/>
          <w:sz w:val="18"/>
          <w:szCs w:val="18"/>
        </w:rPr>
        <w:t xml:space="preserve"> PLN (słownie: </w:t>
      </w:r>
      <w:r w:rsidR="00C94C1D">
        <w:rPr>
          <w:rFonts w:ascii="Tahoma" w:hAnsi="Tahoma" w:cs="Tahoma"/>
          <w:sz w:val="18"/>
          <w:szCs w:val="18"/>
        </w:rPr>
        <w:t>siedem tysięcy sześć złotych</w:t>
      </w:r>
      <w:r w:rsidRPr="00C246B1">
        <w:rPr>
          <w:rFonts w:ascii="Tahoma" w:hAnsi="Tahoma" w:cs="Tahoma"/>
          <w:sz w:val="18"/>
          <w:szCs w:val="18"/>
        </w:rPr>
        <w:t>).</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proofErr w:type="spellStart"/>
      <w:r w:rsidR="00C94C1D">
        <w:rPr>
          <w:rFonts w:ascii="Tahoma" w:hAnsi="Tahoma" w:cs="Tahoma"/>
          <w:b/>
          <w:sz w:val="18"/>
          <w:szCs w:val="18"/>
        </w:rPr>
        <w:t>USG</w:t>
      </w:r>
      <w:r w:rsidR="00F678CF">
        <w:rPr>
          <w:rFonts w:ascii="Tahoma" w:hAnsi="Tahoma" w:cs="Tahoma"/>
          <w:b/>
          <w:sz w:val="18"/>
          <w:szCs w:val="18"/>
        </w:rPr>
        <w:t>_</w:t>
      </w:r>
      <w:r w:rsidR="00C94C1D">
        <w:rPr>
          <w:rFonts w:ascii="Tahoma" w:hAnsi="Tahoma" w:cs="Tahoma"/>
          <w:b/>
          <w:sz w:val="18"/>
          <w:szCs w:val="18"/>
        </w:rPr>
        <w:t>ginekologiczne</w:t>
      </w:r>
      <w:proofErr w:type="spellEnd"/>
      <w:r w:rsidR="00983FC0">
        <w:rPr>
          <w:rFonts w:ascii="Tahoma" w:hAnsi="Tahoma" w:cs="Tahoma"/>
          <w:b/>
          <w:sz w:val="18"/>
          <w:szCs w:val="18"/>
        </w:rPr>
        <w:t xml:space="preserve"> 2</w:t>
      </w:r>
      <w:r>
        <w:rPr>
          <w:rFonts w:ascii="Tahoma" w:hAnsi="Tahoma" w:cs="Tahoma"/>
          <w:b/>
          <w:sz w:val="18"/>
          <w:szCs w:val="18"/>
        </w:rPr>
        <w:t xml:space="preserve"> – </w:t>
      </w:r>
      <w:r w:rsidR="00983FC0">
        <w:rPr>
          <w:rFonts w:ascii="Tahoma" w:hAnsi="Tahoma" w:cs="Tahoma"/>
          <w:b/>
          <w:sz w:val="18"/>
          <w:szCs w:val="18"/>
        </w:rPr>
        <w:t>2</w:t>
      </w:r>
      <w:r w:rsidR="00C94C1D">
        <w:rPr>
          <w:rFonts w:ascii="Tahoma" w:hAnsi="Tahoma" w:cs="Tahoma"/>
          <w:b/>
          <w:sz w:val="18"/>
          <w:szCs w:val="18"/>
        </w:rPr>
        <w:t>5</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lastRenderedPageBreak/>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 xml:space="preserve">lub elektroniczne poświadczenie zgodności kopii z okazanym dokumentem, dokonane przez notariusza, który opatruje ten dokument </w:t>
      </w:r>
      <w:r w:rsidR="009869E1" w:rsidRPr="00F70AFC">
        <w:rPr>
          <w:rFonts w:ascii="Tahoma" w:hAnsi="Tahoma" w:cs="Tahoma"/>
          <w:sz w:val="18"/>
          <w:szCs w:val="18"/>
        </w:rPr>
        <w:lastRenderedPageBreak/>
        <w:t>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8"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8"/>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9"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9"/>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0"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0"/>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1"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1"/>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2"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2"/>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C246B1">
        <w:rPr>
          <w:rFonts w:ascii="Tahoma" w:hAnsi="Tahoma" w:cs="Tahoma"/>
          <w:b/>
          <w:color w:val="0070C0"/>
          <w:sz w:val="18"/>
          <w:szCs w:val="18"/>
        </w:rPr>
        <w:t>0</w:t>
      </w:r>
      <w:r w:rsidR="00704954">
        <w:rPr>
          <w:rFonts w:ascii="Tahoma" w:hAnsi="Tahoma" w:cs="Tahoma"/>
          <w:b/>
          <w:color w:val="0070C0"/>
          <w:sz w:val="18"/>
          <w:szCs w:val="18"/>
        </w:rPr>
        <w:t>7</w:t>
      </w:r>
      <w:r w:rsidR="00C246B1">
        <w:rPr>
          <w:rFonts w:ascii="Tahoma" w:hAnsi="Tahoma" w:cs="Tahoma"/>
          <w:b/>
          <w:color w:val="0070C0"/>
          <w:sz w:val="18"/>
          <w:szCs w:val="18"/>
        </w:rPr>
        <w:t>-</w:t>
      </w:r>
      <w:r w:rsidR="001912FC">
        <w:rPr>
          <w:rFonts w:ascii="Tahoma" w:hAnsi="Tahoma" w:cs="Tahoma"/>
          <w:b/>
          <w:color w:val="0070C0"/>
          <w:sz w:val="18"/>
          <w:szCs w:val="18"/>
        </w:rPr>
        <w:t>2</w:t>
      </w:r>
      <w:r w:rsidR="00704954">
        <w:rPr>
          <w:rFonts w:ascii="Tahoma" w:hAnsi="Tahoma" w:cs="Tahoma"/>
          <w:b/>
          <w:color w:val="0070C0"/>
          <w:sz w:val="18"/>
          <w:szCs w:val="18"/>
        </w:rPr>
        <w:t>4</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704954">
        <w:rPr>
          <w:rFonts w:ascii="Tahoma" w:hAnsi="Tahoma"/>
          <w:color w:val="0070C0"/>
          <w:sz w:val="18"/>
          <w:u w:val="single"/>
        </w:rPr>
        <w:t>25</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1912FC">
        <w:rPr>
          <w:rFonts w:ascii="Tahoma" w:hAnsi="Tahoma" w:cs="Tahoma"/>
          <w:b/>
          <w:color w:val="0070C0"/>
          <w:sz w:val="18"/>
          <w:szCs w:val="18"/>
        </w:rPr>
        <w:t>2020-0</w:t>
      </w:r>
      <w:r w:rsidR="00704954">
        <w:rPr>
          <w:rFonts w:ascii="Tahoma" w:hAnsi="Tahoma" w:cs="Tahoma"/>
          <w:b/>
          <w:color w:val="0070C0"/>
          <w:sz w:val="18"/>
          <w:szCs w:val="18"/>
        </w:rPr>
        <w:t>7</w:t>
      </w:r>
      <w:r w:rsidR="001912FC">
        <w:rPr>
          <w:rFonts w:ascii="Tahoma" w:hAnsi="Tahoma" w:cs="Tahoma"/>
          <w:b/>
          <w:color w:val="0070C0"/>
          <w:sz w:val="18"/>
          <w:szCs w:val="18"/>
        </w:rPr>
        <w:t>-2</w:t>
      </w:r>
      <w:r w:rsidR="00704954">
        <w:rPr>
          <w:rFonts w:ascii="Tahoma" w:hAnsi="Tahoma" w:cs="Tahoma"/>
          <w:b/>
          <w:color w:val="0070C0"/>
          <w:sz w:val="18"/>
          <w:szCs w:val="18"/>
        </w:rPr>
        <w:t>4</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w:t>
      </w:r>
      <w:r w:rsidRPr="00BE248E">
        <w:rPr>
          <w:rFonts w:ascii="Tahoma" w:eastAsia="Tahoma" w:hAnsi="Tahoma" w:cs="Tahoma"/>
          <w:sz w:val="18"/>
          <w:szCs w:val="18"/>
          <w:lang w:eastAsia="zh-CN"/>
        </w:rPr>
        <w:lastRenderedPageBreak/>
        <w:t xml:space="preserve">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W ramach tego kryterium istnieje możliwość uzyskania max.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13" w:name="_Hlk12346632"/>
      <w:r w:rsidRPr="00BE248E">
        <w:rPr>
          <w:rFonts w:ascii="Tahoma" w:hAnsi="Tahoma" w:cs="Tahoma"/>
          <w:b/>
          <w:sz w:val="18"/>
          <w:szCs w:val="18"/>
        </w:rPr>
        <w:t xml:space="preserve">Termin płatności </w:t>
      </w:r>
      <w:bookmarkEnd w:id="13"/>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14" w:name="_Hlk32398919"/>
      <w:r w:rsidRPr="00BE248E">
        <w:rPr>
          <w:rFonts w:ascii="Tahoma" w:eastAsia="Tahoma" w:hAnsi="Tahoma" w:cs="Tahoma"/>
          <w:sz w:val="18"/>
          <w:szCs w:val="18"/>
          <w:lang w:eastAsia="zh-CN"/>
        </w:rPr>
        <w:t>od podpisania umowy – 0 pkt</w:t>
      </w:r>
      <w:bookmarkEnd w:id="14"/>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lastRenderedPageBreak/>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1912FC" w:rsidRPr="001912FC">
        <w:rPr>
          <w:rFonts w:ascii="Tahoma" w:hAnsi="Tahoma" w:cs="Tahoma"/>
          <w:b/>
          <w:color w:val="0070C0"/>
          <w:sz w:val="18"/>
          <w:szCs w:val="18"/>
        </w:rPr>
        <w:t xml:space="preserve">Dostawa </w:t>
      </w:r>
      <w:r w:rsidR="00C94C1D">
        <w:rPr>
          <w:rFonts w:ascii="Tahoma" w:hAnsi="Tahoma" w:cs="Tahoma"/>
          <w:b/>
          <w:color w:val="0070C0"/>
          <w:sz w:val="18"/>
          <w:szCs w:val="18"/>
        </w:rPr>
        <w:t>ultrasonografu wraz z instalacją</w:t>
      </w:r>
      <w:r w:rsidR="00704954">
        <w:rPr>
          <w:rFonts w:ascii="Tahoma" w:hAnsi="Tahoma" w:cs="Tahoma"/>
          <w:b/>
          <w:color w:val="0070C0"/>
          <w:sz w:val="18"/>
          <w:szCs w:val="18"/>
        </w:rPr>
        <w:t>,</w:t>
      </w:r>
      <w:r w:rsidR="00C94C1D">
        <w:rPr>
          <w:rFonts w:ascii="Tahoma" w:hAnsi="Tahoma" w:cs="Tahoma"/>
          <w:b/>
          <w:color w:val="0070C0"/>
          <w:sz w:val="18"/>
          <w:szCs w:val="18"/>
        </w:rPr>
        <w:t xml:space="preserve"> szkoleniem pracowników </w:t>
      </w:r>
      <w:r w:rsidR="00704954">
        <w:rPr>
          <w:rFonts w:ascii="Tahoma" w:hAnsi="Tahoma" w:cs="Tahoma"/>
          <w:b/>
          <w:color w:val="0070C0"/>
          <w:sz w:val="18"/>
          <w:szCs w:val="18"/>
        </w:rPr>
        <w:t xml:space="preserve">i finansowaniem </w:t>
      </w:r>
      <w:r w:rsidR="00C94C1D">
        <w:rPr>
          <w:rFonts w:ascii="Tahoma" w:hAnsi="Tahoma" w:cs="Tahoma"/>
          <w:b/>
          <w:color w:val="0070C0"/>
          <w:sz w:val="18"/>
          <w:szCs w:val="18"/>
        </w:rPr>
        <w:t xml:space="preserve">dla Oddziału </w:t>
      </w:r>
      <w:proofErr w:type="spellStart"/>
      <w:r w:rsidR="00C94C1D">
        <w:rPr>
          <w:rFonts w:ascii="Tahoma" w:hAnsi="Tahoma" w:cs="Tahoma"/>
          <w:b/>
          <w:color w:val="0070C0"/>
          <w:sz w:val="18"/>
          <w:szCs w:val="18"/>
        </w:rPr>
        <w:t>Ginekologiczno</w:t>
      </w:r>
      <w:proofErr w:type="spellEnd"/>
      <w:r w:rsidR="00C94C1D">
        <w:rPr>
          <w:rFonts w:ascii="Tahoma" w:hAnsi="Tahoma" w:cs="Tahoma"/>
          <w:b/>
          <w:color w:val="0070C0"/>
          <w:sz w:val="18"/>
          <w:szCs w:val="18"/>
        </w:rPr>
        <w:t xml:space="preserve"> - Położniczego </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704954">
        <w:rPr>
          <w:rFonts w:ascii="Tahoma" w:hAnsi="Tahoma" w:cs="Tahoma"/>
          <w:b/>
          <w:bCs/>
          <w:sz w:val="18"/>
          <w:szCs w:val="18"/>
        </w:rPr>
        <w:t>2</w:t>
      </w:r>
      <w:r w:rsidR="00C94C1D">
        <w:rPr>
          <w:rFonts w:ascii="Tahoma" w:hAnsi="Tahoma" w:cs="Tahoma"/>
          <w:b/>
          <w:bCs/>
          <w:sz w:val="18"/>
          <w:szCs w:val="18"/>
        </w:rPr>
        <w:t>5</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AD" w:rsidRDefault="00247AAD">
      <w:r>
        <w:separator/>
      </w:r>
    </w:p>
  </w:endnote>
  <w:endnote w:type="continuationSeparator" w:id="0">
    <w:p w:rsidR="00247AAD" w:rsidRDefault="0024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AD" w:rsidRDefault="00247A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47AAD" w:rsidRDefault="00247A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AD" w:rsidRPr="003B7A9F" w:rsidRDefault="00247AA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15</w:t>
    </w:r>
    <w:r w:rsidRPr="003B7A9F">
      <w:rPr>
        <w:rStyle w:val="Numerstrony"/>
        <w:rFonts w:ascii="Tahoma" w:hAnsi="Tahoma" w:cs="Tahoma"/>
        <w:sz w:val="18"/>
        <w:szCs w:val="18"/>
      </w:rPr>
      <w:fldChar w:fldCharType="end"/>
    </w:r>
  </w:p>
  <w:p w:rsidR="00247AAD" w:rsidRDefault="00247A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AD" w:rsidRDefault="00247AAD">
      <w:r>
        <w:separator/>
      </w:r>
    </w:p>
  </w:footnote>
  <w:footnote w:type="continuationSeparator" w:id="0">
    <w:p w:rsidR="00247AAD" w:rsidRDefault="0024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AD" w:rsidRPr="00CD3493" w:rsidRDefault="00247AAD">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25</w:t>
    </w:r>
    <w:r w:rsidRPr="00CD3493">
      <w:rPr>
        <w:rFonts w:ascii="Tahoma" w:hAnsi="Tahoma" w:cs="Tahoma"/>
        <w:sz w:val="18"/>
        <w:szCs w:val="18"/>
      </w:rPr>
      <w:t>/ZP/20</w:t>
    </w:r>
    <w:r>
      <w:rPr>
        <w:rFonts w:ascii="Tahoma" w:hAnsi="Tahoma" w:cs="Tahoma"/>
        <w:sz w:val="18"/>
        <w:szCs w:val="18"/>
      </w:rPr>
      <w:t>20</w:t>
    </w:r>
  </w:p>
  <w:p w:rsidR="00247AAD" w:rsidRDefault="00247AAD">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4"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6"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7"/>
  </w:num>
  <w:num w:numId="4">
    <w:abstractNumId w:val="26"/>
  </w:num>
  <w:num w:numId="5">
    <w:abstractNumId w:val="13"/>
  </w:num>
  <w:num w:numId="6">
    <w:abstractNumId w:val="0"/>
  </w:num>
  <w:num w:numId="7">
    <w:abstractNumId w:val="30"/>
  </w:num>
  <w:num w:numId="8">
    <w:abstractNumId w:val="22"/>
  </w:num>
  <w:num w:numId="9">
    <w:abstractNumId w:val="24"/>
  </w:num>
  <w:num w:numId="10">
    <w:abstractNumId w:val="17"/>
  </w:num>
  <w:num w:numId="11">
    <w:abstractNumId w:val="9"/>
  </w:num>
  <w:num w:numId="12">
    <w:abstractNumId w:val="3"/>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4"/>
  </w:num>
  <w:num w:numId="19">
    <w:abstractNumId w:val="18"/>
  </w:num>
  <w:num w:numId="20">
    <w:abstractNumId w:val="3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14"/>
  </w:num>
  <w:num w:numId="32">
    <w:abstractNumId w:val="23"/>
  </w:num>
  <w:num w:numId="33">
    <w:abstractNumId w:val="2"/>
  </w:num>
  <w:num w:numId="34">
    <w:abstractNumId w:val="12"/>
  </w:num>
  <w:num w:numId="35">
    <w:abstractNumId w:val="5"/>
  </w:num>
  <w:num w:numId="36">
    <w:abstractNumId w:val="21"/>
  </w:num>
  <w:num w:numId="37">
    <w:abstractNumId w:val="19"/>
  </w:num>
  <w:num w:numId="38">
    <w:abstractNumId w:val="4"/>
  </w:num>
  <w:num w:numId="39">
    <w:abstractNumId w:val="1"/>
  </w:num>
  <w:num w:numId="40">
    <w:abstractNumId w:val="10"/>
  </w:num>
  <w:num w:numId="41">
    <w:abstractNumId w:val="27"/>
  </w:num>
  <w:num w:numId="42">
    <w:abstractNumId w:val="6"/>
  </w:num>
  <w:num w:numId="43">
    <w:abstractNumId w:val="36"/>
  </w:num>
  <w:num w:numId="44">
    <w:abstractNumId w:val="16"/>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8A"/>
    <w:rsid w:val="00131BB5"/>
    <w:rsid w:val="00132A5B"/>
    <w:rsid w:val="00132A99"/>
    <w:rsid w:val="00132EED"/>
    <w:rsid w:val="00133DE2"/>
    <w:rsid w:val="00134127"/>
    <w:rsid w:val="001342E6"/>
    <w:rsid w:val="001351E4"/>
    <w:rsid w:val="001354DC"/>
    <w:rsid w:val="001377D0"/>
    <w:rsid w:val="001377F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47AAD"/>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415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04954"/>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3FC0"/>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1593"/>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7B8305AA-01B3-4DC2-8E89-35B5190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33E4-3BDF-47F1-B76B-4E2F640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19</Pages>
  <Words>11292</Words>
  <Characters>67755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78890</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84</cp:revision>
  <cp:lastPrinted>2020-07-15T07:05:00Z</cp:lastPrinted>
  <dcterms:created xsi:type="dcterms:W3CDTF">2019-04-04T08:21:00Z</dcterms:created>
  <dcterms:modified xsi:type="dcterms:W3CDTF">2020-07-15T07:17:00Z</dcterms:modified>
</cp:coreProperties>
</file>