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66" w:rsidRPr="00B254A0" w:rsidRDefault="00B83F66" w:rsidP="00CC1C42">
      <w:pPr>
        <w:jc w:val="center"/>
        <w:rPr>
          <w:rFonts w:ascii="Calibri Light" w:eastAsiaTheme="majorEastAsia" w:hAnsi="Calibri Light" w:cs="Calibri Light"/>
          <w:bCs/>
          <w:sz w:val="22"/>
          <w:szCs w:val="22"/>
          <w:lang w:eastAsia="en-US"/>
        </w:rPr>
      </w:pPr>
      <w:bookmarkStart w:id="0" w:name="_GoBack"/>
      <w:bookmarkEnd w:id="0"/>
    </w:p>
    <w:p w:rsidR="00330FFC" w:rsidRPr="00B254A0" w:rsidRDefault="00330FFC" w:rsidP="00D8653A">
      <w:pPr>
        <w:shd w:val="clear" w:color="auto" w:fill="EAF1DD" w:themeFill="accent3" w:themeFillTint="33"/>
        <w:spacing w:after="200"/>
        <w:contextualSpacing/>
        <w:jc w:val="both"/>
        <w:rPr>
          <w:rFonts w:ascii="Calibri Light" w:eastAsiaTheme="majorEastAsia" w:hAnsi="Calibri Light" w:cs="Calibri Light"/>
          <w:b/>
          <w:sz w:val="22"/>
          <w:szCs w:val="22"/>
          <w:lang w:eastAsia="en-US"/>
        </w:rPr>
      </w:pPr>
    </w:p>
    <w:p w:rsidR="002821BA" w:rsidRPr="00B254A0" w:rsidRDefault="002821BA" w:rsidP="00D8653A">
      <w:pPr>
        <w:shd w:val="clear" w:color="auto" w:fill="EAF1DD" w:themeFill="accent3" w:themeFillTint="33"/>
        <w:spacing w:after="200"/>
        <w:contextualSpacing/>
        <w:jc w:val="center"/>
        <w:rPr>
          <w:rFonts w:ascii="Calibri Light" w:eastAsiaTheme="majorEastAsia" w:hAnsi="Calibri Light" w:cs="Calibri Light"/>
          <w:b/>
          <w:sz w:val="22"/>
          <w:szCs w:val="22"/>
          <w:lang w:eastAsia="en-US"/>
        </w:rPr>
      </w:pPr>
      <w:r w:rsidRPr="00B254A0">
        <w:rPr>
          <w:rFonts w:ascii="Calibri Light" w:eastAsiaTheme="majorEastAsia" w:hAnsi="Calibri Light" w:cs="Calibri Light"/>
          <w:b/>
          <w:sz w:val="22"/>
          <w:szCs w:val="22"/>
          <w:lang w:eastAsia="en-US"/>
        </w:rPr>
        <w:t>Przedmiot zamówienia</w:t>
      </w:r>
      <w:r w:rsidR="00D946D0" w:rsidRPr="00B254A0">
        <w:rPr>
          <w:rFonts w:ascii="Calibri Light" w:eastAsiaTheme="majorEastAsia" w:hAnsi="Calibri Light" w:cs="Calibri Light"/>
          <w:b/>
          <w:sz w:val="22"/>
          <w:szCs w:val="22"/>
          <w:lang w:eastAsia="en-US"/>
        </w:rPr>
        <w:t xml:space="preserve"> i wymagania stawiane Wykonawcy.</w:t>
      </w:r>
    </w:p>
    <w:p w:rsidR="00727DE6" w:rsidRPr="00B254A0" w:rsidRDefault="00727DE6" w:rsidP="00D8653A">
      <w:pPr>
        <w:jc w:val="both"/>
        <w:rPr>
          <w:rFonts w:ascii="Calibri Light" w:eastAsiaTheme="majorEastAsia" w:hAnsi="Calibri Light" w:cs="Calibri Light"/>
          <w:sz w:val="22"/>
          <w:szCs w:val="22"/>
          <w:lang w:eastAsia="en-US"/>
        </w:rPr>
      </w:pPr>
    </w:p>
    <w:p w:rsidR="000917C5" w:rsidRDefault="000917C5" w:rsidP="00BD52DD">
      <w:pPr>
        <w:pStyle w:val="Akapitzlist"/>
        <w:numPr>
          <w:ilvl w:val="1"/>
          <w:numId w:val="1"/>
        </w:numPr>
        <w:spacing w:before="240" w:after="120"/>
        <w:ind w:left="567" w:hanging="567"/>
        <w:contextualSpacing/>
        <w:jc w:val="both"/>
        <w:rPr>
          <w:rFonts w:ascii="Calibri Light" w:hAnsi="Calibri Light" w:cs="Calibri Light"/>
          <w:sz w:val="22"/>
          <w:szCs w:val="22"/>
        </w:rPr>
      </w:pPr>
      <w:r w:rsidRPr="000917C5">
        <w:rPr>
          <w:rFonts w:ascii="Calibri Light" w:hAnsi="Calibri Light" w:cs="Calibri Light"/>
          <w:sz w:val="22"/>
          <w:szCs w:val="22"/>
        </w:rPr>
        <w:t>Przedmiotem zamówienia jest dostawa energii elektrycznej, obejmująca sprzedaż energii elektrycznej  dla punktów poboru energii wskazanych w załączniku</w:t>
      </w:r>
      <w:r w:rsidR="00054640">
        <w:rPr>
          <w:rFonts w:ascii="Calibri Light" w:hAnsi="Calibri Light" w:cs="Calibri Light"/>
          <w:sz w:val="22"/>
          <w:szCs w:val="22"/>
        </w:rPr>
        <w:t xml:space="preserve"> nr 1a do SWZ w okresie 0d 01.09.2022 r. do 31.10</w:t>
      </w:r>
      <w:r w:rsidRPr="000917C5">
        <w:rPr>
          <w:rFonts w:ascii="Calibri Light" w:hAnsi="Calibri Light" w:cs="Calibri Light"/>
          <w:sz w:val="22"/>
          <w:szCs w:val="22"/>
        </w:rPr>
        <w:t>.2022 r.</w:t>
      </w:r>
    </w:p>
    <w:p w:rsidR="000917C5" w:rsidRPr="00385F80" w:rsidRDefault="000917C5" w:rsidP="000917C5">
      <w:pPr>
        <w:autoSpaceDE w:val="0"/>
        <w:autoSpaceDN w:val="0"/>
        <w:adjustRightInd w:val="0"/>
        <w:jc w:val="both"/>
        <w:rPr>
          <w:rFonts w:ascii="Calibri Light" w:eastAsia="CIDFont+F4" w:hAnsi="Calibri Light" w:cs="Calibri Light"/>
          <w:b/>
          <w:sz w:val="22"/>
          <w:szCs w:val="22"/>
          <w:lang w:eastAsia="en-US"/>
        </w:rPr>
      </w:pPr>
      <w:r w:rsidRPr="00385F80">
        <w:rPr>
          <w:rFonts w:ascii="Calibri Light" w:eastAsia="CIDFont+F4" w:hAnsi="Calibri Light" w:cs="Calibri Light"/>
          <w:b/>
          <w:sz w:val="22"/>
          <w:szCs w:val="22"/>
          <w:lang w:eastAsia="en-US"/>
        </w:rPr>
        <w:t>Podstawowe informacje:</w:t>
      </w:r>
    </w:p>
    <w:tbl>
      <w:tblPr>
        <w:tblW w:w="10207" w:type="dxa"/>
        <w:tblInd w:w="-781" w:type="dxa"/>
        <w:tblLayout w:type="fixed"/>
        <w:tblCellMar>
          <w:left w:w="70" w:type="dxa"/>
          <w:right w:w="70" w:type="dxa"/>
        </w:tblCellMar>
        <w:tblLook w:val="0000" w:firstRow="0" w:lastRow="0" w:firstColumn="0" w:lastColumn="0" w:noHBand="0" w:noVBand="0"/>
      </w:tblPr>
      <w:tblGrid>
        <w:gridCol w:w="4322"/>
        <w:gridCol w:w="5885"/>
      </w:tblGrid>
      <w:tr w:rsidR="000917C5" w:rsidRPr="00385F80" w:rsidTr="002B24F1">
        <w:trPr>
          <w:trHeight w:val="58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Ilość układów pomiarowych rozliczających zużytą energię elektryczną</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24</w:t>
            </w:r>
          </w:p>
        </w:tc>
      </w:tr>
      <w:tr w:rsidR="000917C5" w:rsidRPr="00385F80" w:rsidTr="002B24F1">
        <w:trPr>
          <w:trHeight w:val="407"/>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jc w:val="both"/>
              <w:rPr>
                <w:rFonts w:ascii="Calibri Light" w:hAnsi="Calibri Light" w:cs="Calibri Light"/>
                <w:bCs/>
                <w:sz w:val="22"/>
                <w:szCs w:val="22"/>
              </w:rPr>
            </w:pPr>
            <w:r w:rsidRPr="00385F80">
              <w:rPr>
                <w:rFonts w:ascii="Calibri Light" w:hAnsi="Calibri Light" w:cs="Calibri Light"/>
                <w:bCs/>
                <w:sz w:val="22"/>
                <w:szCs w:val="22"/>
              </w:rPr>
              <w:t>Grupa taryfowa wg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Wg wykazu stanowiącego załącznik nr 1a do SWZ</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jc w:val="both"/>
              <w:rPr>
                <w:rFonts w:ascii="Calibri Light" w:hAnsi="Calibri Light" w:cs="Calibri Light"/>
                <w:sz w:val="22"/>
                <w:szCs w:val="22"/>
              </w:rPr>
            </w:pPr>
            <w:r w:rsidRPr="00385F80">
              <w:rPr>
                <w:rFonts w:ascii="Calibri Light" w:hAnsi="Calibri Light" w:cs="Calibri Light"/>
                <w:bCs/>
                <w:sz w:val="22"/>
                <w:szCs w:val="22"/>
              </w:rPr>
              <w:t>Szacunkowe zużycie w okresie obowiązywania umowy [MWh]</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jc w:val="center"/>
              <w:rPr>
                <w:rFonts w:ascii="Calibri Light" w:hAnsi="Calibri Light" w:cs="Calibri Light"/>
                <w:sz w:val="22"/>
                <w:szCs w:val="22"/>
              </w:rPr>
            </w:pPr>
            <w:r w:rsidRPr="000917C5">
              <w:rPr>
                <w:rFonts w:ascii="Calibri Light" w:hAnsi="Calibri Light" w:cs="Calibri Light"/>
                <w:sz w:val="22"/>
                <w:szCs w:val="22"/>
              </w:rPr>
              <w:t>68,563</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jc w:val="both"/>
              <w:rPr>
                <w:rFonts w:ascii="Calibri Light" w:hAnsi="Calibri Light" w:cs="Calibri Light"/>
                <w:color w:val="000000"/>
                <w:sz w:val="22"/>
                <w:szCs w:val="22"/>
              </w:rPr>
            </w:pPr>
            <w:r w:rsidRPr="00385F80">
              <w:rPr>
                <w:rFonts w:ascii="Calibri Light" w:hAnsi="Calibri Light" w:cs="Calibri Light"/>
                <w:bCs/>
                <w:sz w:val="22"/>
                <w:szCs w:val="22"/>
              </w:rPr>
              <w:t>Informacja o statusie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jc w:val="center"/>
              <w:rPr>
                <w:rFonts w:ascii="Calibri Light" w:hAnsi="Calibri Light" w:cs="Calibri Light"/>
                <w:sz w:val="22"/>
                <w:szCs w:val="22"/>
              </w:rPr>
            </w:pPr>
            <w:r w:rsidRPr="00385F80">
              <w:rPr>
                <w:rFonts w:ascii="Calibri Light" w:hAnsi="Calibri Light" w:cs="Calibri Light"/>
                <w:color w:val="000000"/>
                <w:sz w:val="22"/>
                <w:szCs w:val="22"/>
              </w:rPr>
              <w:t>Zamawiający nie jest przedsiębiorstwem energetycznym w rozumieniu ustawy Prawo Energetyczne</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jc w:val="both"/>
              <w:rPr>
                <w:rFonts w:ascii="Calibri Light" w:hAnsi="Calibri Light" w:cs="Calibri Light"/>
                <w:sz w:val="22"/>
                <w:szCs w:val="22"/>
              </w:rPr>
            </w:pPr>
            <w:r w:rsidRPr="00385F80">
              <w:rPr>
                <w:rFonts w:ascii="Calibri Light" w:hAnsi="Calibri Light" w:cs="Calibri Light"/>
                <w:bCs/>
                <w:sz w:val="22"/>
                <w:szCs w:val="22"/>
              </w:rPr>
              <w:t>Informacja o umowach zakupu energii elektrycznej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jc w:val="center"/>
              <w:rPr>
                <w:rFonts w:ascii="Calibri Light" w:hAnsi="Calibri Light" w:cs="Calibri Light"/>
                <w:sz w:val="22"/>
                <w:szCs w:val="22"/>
              </w:rPr>
            </w:pPr>
            <w:r>
              <w:rPr>
                <w:rFonts w:ascii="Calibri Light" w:hAnsi="Calibri Light" w:cs="Calibri Light"/>
                <w:bCs/>
                <w:sz w:val="22"/>
                <w:szCs w:val="22"/>
              </w:rPr>
              <w:t xml:space="preserve">Rezerwowa umowa sprzedaży energii elektrycznej </w:t>
            </w:r>
            <w:r w:rsidRPr="00385F80">
              <w:rPr>
                <w:rFonts w:ascii="Calibri Light" w:hAnsi="Calibri Light" w:cs="Calibri Light"/>
                <w:bCs/>
                <w:sz w:val="22"/>
                <w:szCs w:val="22"/>
              </w:rPr>
              <w:t xml:space="preserve"> </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jc w:val="both"/>
              <w:rPr>
                <w:rFonts w:ascii="Calibri Light" w:hAnsi="Calibri Light" w:cs="Calibri Light"/>
                <w:bCs/>
                <w:sz w:val="22"/>
                <w:szCs w:val="22"/>
              </w:rPr>
            </w:pPr>
            <w:r w:rsidRPr="00385F80">
              <w:rPr>
                <w:rFonts w:ascii="Calibri Light" w:hAnsi="Calibri Light" w:cs="Calibri Light"/>
                <w:bCs/>
                <w:sz w:val="22"/>
                <w:szCs w:val="22"/>
              </w:rPr>
              <w:t>Informacja o umowach o świadczenie usługi dystrybucji energii elektrycznej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jc w:val="center"/>
              <w:rPr>
                <w:rFonts w:ascii="Calibri Light" w:hAnsi="Calibri Light" w:cs="Calibri Light"/>
                <w:bCs/>
                <w:sz w:val="22"/>
                <w:szCs w:val="22"/>
              </w:rPr>
            </w:pPr>
            <w:r w:rsidRPr="00385F80">
              <w:rPr>
                <w:rFonts w:ascii="Calibri Light" w:hAnsi="Calibri Light" w:cs="Calibri Light"/>
                <w:bCs/>
                <w:sz w:val="22"/>
                <w:szCs w:val="22"/>
              </w:rPr>
              <w:t xml:space="preserve">Umowy na czas nieokreślony </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dotychczasowych zmianach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 xml:space="preserve">Kolejna, </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umowach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bCs/>
                <w:sz w:val="22"/>
                <w:szCs w:val="22"/>
              </w:rPr>
            </w:pPr>
            <w:r w:rsidRPr="00385F80">
              <w:rPr>
                <w:rFonts w:ascii="Calibri Light" w:hAnsi="Calibri Light" w:cs="Calibri Light"/>
                <w:bCs/>
                <w:sz w:val="22"/>
                <w:szCs w:val="22"/>
              </w:rPr>
              <w:t xml:space="preserve">Rozdzielone  </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obecnym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Wg wykazu stanowiącego załącznik nr 1a do SWZ</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Wg wykazu stanowiącego załącznik nr 1a do SWZ</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Sposób wypowiedzenia umów zakupu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 xml:space="preserve">Umowy nie wymagają wypowiedzenia </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Prawo dysponowania ppe</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bCs/>
                <w:sz w:val="22"/>
                <w:szCs w:val="22"/>
              </w:rPr>
            </w:pPr>
            <w:r w:rsidRPr="00385F80">
              <w:rPr>
                <w:rFonts w:ascii="Calibri Light" w:hAnsi="Calibri Light" w:cs="Calibri Light"/>
                <w:bCs/>
                <w:sz w:val="22"/>
                <w:szCs w:val="22"/>
              </w:rPr>
              <w:t>Zamawiający posiada prawo do swobodnego dysponowania obiektami opisanymi w przedmiocie zamówienia.</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zmianach ceny w okresie trwania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 xml:space="preserve">Zamawiający nie przewiduje zmiany ceny jednostkowej netto podczas trwania umowy, poza </w:t>
            </w:r>
            <w:r w:rsidRPr="00385F80">
              <w:rPr>
                <w:rFonts w:ascii="Calibri Light" w:hAnsi="Calibri Light" w:cs="Calibri Light"/>
                <w:sz w:val="22"/>
                <w:szCs w:val="22"/>
              </w:rPr>
              <w:t>zmianami ogólnie obowiązujących przepisów prawa.</w:t>
            </w:r>
          </w:p>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Ceny energii elektrycznej zostaną zmienione o kwotę wynikającą z obowiązków nałożonych właściwymi przepisami, od dnia ich wejścia w życie.</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udostępnieniu danych                      o punktach poboru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Zamawiający udostępnia wszystkie posiadane dane niezbędne w procedurze zmiany sprzedawcy  w arkuszu Excel.</w:t>
            </w:r>
          </w:p>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lastRenderedPageBreak/>
              <w:t>Zamawiający podaje parametry dystrybucyjne, dane adresowe i oznaczenia punktów poboru energii zgodnie z danymi zawartymi w umowach dystrybucyjnych.</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lastRenderedPageBreak/>
              <w:t xml:space="preserve">Informacja o udziałach Zamawiającego               w akcjach promocyjnych lub lojalnościowych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Zamawiający nie podpisywał aneksów dotyczących programów lojalnościowych i promocyjnych</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 xml:space="preserve">Informacja o udzieleniu Wykonawcy pełnomocnictwa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bCs/>
                <w:sz w:val="22"/>
                <w:szCs w:val="22"/>
              </w:rPr>
            </w:pPr>
            <w:r w:rsidRPr="00385F80">
              <w:rPr>
                <w:rFonts w:ascii="Calibri Light" w:hAnsi="Calibri Light" w:cs="Calibri Light"/>
                <w:bCs/>
                <w:sz w:val="22"/>
                <w:szCs w:val="22"/>
              </w:rPr>
              <w:t>Pełnomocnictwo i jego zakres jest integralną częścią umowy.</w:t>
            </w:r>
          </w:p>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Zakres pełnomocnictwa jest wyczerpujący dla prawidłowego wykonania umowy.</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Proces podpisania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bCs/>
                <w:sz w:val="22"/>
                <w:szCs w:val="22"/>
              </w:rPr>
            </w:pPr>
            <w:r w:rsidRPr="00385F80">
              <w:rPr>
                <w:rFonts w:ascii="Calibri Light" w:hAnsi="Calibri Light" w:cs="Calibri Light"/>
                <w:bCs/>
                <w:sz w:val="22"/>
                <w:szCs w:val="22"/>
              </w:rPr>
              <w:t>Zmawiający udostępni Wykonawcy kopie dokumentów:</w:t>
            </w:r>
          </w:p>
          <w:p w:rsidR="000917C5" w:rsidRPr="00385F80" w:rsidRDefault="000917C5" w:rsidP="000917C5">
            <w:pPr>
              <w:pStyle w:val="Tekstpodstawowy"/>
              <w:widowControl w:val="0"/>
              <w:numPr>
                <w:ilvl w:val="0"/>
                <w:numId w:val="11"/>
              </w:numPr>
              <w:tabs>
                <w:tab w:val="left" w:pos="720"/>
              </w:tabs>
              <w:suppressAutoHyphens/>
              <w:spacing w:after="0"/>
              <w:rPr>
                <w:rFonts w:ascii="Calibri Light" w:hAnsi="Calibri Light" w:cs="Calibri Light"/>
                <w:bCs/>
                <w:sz w:val="22"/>
                <w:szCs w:val="22"/>
              </w:rPr>
            </w:pPr>
            <w:r w:rsidRPr="00385F80">
              <w:rPr>
                <w:rFonts w:ascii="Calibri Light" w:hAnsi="Calibri Light" w:cs="Calibri Light"/>
                <w:bCs/>
                <w:sz w:val="22"/>
                <w:szCs w:val="22"/>
              </w:rPr>
              <w:t>nadania numeru NIP;</w:t>
            </w:r>
          </w:p>
          <w:p w:rsidR="000917C5" w:rsidRPr="00385F80" w:rsidRDefault="000917C5" w:rsidP="000917C5">
            <w:pPr>
              <w:pStyle w:val="Tekstpodstawowy"/>
              <w:widowControl w:val="0"/>
              <w:numPr>
                <w:ilvl w:val="0"/>
                <w:numId w:val="11"/>
              </w:numPr>
              <w:tabs>
                <w:tab w:val="left" w:pos="720"/>
              </w:tabs>
              <w:suppressAutoHyphens/>
              <w:spacing w:after="0"/>
              <w:rPr>
                <w:rFonts w:ascii="Calibri Light" w:hAnsi="Calibri Light" w:cs="Calibri Light"/>
                <w:bCs/>
                <w:sz w:val="22"/>
                <w:szCs w:val="22"/>
              </w:rPr>
            </w:pPr>
            <w:r w:rsidRPr="00385F80">
              <w:rPr>
                <w:rFonts w:ascii="Calibri Light" w:hAnsi="Calibri Light" w:cs="Calibri Light"/>
                <w:bCs/>
                <w:sz w:val="22"/>
                <w:szCs w:val="22"/>
              </w:rPr>
              <w:t>nadania numeru REGON;</w:t>
            </w:r>
          </w:p>
          <w:p w:rsidR="000917C5" w:rsidRPr="00385F80" w:rsidRDefault="000917C5" w:rsidP="000917C5">
            <w:pPr>
              <w:pStyle w:val="Tekstpodstawowy"/>
              <w:widowControl w:val="0"/>
              <w:numPr>
                <w:ilvl w:val="0"/>
                <w:numId w:val="11"/>
              </w:numPr>
              <w:tabs>
                <w:tab w:val="left" w:pos="720"/>
              </w:tabs>
              <w:suppressAutoHyphens/>
              <w:spacing w:after="0"/>
              <w:rPr>
                <w:rFonts w:ascii="Calibri Light" w:hAnsi="Calibri Light" w:cs="Calibri Light"/>
                <w:sz w:val="22"/>
                <w:szCs w:val="22"/>
              </w:rPr>
            </w:pPr>
            <w:r w:rsidRPr="00385F80">
              <w:rPr>
                <w:rFonts w:ascii="Calibri Light" w:hAnsi="Calibri Light" w:cs="Calibri Light"/>
                <w:bCs/>
                <w:sz w:val="22"/>
                <w:szCs w:val="22"/>
              </w:rPr>
              <w:t>KRS lub inny dokument na podstawie którego działa dana jednostka;</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Ilość umów jakie zawrze Wykonawca  z Zamawiającym w ramach tego postępowania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1</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sposobie zawarcia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054640">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 xml:space="preserve">Zamawiający dopuszcza podpisanie umowy w ramach wymiany korespondencji drogą </w:t>
            </w:r>
            <w:r w:rsidR="00054640">
              <w:rPr>
                <w:rFonts w:ascii="Calibri Light" w:hAnsi="Calibri Light" w:cs="Calibri Light"/>
                <w:bCs/>
                <w:sz w:val="22"/>
                <w:szCs w:val="22"/>
              </w:rPr>
              <w:t>elektroniczną</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sz w:val="22"/>
                <w:szCs w:val="22"/>
              </w:rPr>
            </w:pPr>
            <w:r w:rsidRPr="00385F80">
              <w:rPr>
                <w:rFonts w:ascii="Calibri Light" w:hAnsi="Calibri Light" w:cs="Calibri Light"/>
                <w:bCs/>
                <w:sz w:val="22"/>
                <w:szCs w:val="22"/>
              </w:rPr>
              <w:t>Sposób rozliczania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Zamawiający jest płatnikiem należności za zużytą energię elektryczną.</w:t>
            </w:r>
          </w:p>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 xml:space="preserve">OSD dostarcza faktury rozliczeniowe w okresach 10 - dniowych  dla grupy taryfowej </w:t>
            </w:r>
            <w:proofErr w:type="spellStart"/>
            <w:r w:rsidRPr="00385F80">
              <w:rPr>
                <w:rFonts w:ascii="Calibri Light" w:hAnsi="Calibri Light" w:cs="Calibri Light"/>
                <w:sz w:val="22"/>
                <w:szCs w:val="22"/>
              </w:rPr>
              <w:t>Bx</w:t>
            </w:r>
            <w:proofErr w:type="spellEnd"/>
            <w:r w:rsidRPr="00385F80">
              <w:rPr>
                <w:rFonts w:ascii="Calibri Light" w:hAnsi="Calibri Light" w:cs="Calibri Light"/>
                <w:sz w:val="22"/>
                <w:szCs w:val="22"/>
              </w:rPr>
              <w:t>, jednomiesięcznych dla grupy taryfowej C2x i dwumiesięcznych dla grupy taryfowej C1x. Poza tymi dla grup komunalnych zgodnie z Taryfą.</w:t>
            </w:r>
          </w:p>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Zamawiający wymaga rozliczeń w oparciu o wskazanie rzeczywistego zużycia energii przekazanego przez OSD.</w:t>
            </w:r>
          </w:p>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Zamawiający nie dopuszcza do sytuacji, w której Wykonawca samodzielnie dokonuje szacowania zużycia energii.</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sz w:val="22"/>
                <w:szCs w:val="22"/>
              </w:rPr>
            </w:pPr>
            <w:r w:rsidRPr="00385F80">
              <w:rPr>
                <w:rFonts w:ascii="Calibri Light" w:hAnsi="Calibri Light" w:cs="Calibri Light"/>
                <w:bCs/>
                <w:sz w:val="22"/>
                <w:szCs w:val="22"/>
              </w:rPr>
              <w:t>Sposób fakturowania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Faktura winna zawierać pełne dane identyfikacyjne Zamawiającego, tj.: nazwę, adres   i NIP oraz dane Odbiorcy, tj. nazwę i adres..</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Sposób rozliczenia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W części faktury dotyczącej rozliczenia Wykonawca umieści informacje o numerze ppe, dane lokalizacyjne ppe, grupa taryfowa, daty odczytów, zużycie w strefach w okresie rozliczeniowym, cena jednostkowa energii elektrycznej, wartość energii elektrycznej netto, wartość podatku VAT, wartość brutto.</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sposobie dostarczania faktur</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BD52DD">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 xml:space="preserve">Wykonawca dostarczy faktury na adres Zamawiającego </w:t>
            </w:r>
          </w:p>
        </w:tc>
      </w:tr>
    </w:tbl>
    <w:p w:rsidR="000917C5" w:rsidRPr="00385F80" w:rsidRDefault="000917C5" w:rsidP="000917C5">
      <w:pPr>
        <w:autoSpaceDE w:val="0"/>
        <w:autoSpaceDN w:val="0"/>
        <w:adjustRightInd w:val="0"/>
        <w:jc w:val="both"/>
        <w:rPr>
          <w:rFonts w:ascii="Calibri Light" w:eastAsia="CIDFont+F4" w:hAnsi="Calibri Light" w:cs="Calibri Light"/>
          <w:b/>
          <w:sz w:val="22"/>
          <w:szCs w:val="22"/>
          <w:lang w:eastAsia="en-US"/>
        </w:rPr>
      </w:pPr>
    </w:p>
    <w:p w:rsidR="000917C5" w:rsidRPr="00385F80" w:rsidRDefault="000917C5" w:rsidP="000917C5">
      <w:pPr>
        <w:autoSpaceDE w:val="0"/>
        <w:autoSpaceDN w:val="0"/>
        <w:adjustRightInd w:val="0"/>
        <w:jc w:val="both"/>
        <w:rPr>
          <w:rFonts w:ascii="Calibri Light" w:eastAsia="CIDFont+F4" w:hAnsi="Calibri Light" w:cs="Calibri Light"/>
          <w:b/>
          <w:sz w:val="22"/>
          <w:szCs w:val="22"/>
          <w:lang w:eastAsia="en-US"/>
        </w:rPr>
      </w:pPr>
      <w:r w:rsidRPr="00385F80">
        <w:rPr>
          <w:rFonts w:ascii="Calibri Light" w:eastAsia="CIDFont+F4" w:hAnsi="Calibri Light" w:cs="Calibri Light"/>
          <w:b/>
          <w:sz w:val="22"/>
          <w:szCs w:val="22"/>
          <w:lang w:eastAsia="en-US"/>
        </w:rPr>
        <w:t>Informacje pozostałe.</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Zamawiający udzieli wyłonionemu w postępowaniu Wykonawcy pełnomocnictwa na które składa się obowiązek:</w:t>
      </w:r>
    </w:p>
    <w:p w:rsidR="000917C5" w:rsidRPr="00385F80" w:rsidRDefault="000917C5" w:rsidP="000917C5">
      <w:pPr>
        <w:numPr>
          <w:ilvl w:val="0"/>
          <w:numId w:val="9"/>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lastRenderedPageBreak/>
        <w:t>powiadomienia właściwego Operatora Systemu Dystrybucyjnego o zawarciu umowy sprzedaży energii elektrycznej oraz o planowanym terminie rozpoczęcia sprzedaży energii elektrycznej</w:t>
      </w:r>
      <w:r w:rsidR="00BD52DD">
        <w:rPr>
          <w:rFonts w:ascii="Calibri Light" w:eastAsia="CIDFont+F4" w:hAnsi="Calibri Light" w:cs="Calibri Light"/>
          <w:sz w:val="22"/>
          <w:szCs w:val="22"/>
        </w:rPr>
        <w:t xml:space="preserve"> oraz wskazani sprzedawcy rezerwowego</w:t>
      </w:r>
      <w:r w:rsidRPr="00385F80">
        <w:rPr>
          <w:rFonts w:ascii="Calibri Light" w:eastAsia="CIDFont+F4" w:hAnsi="Calibri Light" w:cs="Calibri Light"/>
          <w:sz w:val="22"/>
          <w:szCs w:val="22"/>
        </w:rPr>
        <w:t>,</w:t>
      </w:r>
    </w:p>
    <w:p w:rsidR="000917C5" w:rsidRPr="00385F80" w:rsidRDefault="000917C5" w:rsidP="000917C5">
      <w:pPr>
        <w:numPr>
          <w:ilvl w:val="0"/>
          <w:numId w:val="9"/>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 przypadku zawarcia umowy sprzedaży energii elektrycznej - zawarcie umowy o świadczenie usług dystrybucji ze wskazanym Operatorem Systemu Dystrybucyjnego, w tym upoważnienie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0917C5" w:rsidRPr="00385F80" w:rsidRDefault="000917C5" w:rsidP="000917C5">
      <w:pPr>
        <w:numPr>
          <w:ilvl w:val="0"/>
          <w:numId w:val="9"/>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wzoru umowy o świadczenie usług dystrybucji zamieszczonego na stronie internetowej wskazanego Operatora Systemu Dystrybucyjnego,</w:t>
      </w:r>
    </w:p>
    <w:p w:rsidR="000917C5" w:rsidRPr="00385F80" w:rsidRDefault="000917C5" w:rsidP="000917C5">
      <w:pPr>
        <w:numPr>
          <w:ilvl w:val="0"/>
          <w:numId w:val="9"/>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obowiązującej taryfy wskazanego Operatora Systemu Dystrybucyjnego oraz Instrukcji Ruchu  i Eksploatacji Sieci Dystrybucyjnej Operatora Systemu Dystrybucyjnego,</w:t>
      </w:r>
    </w:p>
    <w:p w:rsidR="000917C5" w:rsidRPr="00385F80" w:rsidRDefault="000917C5" w:rsidP="000917C5">
      <w:pPr>
        <w:numPr>
          <w:ilvl w:val="0"/>
          <w:numId w:val="9"/>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 Wskazany Operator Systemu Dystrybucyjnego będzie wówczas upoważniony do udzielania dalszego upoważnienia w tym zakresie swoim pracownikom i innym osobom, które łączy z nim stosunek prawny.</w:t>
      </w:r>
    </w:p>
    <w:p w:rsidR="000917C5" w:rsidRPr="00385F80" w:rsidRDefault="000917C5" w:rsidP="000917C5">
      <w:pPr>
        <w:numPr>
          <w:ilvl w:val="0"/>
          <w:numId w:val="9"/>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uzyskania, w razie potrzeby, od dotychczasowego sprzedawcy informacji o numerze, dacie zawarcia, terminie obowiązywania i okresie wypowiedzenia dotychczas obowiązującej umowy sprzedaży energii elektrycznej i świadczenia usług dystrybucji.</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Spełnienie innych wymagań określonych w istotnych postanowieniach umowy oraz wynikających z obowiązujących przepisów prawa.</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Zakres i zasady dokonania zmian:</w:t>
      </w:r>
    </w:p>
    <w:p w:rsidR="000917C5" w:rsidRPr="00385F80" w:rsidRDefault="000917C5" w:rsidP="000917C5">
      <w:pPr>
        <w:numPr>
          <w:ilvl w:val="0"/>
          <w:numId w:val="10"/>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 xml:space="preserve">zmniejszenie ilości energii elektrycznej wynikające ze zużycia energii elektrycznej wg bieżących odczytów z układu pomiarowo - rozliczeniowego, które będzie różne od ilości energii elektrycznej wskazanego poniżej, odbywa się automatycznie,  na podstawie bieżącego zużycia energii elektrycznej na wystawianych fakturach, </w:t>
      </w:r>
    </w:p>
    <w:p w:rsidR="000917C5" w:rsidRPr="00385F80" w:rsidRDefault="000917C5" w:rsidP="000917C5">
      <w:pPr>
        <w:numPr>
          <w:ilvl w:val="0"/>
          <w:numId w:val="10"/>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rsidR="000917C5" w:rsidRPr="00385F80" w:rsidRDefault="000917C5" w:rsidP="000917C5">
      <w:pPr>
        <w:numPr>
          <w:ilvl w:val="0"/>
          <w:numId w:val="10"/>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lastRenderedPageBreak/>
        <w:t>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bądź wyłączenia punktu poboru energii elektrycznej przez Zamawiającego.</w:t>
      </w:r>
      <w:r w:rsidRPr="00385F80">
        <w:rPr>
          <w:rFonts w:ascii="Calibri Light" w:eastAsia="CIDFont+F4" w:hAnsi="Calibri Light" w:cs="Calibri Light"/>
          <w:b/>
          <w:sz w:val="22"/>
          <w:szCs w:val="22"/>
        </w:rPr>
        <w:t xml:space="preserve"> Dodanie nowych ppe będzie dokonywane z uwzględnieniem grup taryfowych ujętych w załączniku nr 1 do projektowanych po</w:t>
      </w:r>
      <w:r w:rsidR="00BD52DD">
        <w:rPr>
          <w:rFonts w:ascii="Calibri Light" w:eastAsia="CIDFont+F4" w:hAnsi="Calibri Light" w:cs="Calibri Light"/>
          <w:b/>
          <w:sz w:val="22"/>
          <w:szCs w:val="22"/>
        </w:rPr>
        <w:t>stanowień umowy – Załącznik nr 1b</w:t>
      </w:r>
      <w:r w:rsidRPr="00385F80">
        <w:rPr>
          <w:rFonts w:ascii="Calibri Light" w:eastAsia="CIDFont+F4" w:hAnsi="Calibri Light" w:cs="Calibri Light"/>
          <w:b/>
          <w:sz w:val="22"/>
          <w:szCs w:val="22"/>
        </w:rPr>
        <w:t xml:space="preserve"> do SWZ.</w:t>
      </w:r>
    </w:p>
    <w:p w:rsidR="000917C5" w:rsidRPr="00385F80" w:rsidRDefault="000917C5" w:rsidP="000917C5">
      <w:pPr>
        <w:numPr>
          <w:ilvl w:val="0"/>
          <w:numId w:val="10"/>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 niniejszym postępowaniu Zamawiający założył zużycie energii elektrycznej wg rzeczywistego zużycia w okresie roz</w:t>
      </w:r>
      <w:r w:rsidR="00BD52DD">
        <w:rPr>
          <w:rFonts w:ascii="Calibri Light" w:eastAsia="CIDFont+F4" w:hAnsi="Calibri Light" w:cs="Calibri Light"/>
          <w:sz w:val="22"/>
          <w:szCs w:val="22"/>
        </w:rPr>
        <w:t>liczeniowym dotyczącym roku 2021</w:t>
      </w:r>
      <w:r w:rsidRPr="00385F80">
        <w:rPr>
          <w:rFonts w:ascii="Calibri Light" w:eastAsia="CIDFont+F4" w:hAnsi="Calibri Light" w:cs="Calibri Light"/>
          <w:sz w:val="22"/>
          <w:szCs w:val="22"/>
        </w:rPr>
        <w:t>.</w:t>
      </w:r>
    </w:p>
    <w:p w:rsidR="000917C5" w:rsidRPr="00385F80" w:rsidRDefault="000917C5" w:rsidP="000917C5">
      <w:pPr>
        <w:numPr>
          <w:ilvl w:val="0"/>
          <w:numId w:val="10"/>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 xml:space="preserve">Zamawiający ma prawo, w okresie obowiązywania Umowy do zmiany grup taryfowych, mocy umownej dla poszczególnych ppe określonych w załączniku nr 1a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 </w:t>
      </w:r>
      <w:r w:rsidRPr="00385F80">
        <w:rPr>
          <w:rFonts w:ascii="Calibri Light" w:eastAsia="CIDFont+F4" w:hAnsi="Calibri Light" w:cs="Calibri Light"/>
          <w:b/>
          <w:sz w:val="22"/>
          <w:szCs w:val="22"/>
        </w:rPr>
        <w:t>przy czym zmiany będą dokonywane w obrębie grup taryfowych ujętych w załączniku nr 1 do projektowanych postanowień umowy – Załącznik nr 2 do SWZ.</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 xml:space="preserve">Wykonawca zobowiązuje się wykonać przedmiot umowy siłami własnymi lub z udziałem podwykonawców. </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Rozliczenia za dostarczone energię elektryczną dokonywać się będą na podstawie faktur wystawionych przez Wykonawcę w terminach stosowanych przez OSD wg ceny zawartej  w ofercie.</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 związku z charakterem zamówienia nie można określić dokładnego zużycia energii elektrycznej objętego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 xml:space="preserve">Wykonawca może powierzyć wykonanie części zamówienia podwykonawcy. W takiej sytuacji Zamawiający żąda wskazania przez wykonawcę części zamówienia, których wykonanie zamierza powierzyć podwykonawcom i podania przez wykonawcę firm podwykonawców (o ile są znani). </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Wykonawca zobowiązany jest do zaoferowania jednakowej dla wszystkich punktów poboru energii.</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Sprzedaż energii elektrycznej odbywać się będzie za pośrednictwem sieci dystrybucyjnej należącej do </w:t>
      </w:r>
      <w:r w:rsidRPr="00385F80">
        <w:rPr>
          <w:rFonts w:ascii="Calibri Light" w:eastAsia="CIDFont+F4" w:hAnsi="Calibri Light" w:cs="Calibri Light"/>
          <w:b/>
          <w:sz w:val="22"/>
          <w:szCs w:val="22"/>
        </w:rPr>
        <w:t xml:space="preserve">PGE Dystrybucja  SA </w:t>
      </w:r>
      <w:r w:rsidRPr="00385F80">
        <w:rPr>
          <w:rFonts w:ascii="Calibri Light" w:eastAsia="CIDFont+F4" w:hAnsi="Calibri Light" w:cs="Calibri Light"/>
          <w:sz w:val="22"/>
          <w:szCs w:val="22"/>
        </w:rPr>
        <w:t>na warunkach określonych przepisami ustawy z dnia 10 kwietnia 1997r. Prawo energetyczne, zgodnie z obowiązującymi rozporządzeniami do ww. ustawy, przepisami kodeksu cywilnego, zasadami określonymi w koncesjach, postanowieniami SIWZ oraz ceną energii elektrycznej przedstawionej w ofercie.</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Wykonawca zobowiązuje się do pełnienia funkcji podmiotu odpowiedzialnego za bilansowanie handlowe dla energii elektrycznej zużywanej w punktach poboru energii Zamawiającego.</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lastRenderedPageBreak/>
        <w:t>Wykonawca dokonywać będzie bilansowania handlowego energii zakupionej przez Zamawiającego na podstawie standardowego profilu zużycia o mocy umownej określonej w załączniku   nr 1a do SWZ.</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Koszty wynikające z dokonania bilansowania uwzględnione są w cenie energii elektrycznej.</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Wszystkie prawa i obowiązki związane z bilansowaniem handlowym, w tym zgłaszanie grafików handlowych do OSD, przechodzą na Wykonawcę.</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 ramach wykonania przedmiotu zamówienia Wykonawca zobowiązany będzie do:</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zawarcia w razie konieczności w imieniu Zmawiającego umów z OSD na świadczenie usług dystrybucyjnych,</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sprzedaży Zamawiającemu energii z zastrzeżeniem, że sprzedaż energii rozpocznie się w chwili przyjęcia umowy do realizacji przez OSD,</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przeniesienia na Zamawiającego własności energii;</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dokonania bilansowania handlowego Zamawiającego jako Uczestnika Rynku Detalicznego (URD), w ramach swojej jednostki grafikowej (JG), tylko w przypadku, gdy jest jedynym podmiotem sprzedającym energię Zamawiającemu,</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prowadzenia ewidencji wpłat należności zapewniającej poprawność rozliczeń,</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nieodpłatnego udzielania informacji w sprawie aktualnych cen energii oraz zasad rozliczeń,</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przyjmowania od Zamawiającego wniosków i reklamacji,</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przekazywania Zamawiającemu istotnych informacji dotyczących realizacji umowy,</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rozliczenia za pobraną energię elektryczną odbywać się będą na podstawie wskazań zainstalowanych układów pomiarowych.</w:t>
      </w:r>
    </w:p>
    <w:sectPr w:rsidR="000917C5" w:rsidRPr="00385F80" w:rsidSect="004327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EF" w:rsidRDefault="00BC5FEF" w:rsidP="000F1DCF">
      <w:r>
        <w:separator/>
      </w:r>
    </w:p>
  </w:endnote>
  <w:endnote w:type="continuationSeparator" w:id="0">
    <w:p w:rsidR="00BC5FEF" w:rsidRDefault="00BC5FEF" w:rsidP="000F1DCF">
      <w:r>
        <w:continuationSeparator/>
      </w:r>
    </w:p>
  </w:endnote>
  <w:endnote w:type="continuationNotice" w:id="1">
    <w:p w:rsidR="00BC5FEF" w:rsidRDefault="00BC5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Andalus">
    <w:altName w:val="Arial"/>
    <w:panose1 w:val="02020603050405020304"/>
    <w:charset w:val="00"/>
    <w:family w:val="roman"/>
    <w:pitch w:val="variable"/>
    <w:sig w:usb0="00002003" w:usb1="80000000" w:usb2="00000008" w:usb3="00000000" w:csb0="0000004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79" w:rsidRDefault="009741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79" w:rsidRDefault="009741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79" w:rsidRDefault="009741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EF" w:rsidRDefault="00BC5FEF" w:rsidP="000F1DCF">
      <w:r>
        <w:separator/>
      </w:r>
    </w:p>
  </w:footnote>
  <w:footnote w:type="continuationSeparator" w:id="0">
    <w:p w:rsidR="00BC5FEF" w:rsidRDefault="00BC5FEF" w:rsidP="000F1DCF">
      <w:r>
        <w:continuationSeparator/>
      </w:r>
    </w:p>
  </w:footnote>
  <w:footnote w:type="continuationNotice" w:id="1">
    <w:p w:rsidR="00BC5FEF" w:rsidRDefault="00BC5F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79" w:rsidRDefault="009741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46" w:rsidRPr="0045425E" w:rsidRDefault="00281846"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45425E">
      <w:rPr>
        <w:rFonts w:ascii="Calibri Light" w:eastAsiaTheme="majorEastAsia" w:hAnsi="Calibri Light" w:cs="Calibri Light"/>
        <w:b/>
        <w:caps/>
        <w:spacing w:val="20"/>
        <w:lang w:eastAsia="en-US"/>
      </w:rPr>
      <w:t>Załącznik nr 1 do SWZ</w:t>
    </w:r>
  </w:p>
  <w:p w:rsidR="00281846" w:rsidRPr="0045425E" w:rsidRDefault="00974179"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974179">
      <w:rPr>
        <w:rFonts w:ascii="Calibri Light" w:eastAsiaTheme="majorEastAsia" w:hAnsi="Calibri Light" w:cs="Calibri Light"/>
        <w:b/>
        <w:caps/>
        <w:spacing w:val="20"/>
        <w:sz w:val="20"/>
        <w:szCs w:val="20"/>
        <w:lang w:eastAsia="en-US"/>
      </w:rPr>
      <w:t>ZAKUP ENERGII ELEKTRYCZNEJ NA POTRZEBY  OBIEKTÓW MUZEUM - ZAMEK W ŁAŃCUCIE.</w:t>
    </w:r>
    <w:r w:rsidR="00134291">
      <w:rPr>
        <w:rFonts w:ascii="Calibri Light" w:eastAsiaTheme="majorEastAsia" w:hAnsi="Calibri Light" w:cs="Calibri Light"/>
        <w:b/>
        <w:caps/>
        <w:spacing w:val="20"/>
        <w:sz w:val="20"/>
        <w:szCs w:val="20"/>
        <w:lang w:eastAsia="en-US"/>
      </w:rPr>
      <w:t xml:space="preserve">                  </w:t>
    </w:r>
    <w:r w:rsidR="00CF5660" w:rsidRPr="002D0D8D">
      <w:rPr>
        <w:rFonts w:ascii="Calibri Light" w:eastAsiaTheme="majorEastAsia" w:hAnsi="Calibri Light" w:cs="Calibri Light"/>
        <w:b/>
        <w:caps/>
        <w:color w:val="943634" w:themeColor="accent2" w:themeShade="BF"/>
        <w:spacing w:val="20"/>
        <w:lang w:eastAsia="en-US"/>
      </w:rPr>
      <w:t>szczegółowy opis przedmiotu zamówienia</w:t>
    </w:r>
  </w:p>
  <w:p w:rsidR="00593CE4" w:rsidRPr="00362B6E" w:rsidRDefault="00593CE4" w:rsidP="00281846">
    <w:pPr>
      <w:pBdr>
        <w:bottom w:val="thinThickSmallGap" w:sz="12" w:space="1"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362B6E">
      <w:rPr>
        <w:rFonts w:ascii="Calibri Light" w:eastAsiaTheme="majorEastAsia" w:hAnsi="Calibri Light" w:cs="Calibri Light"/>
        <w:b/>
        <w:caps/>
        <w:spacing w:val="20"/>
        <w:sz w:val="20"/>
        <w:szCs w:val="20"/>
        <w:lang w:eastAsia="en-US"/>
      </w:rPr>
      <w:t>Nr sprawy</w:t>
    </w:r>
    <w:r w:rsidR="00134291">
      <w:rPr>
        <w:rFonts w:ascii="Calibri Light" w:eastAsiaTheme="majorEastAsia" w:hAnsi="Calibri Light" w:cs="Calibri Light"/>
        <w:b/>
        <w:caps/>
        <w:spacing w:val="20"/>
        <w:sz w:val="20"/>
        <w:szCs w:val="20"/>
        <w:lang w:eastAsia="en-US"/>
      </w:rPr>
      <w:t xml:space="preserve"> – P.02.2022</w:t>
    </w:r>
  </w:p>
  <w:p w:rsidR="00281846" w:rsidRDefault="0028184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79" w:rsidRDefault="009741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8F2864"/>
    <w:multiLevelType w:val="hybridMultilevel"/>
    <w:tmpl w:val="9A08B7D0"/>
    <w:lvl w:ilvl="0" w:tplc="D250F918">
      <w:start w:val="6"/>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75654AA"/>
    <w:multiLevelType w:val="multilevel"/>
    <w:tmpl w:val="65B669AE"/>
    <w:lvl w:ilvl="0">
      <w:start w:val="3"/>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decimal"/>
      <w:lvlText w:val="%3)"/>
      <w:lvlJc w:val="left"/>
      <w:pPr>
        <w:ind w:left="1288" w:hanging="720"/>
      </w:p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62E663C5"/>
    <w:multiLevelType w:val="multilevel"/>
    <w:tmpl w:val="78BE99E0"/>
    <w:lvl w:ilvl="0">
      <w:start w:val="4"/>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7"/>
  </w:num>
  <w:num w:numId="5">
    <w:abstractNumId w:val="6"/>
  </w:num>
  <w:num w:numId="6">
    <w:abstractNumId w:val="2"/>
  </w:num>
  <w:num w:numId="7">
    <w:abstractNumId w:val="3"/>
  </w:num>
  <w:num w:numId="8">
    <w:abstractNumId w:val="4"/>
  </w:num>
  <w:num w:numId="9">
    <w:abstractNumId w:val="5"/>
  </w:num>
  <w:num w:numId="10">
    <w:abstractNumId w:val="10"/>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62B"/>
    <w:rsid w:val="000047DD"/>
    <w:rsid w:val="00007B28"/>
    <w:rsid w:val="00007E72"/>
    <w:rsid w:val="0001016A"/>
    <w:rsid w:val="00011439"/>
    <w:rsid w:val="00012548"/>
    <w:rsid w:val="00013CA0"/>
    <w:rsid w:val="00014A8A"/>
    <w:rsid w:val="000151F9"/>
    <w:rsid w:val="00015A81"/>
    <w:rsid w:val="00015B95"/>
    <w:rsid w:val="00016F35"/>
    <w:rsid w:val="000179DD"/>
    <w:rsid w:val="00021F08"/>
    <w:rsid w:val="0002409D"/>
    <w:rsid w:val="0002409E"/>
    <w:rsid w:val="00024159"/>
    <w:rsid w:val="00024441"/>
    <w:rsid w:val="00024889"/>
    <w:rsid w:val="000254C7"/>
    <w:rsid w:val="000255BE"/>
    <w:rsid w:val="000259C7"/>
    <w:rsid w:val="000262FC"/>
    <w:rsid w:val="00026E2D"/>
    <w:rsid w:val="000278ED"/>
    <w:rsid w:val="0003224C"/>
    <w:rsid w:val="00033FF9"/>
    <w:rsid w:val="00035C62"/>
    <w:rsid w:val="00036A89"/>
    <w:rsid w:val="00042F91"/>
    <w:rsid w:val="000436EE"/>
    <w:rsid w:val="0004373B"/>
    <w:rsid w:val="00043BCE"/>
    <w:rsid w:val="00043F31"/>
    <w:rsid w:val="000450C6"/>
    <w:rsid w:val="00045936"/>
    <w:rsid w:val="0004636C"/>
    <w:rsid w:val="00046CE9"/>
    <w:rsid w:val="000521B3"/>
    <w:rsid w:val="000530B3"/>
    <w:rsid w:val="00054640"/>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6526"/>
    <w:rsid w:val="00087088"/>
    <w:rsid w:val="00087C7A"/>
    <w:rsid w:val="000910CE"/>
    <w:rsid w:val="000917C5"/>
    <w:rsid w:val="00094B4F"/>
    <w:rsid w:val="00097C94"/>
    <w:rsid w:val="000A12A1"/>
    <w:rsid w:val="000A1E59"/>
    <w:rsid w:val="000A219E"/>
    <w:rsid w:val="000A2873"/>
    <w:rsid w:val="000A367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C8B"/>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4291"/>
    <w:rsid w:val="00135E48"/>
    <w:rsid w:val="001402A0"/>
    <w:rsid w:val="001412E3"/>
    <w:rsid w:val="001413BE"/>
    <w:rsid w:val="00142312"/>
    <w:rsid w:val="00142A1B"/>
    <w:rsid w:val="00142F98"/>
    <w:rsid w:val="00150742"/>
    <w:rsid w:val="001512BA"/>
    <w:rsid w:val="001515DD"/>
    <w:rsid w:val="001537D4"/>
    <w:rsid w:val="0015398B"/>
    <w:rsid w:val="00154001"/>
    <w:rsid w:val="00155272"/>
    <w:rsid w:val="00160804"/>
    <w:rsid w:val="00162512"/>
    <w:rsid w:val="001628D0"/>
    <w:rsid w:val="001637DD"/>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DF4"/>
    <w:rsid w:val="001A6F87"/>
    <w:rsid w:val="001A73F4"/>
    <w:rsid w:val="001A78D6"/>
    <w:rsid w:val="001B01D0"/>
    <w:rsid w:val="001B069A"/>
    <w:rsid w:val="001B1C4E"/>
    <w:rsid w:val="001B2A3C"/>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B05"/>
    <w:rsid w:val="001E467C"/>
    <w:rsid w:val="001E5CB9"/>
    <w:rsid w:val="001E5F51"/>
    <w:rsid w:val="001E642E"/>
    <w:rsid w:val="001E72B7"/>
    <w:rsid w:val="001F0D7F"/>
    <w:rsid w:val="001F410E"/>
    <w:rsid w:val="0020063A"/>
    <w:rsid w:val="002033F0"/>
    <w:rsid w:val="00205450"/>
    <w:rsid w:val="00205672"/>
    <w:rsid w:val="00206687"/>
    <w:rsid w:val="00206FC6"/>
    <w:rsid w:val="00207AC9"/>
    <w:rsid w:val="00212D4B"/>
    <w:rsid w:val="002134A8"/>
    <w:rsid w:val="00213859"/>
    <w:rsid w:val="0021475D"/>
    <w:rsid w:val="0021676A"/>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36CB1"/>
    <w:rsid w:val="00243005"/>
    <w:rsid w:val="002431BA"/>
    <w:rsid w:val="00245825"/>
    <w:rsid w:val="0024586E"/>
    <w:rsid w:val="002469EF"/>
    <w:rsid w:val="00246F8D"/>
    <w:rsid w:val="00247152"/>
    <w:rsid w:val="00247911"/>
    <w:rsid w:val="00247D6B"/>
    <w:rsid w:val="00250EE5"/>
    <w:rsid w:val="00251531"/>
    <w:rsid w:val="00253B05"/>
    <w:rsid w:val="0026342C"/>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3B24"/>
    <w:rsid w:val="0028536E"/>
    <w:rsid w:val="00287174"/>
    <w:rsid w:val="002902B6"/>
    <w:rsid w:val="0029119B"/>
    <w:rsid w:val="002924ED"/>
    <w:rsid w:val="00292E7E"/>
    <w:rsid w:val="002939E9"/>
    <w:rsid w:val="0029484E"/>
    <w:rsid w:val="002958F8"/>
    <w:rsid w:val="00296DE6"/>
    <w:rsid w:val="00296F38"/>
    <w:rsid w:val="00297AEF"/>
    <w:rsid w:val="00297BFA"/>
    <w:rsid w:val="002A4570"/>
    <w:rsid w:val="002A475E"/>
    <w:rsid w:val="002A58BF"/>
    <w:rsid w:val="002A5E78"/>
    <w:rsid w:val="002A6C8B"/>
    <w:rsid w:val="002A7E32"/>
    <w:rsid w:val="002B07B9"/>
    <w:rsid w:val="002B0EF1"/>
    <w:rsid w:val="002B0FD0"/>
    <w:rsid w:val="002B132C"/>
    <w:rsid w:val="002B3087"/>
    <w:rsid w:val="002B31F1"/>
    <w:rsid w:val="002B408A"/>
    <w:rsid w:val="002B7152"/>
    <w:rsid w:val="002B7FF7"/>
    <w:rsid w:val="002C12CC"/>
    <w:rsid w:val="002C149C"/>
    <w:rsid w:val="002C1BC1"/>
    <w:rsid w:val="002C2D40"/>
    <w:rsid w:val="002C7E1C"/>
    <w:rsid w:val="002D0644"/>
    <w:rsid w:val="002D09DD"/>
    <w:rsid w:val="002D0C9E"/>
    <w:rsid w:val="002D0D8D"/>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196E"/>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2B6E"/>
    <w:rsid w:val="003630AC"/>
    <w:rsid w:val="00363749"/>
    <w:rsid w:val="00363B8C"/>
    <w:rsid w:val="00363F44"/>
    <w:rsid w:val="003654CE"/>
    <w:rsid w:val="003659F5"/>
    <w:rsid w:val="003673C5"/>
    <w:rsid w:val="00367B8C"/>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7C05"/>
    <w:rsid w:val="00387FA1"/>
    <w:rsid w:val="003903B0"/>
    <w:rsid w:val="00391EF0"/>
    <w:rsid w:val="00394CBE"/>
    <w:rsid w:val="003979FA"/>
    <w:rsid w:val="00397A9A"/>
    <w:rsid w:val="003A11E7"/>
    <w:rsid w:val="003A193C"/>
    <w:rsid w:val="003A1E63"/>
    <w:rsid w:val="003A24FE"/>
    <w:rsid w:val="003A2D55"/>
    <w:rsid w:val="003A3475"/>
    <w:rsid w:val="003A4F4E"/>
    <w:rsid w:val="003A5304"/>
    <w:rsid w:val="003A708D"/>
    <w:rsid w:val="003A74E9"/>
    <w:rsid w:val="003A7933"/>
    <w:rsid w:val="003B0E8A"/>
    <w:rsid w:val="003B36E0"/>
    <w:rsid w:val="003B41A6"/>
    <w:rsid w:val="003B44E5"/>
    <w:rsid w:val="003B5E66"/>
    <w:rsid w:val="003B6AFB"/>
    <w:rsid w:val="003B6F67"/>
    <w:rsid w:val="003C1501"/>
    <w:rsid w:val="003C359B"/>
    <w:rsid w:val="003C4C49"/>
    <w:rsid w:val="003C6F16"/>
    <w:rsid w:val="003C758B"/>
    <w:rsid w:val="003C7B82"/>
    <w:rsid w:val="003D0D35"/>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4AA"/>
    <w:rsid w:val="003F77AD"/>
    <w:rsid w:val="003F7B0A"/>
    <w:rsid w:val="003F7DE9"/>
    <w:rsid w:val="003F7E4E"/>
    <w:rsid w:val="00401C5E"/>
    <w:rsid w:val="00402BA7"/>
    <w:rsid w:val="00402D76"/>
    <w:rsid w:val="00403C90"/>
    <w:rsid w:val="00404C5E"/>
    <w:rsid w:val="004057F8"/>
    <w:rsid w:val="0040601A"/>
    <w:rsid w:val="004079F4"/>
    <w:rsid w:val="004101BA"/>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25E"/>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198"/>
    <w:rsid w:val="004C6342"/>
    <w:rsid w:val="004C65C5"/>
    <w:rsid w:val="004C7C56"/>
    <w:rsid w:val="004D18E8"/>
    <w:rsid w:val="004D2628"/>
    <w:rsid w:val="004D441C"/>
    <w:rsid w:val="004D54C8"/>
    <w:rsid w:val="004D5854"/>
    <w:rsid w:val="004E234C"/>
    <w:rsid w:val="004E35BF"/>
    <w:rsid w:val="004E3B96"/>
    <w:rsid w:val="004E4168"/>
    <w:rsid w:val="004E480A"/>
    <w:rsid w:val="004E54D8"/>
    <w:rsid w:val="004E69C7"/>
    <w:rsid w:val="004E6B05"/>
    <w:rsid w:val="004E729E"/>
    <w:rsid w:val="004F0CEC"/>
    <w:rsid w:val="004F13E8"/>
    <w:rsid w:val="004F2A16"/>
    <w:rsid w:val="004F63EB"/>
    <w:rsid w:val="004F6812"/>
    <w:rsid w:val="004F7D01"/>
    <w:rsid w:val="00500770"/>
    <w:rsid w:val="00503361"/>
    <w:rsid w:val="005057B5"/>
    <w:rsid w:val="00506D4A"/>
    <w:rsid w:val="00507788"/>
    <w:rsid w:val="00507F6A"/>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6A45"/>
    <w:rsid w:val="005375FA"/>
    <w:rsid w:val="00540D12"/>
    <w:rsid w:val="00541BD3"/>
    <w:rsid w:val="00541DD3"/>
    <w:rsid w:val="00544C94"/>
    <w:rsid w:val="00544FE1"/>
    <w:rsid w:val="00545239"/>
    <w:rsid w:val="0054687E"/>
    <w:rsid w:val="00547C0C"/>
    <w:rsid w:val="0055085B"/>
    <w:rsid w:val="00551622"/>
    <w:rsid w:val="00551917"/>
    <w:rsid w:val="00551C33"/>
    <w:rsid w:val="00552834"/>
    <w:rsid w:val="005530A3"/>
    <w:rsid w:val="00554306"/>
    <w:rsid w:val="0055498E"/>
    <w:rsid w:val="00557025"/>
    <w:rsid w:val="0055742C"/>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49C"/>
    <w:rsid w:val="005835C9"/>
    <w:rsid w:val="005837FE"/>
    <w:rsid w:val="00584149"/>
    <w:rsid w:val="0058533D"/>
    <w:rsid w:val="00586515"/>
    <w:rsid w:val="00587187"/>
    <w:rsid w:val="00587F52"/>
    <w:rsid w:val="00591530"/>
    <w:rsid w:val="00592F37"/>
    <w:rsid w:val="00593C83"/>
    <w:rsid w:val="00593CE4"/>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6E1E"/>
    <w:rsid w:val="005F7442"/>
    <w:rsid w:val="00600234"/>
    <w:rsid w:val="00600CF2"/>
    <w:rsid w:val="00600D37"/>
    <w:rsid w:val="00601087"/>
    <w:rsid w:val="006013BE"/>
    <w:rsid w:val="00601FF8"/>
    <w:rsid w:val="006028A4"/>
    <w:rsid w:val="00605A89"/>
    <w:rsid w:val="00606657"/>
    <w:rsid w:val="00607D4C"/>
    <w:rsid w:val="00611E50"/>
    <w:rsid w:val="0061324C"/>
    <w:rsid w:val="00614B79"/>
    <w:rsid w:val="006169DA"/>
    <w:rsid w:val="00617C7C"/>
    <w:rsid w:val="00621336"/>
    <w:rsid w:val="006221CA"/>
    <w:rsid w:val="00625125"/>
    <w:rsid w:val="00625B7D"/>
    <w:rsid w:val="00625D61"/>
    <w:rsid w:val="006263ED"/>
    <w:rsid w:val="006267EE"/>
    <w:rsid w:val="006268D9"/>
    <w:rsid w:val="006320D5"/>
    <w:rsid w:val="00632588"/>
    <w:rsid w:val="006359EA"/>
    <w:rsid w:val="006374A7"/>
    <w:rsid w:val="00640D74"/>
    <w:rsid w:val="006430FD"/>
    <w:rsid w:val="0064330E"/>
    <w:rsid w:val="00643C44"/>
    <w:rsid w:val="00644CCF"/>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62D"/>
    <w:rsid w:val="00683F59"/>
    <w:rsid w:val="0068788A"/>
    <w:rsid w:val="00690F8D"/>
    <w:rsid w:val="00690FA6"/>
    <w:rsid w:val="006929D6"/>
    <w:rsid w:val="00692B88"/>
    <w:rsid w:val="00692F70"/>
    <w:rsid w:val="00695B51"/>
    <w:rsid w:val="00696ADA"/>
    <w:rsid w:val="0069773A"/>
    <w:rsid w:val="006A0EB1"/>
    <w:rsid w:val="006A4F2A"/>
    <w:rsid w:val="006A74BC"/>
    <w:rsid w:val="006A7A05"/>
    <w:rsid w:val="006B1ED3"/>
    <w:rsid w:val="006B2C8A"/>
    <w:rsid w:val="006B5775"/>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708"/>
    <w:rsid w:val="007018C9"/>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11A8"/>
    <w:rsid w:val="00744AEA"/>
    <w:rsid w:val="0074543F"/>
    <w:rsid w:val="00745DA7"/>
    <w:rsid w:val="00745F2F"/>
    <w:rsid w:val="00747543"/>
    <w:rsid w:val="007515D3"/>
    <w:rsid w:val="00752A2D"/>
    <w:rsid w:val="00755614"/>
    <w:rsid w:val="00762198"/>
    <w:rsid w:val="0077233A"/>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5E4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2A5"/>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074"/>
    <w:rsid w:val="007F66D9"/>
    <w:rsid w:val="007F7497"/>
    <w:rsid w:val="0080158C"/>
    <w:rsid w:val="008034FB"/>
    <w:rsid w:val="00803D5D"/>
    <w:rsid w:val="00804111"/>
    <w:rsid w:val="008041F5"/>
    <w:rsid w:val="00804ACA"/>
    <w:rsid w:val="00804EF6"/>
    <w:rsid w:val="008050EE"/>
    <w:rsid w:val="00805A04"/>
    <w:rsid w:val="00806C2D"/>
    <w:rsid w:val="0081096A"/>
    <w:rsid w:val="0081098B"/>
    <w:rsid w:val="008135FB"/>
    <w:rsid w:val="008137B9"/>
    <w:rsid w:val="00813913"/>
    <w:rsid w:val="00814ACA"/>
    <w:rsid w:val="00814EB5"/>
    <w:rsid w:val="0081543D"/>
    <w:rsid w:val="00815ADC"/>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6E81"/>
    <w:rsid w:val="008B722E"/>
    <w:rsid w:val="008B7355"/>
    <w:rsid w:val="008B7F69"/>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179"/>
    <w:rsid w:val="00974DFE"/>
    <w:rsid w:val="0097607D"/>
    <w:rsid w:val="0097614A"/>
    <w:rsid w:val="00976556"/>
    <w:rsid w:val="009817EF"/>
    <w:rsid w:val="009832E0"/>
    <w:rsid w:val="0098416C"/>
    <w:rsid w:val="00986057"/>
    <w:rsid w:val="0098605C"/>
    <w:rsid w:val="00986E9A"/>
    <w:rsid w:val="009878DF"/>
    <w:rsid w:val="009914DC"/>
    <w:rsid w:val="00992905"/>
    <w:rsid w:val="0099461B"/>
    <w:rsid w:val="00994A62"/>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07F83"/>
    <w:rsid w:val="00A10382"/>
    <w:rsid w:val="00A11B71"/>
    <w:rsid w:val="00A11F33"/>
    <w:rsid w:val="00A12D92"/>
    <w:rsid w:val="00A144BE"/>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30F4"/>
    <w:rsid w:val="00A44241"/>
    <w:rsid w:val="00A4461F"/>
    <w:rsid w:val="00A44726"/>
    <w:rsid w:val="00A462BE"/>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AEA"/>
    <w:rsid w:val="00A80F8A"/>
    <w:rsid w:val="00A87297"/>
    <w:rsid w:val="00A87478"/>
    <w:rsid w:val="00A8759C"/>
    <w:rsid w:val="00A91339"/>
    <w:rsid w:val="00A91907"/>
    <w:rsid w:val="00A9207B"/>
    <w:rsid w:val="00A9301F"/>
    <w:rsid w:val="00A9383D"/>
    <w:rsid w:val="00A9405B"/>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A10"/>
    <w:rsid w:val="00AD4EA0"/>
    <w:rsid w:val="00AD5CC3"/>
    <w:rsid w:val="00AD7AAC"/>
    <w:rsid w:val="00AD7B9C"/>
    <w:rsid w:val="00AE0410"/>
    <w:rsid w:val="00AE2B21"/>
    <w:rsid w:val="00AE474B"/>
    <w:rsid w:val="00AE51E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FE5"/>
    <w:rsid w:val="00B12042"/>
    <w:rsid w:val="00B142B3"/>
    <w:rsid w:val="00B14C7B"/>
    <w:rsid w:val="00B14D9C"/>
    <w:rsid w:val="00B1578E"/>
    <w:rsid w:val="00B15C88"/>
    <w:rsid w:val="00B16D97"/>
    <w:rsid w:val="00B170B2"/>
    <w:rsid w:val="00B174FF"/>
    <w:rsid w:val="00B22030"/>
    <w:rsid w:val="00B2342A"/>
    <w:rsid w:val="00B254A0"/>
    <w:rsid w:val="00B2574C"/>
    <w:rsid w:val="00B309A3"/>
    <w:rsid w:val="00B30B4C"/>
    <w:rsid w:val="00B31202"/>
    <w:rsid w:val="00B32A86"/>
    <w:rsid w:val="00B34198"/>
    <w:rsid w:val="00B34300"/>
    <w:rsid w:val="00B36291"/>
    <w:rsid w:val="00B40D1F"/>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3F6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793"/>
    <w:rsid w:val="00BA7D34"/>
    <w:rsid w:val="00BB063E"/>
    <w:rsid w:val="00BB13AE"/>
    <w:rsid w:val="00BB1698"/>
    <w:rsid w:val="00BB1B42"/>
    <w:rsid w:val="00BB6588"/>
    <w:rsid w:val="00BB76F8"/>
    <w:rsid w:val="00BC1073"/>
    <w:rsid w:val="00BC13B2"/>
    <w:rsid w:val="00BC303C"/>
    <w:rsid w:val="00BC40C0"/>
    <w:rsid w:val="00BC5875"/>
    <w:rsid w:val="00BC5FEF"/>
    <w:rsid w:val="00BC64AB"/>
    <w:rsid w:val="00BD046B"/>
    <w:rsid w:val="00BD089B"/>
    <w:rsid w:val="00BD0AAA"/>
    <w:rsid w:val="00BD16C3"/>
    <w:rsid w:val="00BD1F23"/>
    <w:rsid w:val="00BD52DD"/>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10E"/>
    <w:rsid w:val="00C416C7"/>
    <w:rsid w:val="00C4221C"/>
    <w:rsid w:val="00C427C9"/>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57DB0"/>
    <w:rsid w:val="00C608AB"/>
    <w:rsid w:val="00C609D8"/>
    <w:rsid w:val="00C60D41"/>
    <w:rsid w:val="00C63B49"/>
    <w:rsid w:val="00C63E90"/>
    <w:rsid w:val="00C64088"/>
    <w:rsid w:val="00C663F6"/>
    <w:rsid w:val="00C67A26"/>
    <w:rsid w:val="00C67CB7"/>
    <w:rsid w:val="00C67E4C"/>
    <w:rsid w:val="00C70F4E"/>
    <w:rsid w:val="00C72C78"/>
    <w:rsid w:val="00C742B8"/>
    <w:rsid w:val="00C747A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49E1"/>
    <w:rsid w:val="00CA5975"/>
    <w:rsid w:val="00CA6AF2"/>
    <w:rsid w:val="00CA70C6"/>
    <w:rsid w:val="00CA7A91"/>
    <w:rsid w:val="00CB02D9"/>
    <w:rsid w:val="00CB0419"/>
    <w:rsid w:val="00CB0D88"/>
    <w:rsid w:val="00CB1952"/>
    <w:rsid w:val="00CB366E"/>
    <w:rsid w:val="00CB3869"/>
    <w:rsid w:val="00CB3DE9"/>
    <w:rsid w:val="00CB5DC7"/>
    <w:rsid w:val="00CB74F6"/>
    <w:rsid w:val="00CB78AC"/>
    <w:rsid w:val="00CC1C23"/>
    <w:rsid w:val="00CC1C42"/>
    <w:rsid w:val="00CC4EBA"/>
    <w:rsid w:val="00CC64FA"/>
    <w:rsid w:val="00CC6E9B"/>
    <w:rsid w:val="00CD0799"/>
    <w:rsid w:val="00CD0F4F"/>
    <w:rsid w:val="00CD1235"/>
    <w:rsid w:val="00CD174A"/>
    <w:rsid w:val="00CD345D"/>
    <w:rsid w:val="00CD5113"/>
    <w:rsid w:val="00CE0FDC"/>
    <w:rsid w:val="00CE245C"/>
    <w:rsid w:val="00CE4334"/>
    <w:rsid w:val="00CE5112"/>
    <w:rsid w:val="00CE54E0"/>
    <w:rsid w:val="00CE5693"/>
    <w:rsid w:val="00CE5944"/>
    <w:rsid w:val="00CE66F3"/>
    <w:rsid w:val="00CE6B5E"/>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52DE"/>
    <w:rsid w:val="00D16B7D"/>
    <w:rsid w:val="00D170B1"/>
    <w:rsid w:val="00D17309"/>
    <w:rsid w:val="00D2016F"/>
    <w:rsid w:val="00D227EE"/>
    <w:rsid w:val="00D22E4A"/>
    <w:rsid w:val="00D25B32"/>
    <w:rsid w:val="00D263AD"/>
    <w:rsid w:val="00D27F94"/>
    <w:rsid w:val="00D30BF5"/>
    <w:rsid w:val="00D312A6"/>
    <w:rsid w:val="00D321EF"/>
    <w:rsid w:val="00D323C2"/>
    <w:rsid w:val="00D3338E"/>
    <w:rsid w:val="00D34E9E"/>
    <w:rsid w:val="00D355CD"/>
    <w:rsid w:val="00D35A3B"/>
    <w:rsid w:val="00D4019A"/>
    <w:rsid w:val="00D40A96"/>
    <w:rsid w:val="00D4155E"/>
    <w:rsid w:val="00D42815"/>
    <w:rsid w:val="00D434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51"/>
    <w:rsid w:val="00D63F94"/>
    <w:rsid w:val="00D66D7B"/>
    <w:rsid w:val="00D67304"/>
    <w:rsid w:val="00D67A20"/>
    <w:rsid w:val="00D70085"/>
    <w:rsid w:val="00D708DA"/>
    <w:rsid w:val="00D7169C"/>
    <w:rsid w:val="00D7389E"/>
    <w:rsid w:val="00D758C2"/>
    <w:rsid w:val="00D80D06"/>
    <w:rsid w:val="00D8154D"/>
    <w:rsid w:val="00D81CE5"/>
    <w:rsid w:val="00D8473C"/>
    <w:rsid w:val="00D84AAB"/>
    <w:rsid w:val="00D852E4"/>
    <w:rsid w:val="00D8541D"/>
    <w:rsid w:val="00D8653A"/>
    <w:rsid w:val="00D91E00"/>
    <w:rsid w:val="00D93D35"/>
    <w:rsid w:val="00D940FF"/>
    <w:rsid w:val="00D946D0"/>
    <w:rsid w:val="00D95519"/>
    <w:rsid w:val="00D95CA5"/>
    <w:rsid w:val="00D97CDF"/>
    <w:rsid w:val="00DA1908"/>
    <w:rsid w:val="00DA19DC"/>
    <w:rsid w:val="00DA1DDD"/>
    <w:rsid w:val="00DA26F8"/>
    <w:rsid w:val="00DA2BB9"/>
    <w:rsid w:val="00DA3D12"/>
    <w:rsid w:val="00DA5672"/>
    <w:rsid w:val="00DA5BE2"/>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C0D"/>
    <w:rsid w:val="00DE2041"/>
    <w:rsid w:val="00DE29CB"/>
    <w:rsid w:val="00DE4567"/>
    <w:rsid w:val="00DE6058"/>
    <w:rsid w:val="00DE6BCF"/>
    <w:rsid w:val="00DE73B2"/>
    <w:rsid w:val="00DE7DA9"/>
    <w:rsid w:val="00DF03B4"/>
    <w:rsid w:val="00DF1253"/>
    <w:rsid w:val="00DF1A8D"/>
    <w:rsid w:val="00DF2F56"/>
    <w:rsid w:val="00DF36E8"/>
    <w:rsid w:val="00DF3DB1"/>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567"/>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FDF"/>
    <w:rsid w:val="00E547B9"/>
    <w:rsid w:val="00E5559D"/>
    <w:rsid w:val="00E55A9C"/>
    <w:rsid w:val="00E56A9C"/>
    <w:rsid w:val="00E57296"/>
    <w:rsid w:val="00E57723"/>
    <w:rsid w:val="00E57E3A"/>
    <w:rsid w:val="00E60454"/>
    <w:rsid w:val="00E61B91"/>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A43"/>
    <w:rsid w:val="00E96E26"/>
    <w:rsid w:val="00E9787F"/>
    <w:rsid w:val="00EA25F4"/>
    <w:rsid w:val="00EA29AF"/>
    <w:rsid w:val="00EA49DF"/>
    <w:rsid w:val="00EA6475"/>
    <w:rsid w:val="00EA7F4C"/>
    <w:rsid w:val="00EB0037"/>
    <w:rsid w:val="00EB0F32"/>
    <w:rsid w:val="00EB540D"/>
    <w:rsid w:val="00EB5770"/>
    <w:rsid w:val="00EB643D"/>
    <w:rsid w:val="00EB7112"/>
    <w:rsid w:val="00EB758A"/>
    <w:rsid w:val="00EB7EB9"/>
    <w:rsid w:val="00EC1754"/>
    <w:rsid w:val="00EC17A5"/>
    <w:rsid w:val="00EC1C6F"/>
    <w:rsid w:val="00EC1ED7"/>
    <w:rsid w:val="00EC3397"/>
    <w:rsid w:val="00EC35AD"/>
    <w:rsid w:val="00EC3E68"/>
    <w:rsid w:val="00EC45FB"/>
    <w:rsid w:val="00EC5B65"/>
    <w:rsid w:val="00EC6D36"/>
    <w:rsid w:val="00EC7DFD"/>
    <w:rsid w:val="00ED0108"/>
    <w:rsid w:val="00ED1285"/>
    <w:rsid w:val="00ED172B"/>
    <w:rsid w:val="00ED2F1B"/>
    <w:rsid w:val="00ED5500"/>
    <w:rsid w:val="00ED6401"/>
    <w:rsid w:val="00EE0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E9"/>
    <w:rsid w:val="00F67E64"/>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2CB"/>
    <w:rsid w:val="00F9440E"/>
    <w:rsid w:val="00F956F1"/>
    <w:rsid w:val="00FA2128"/>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1B443-8283-4225-BCAF-FC4F8CA5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22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1">
    <w:name w:val="Tabela - Siatka1"/>
    <w:basedOn w:val="Standardowy"/>
    <w:next w:val="Tabela-Siatka"/>
    <w:uiPriority w:val="59"/>
    <w:rsid w:val="0081098B"/>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4CEE-D824-4AFE-8507-1165D99C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10509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Załącznik nr 1</vt:lpstr>
    </vt:vector>
  </TitlesOfParts>
  <Company>UDM</Company>
  <LinksUpToDate>false</LinksUpToDate>
  <CharactersWithSpaces>12236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Jacek Walski</dc:creator>
  <cp:lastModifiedBy>Urszula Broszkowska</cp:lastModifiedBy>
  <cp:revision>2</cp:revision>
  <cp:lastPrinted>2021-08-03T15:44:00Z</cp:lastPrinted>
  <dcterms:created xsi:type="dcterms:W3CDTF">2022-07-28T12:21:00Z</dcterms:created>
  <dcterms:modified xsi:type="dcterms:W3CDTF">2022-07-28T12:21:00Z</dcterms:modified>
</cp:coreProperties>
</file>