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01AFA4E" w:rsidR="0090328B" w:rsidRDefault="004104EF" w:rsidP="0090328B">
                  <w:pPr>
                    <w:pStyle w:val="Bezodstpw"/>
                    <w:rPr>
                      <w:color w:val="5B9BD5" w:themeColor="accent1"/>
                      <w:sz w:val="28"/>
                      <w:szCs w:val="28"/>
                    </w:rPr>
                  </w:pPr>
                  <w:r>
                    <w:rPr>
                      <w:color w:val="5B9BD5" w:themeColor="accent1"/>
                      <w:sz w:val="28"/>
                      <w:szCs w:val="28"/>
                    </w:rPr>
                    <w:t>2023-01-</w:t>
                  </w:r>
                  <w:r w:rsidR="00D9349F">
                    <w:rPr>
                      <w:color w:val="5B9BD5" w:themeColor="accent1"/>
                      <w:sz w:val="28"/>
                      <w:szCs w:val="28"/>
                    </w:rPr>
                    <w:t>17</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4A0D8A59"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D9349F">
          <w:rPr>
            <w:noProof/>
            <w:webHidden/>
          </w:rPr>
          <w:t>2</w:t>
        </w:r>
        <w:r w:rsidR="007061BA">
          <w:rPr>
            <w:noProof/>
            <w:webHidden/>
          </w:rPr>
          <w:fldChar w:fldCharType="end"/>
        </w:r>
      </w:hyperlink>
    </w:p>
    <w:p w14:paraId="06FEDD2D" w14:textId="4F887D08" w:rsidR="007061BA" w:rsidRDefault="00D9349F">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02224829" w:rsidR="007061BA" w:rsidRDefault="00D9349F">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72244207" w:rsidR="007061BA" w:rsidRDefault="00D9349F">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235240C3" w:rsidR="007061BA" w:rsidRDefault="00D9349F">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67C56A5F" w:rsidR="007061BA" w:rsidRDefault="00D9349F">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4AC7ABBA" w:rsidR="007061BA" w:rsidRDefault="00D9349F">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38930F21" w:rsidR="007061BA" w:rsidRDefault="00D9349F">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41B6EF0D" w:rsidR="007061BA" w:rsidRDefault="00D9349F">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19</w:t>
        </w:r>
        <w:r w:rsidR="007061BA">
          <w:rPr>
            <w:noProof/>
            <w:webHidden/>
          </w:rPr>
          <w:fldChar w:fldCharType="end"/>
        </w:r>
      </w:hyperlink>
    </w:p>
    <w:p w14:paraId="4D385737" w14:textId="1B4398F3" w:rsidR="007061BA" w:rsidRDefault="00D9349F">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0576ACAE" w14:textId="0170B28F" w:rsidR="007061BA" w:rsidRDefault="00D9349F">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2BBED5B8" w:rsidR="007061BA" w:rsidRDefault="00D9349F">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23</w:t>
        </w:r>
        <w:r w:rsidR="007061BA">
          <w:rPr>
            <w:noProof/>
            <w:webHidden/>
          </w:rPr>
          <w:fldChar w:fldCharType="end"/>
        </w:r>
      </w:hyperlink>
    </w:p>
    <w:p w14:paraId="742C12B8" w14:textId="1D4B42E6" w:rsidR="007061BA" w:rsidRDefault="00D9349F">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4BF5B7F6" w:rsidR="007061BA" w:rsidRDefault="00D9349F">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2BE9CE09" w14:textId="7494D30F" w:rsidR="007061BA" w:rsidRDefault="00D9349F">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43920AD5" w14:textId="05D04744" w:rsidR="007061BA" w:rsidRDefault="00D9349F">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54B665DE" w14:textId="28CD0B40" w:rsidR="007061BA" w:rsidRDefault="00D9349F">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746EE357" w14:textId="65DD96BE" w:rsidR="007061BA" w:rsidRDefault="00D9349F">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197CCFCB" w:rsidR="007061BA" w:rsidRDefault="00D9349F">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30</w:t>
        </w:r>
        <w:r w:rsidR="007061BA">
          <w:rPr>
            <w:noProof/>
            <w:webHidden/>
          </w:rPr>
          <w:fldChar w:fldCharType="end"/>
        </w:r>
      </w:hyperlink>
    </w:p>
    <w:p w14:paraId="762B5C1E" w14:textId="7C642CC3" w:rsidR="007061BA" w:rsidRDefault="00D9349F">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33</w:t>
        </w:r>
        <w:r w:rsidR="007061BA">
          <w:rPr>
            <w:noProof/>
            <w:webHidden/>
          </w:rPr>
          <w:fldChar w:fldCharType="end"/>
        </w:r>
      </w:hyperlink>
    </w:p>
    <w:p w14:paraId="7879D6A4" w14:textId="2E5A3710" w:rsidR="007061BA" w:rsidRDefault="00D9349F">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752C5992" w14:textId="37103D2A" w:rsidR="007061BA" w:rsidRDefault="00D9349F">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293F8F7"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D9349F" w:rsidRPr="00D9349F">
        <w:rPr>
          <w:rStyle w:val="Hipercze"/>
          <w:rFonts w:ascii="Arial" w:hAnsi="Arial" w:cs="Arial"/>
          <w:color w:val="0033CC"/>
          <w:sz w:val="24"/>
          <w:szCs w:val="24"/>
        </w:rPr>
        <w:t>716221</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F70EAB5"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DE0017" w:rsidRPr="00CC1BCD">
          <w:rPr>
            <w:rStyle w:val="Hipercze"/>
            <w:rFonts w:ascii="Arial" w:hAnsi="Arial" w:cs="Arial"/>
            <w:sz w:val="24"/>
            <w:szCs w:val="24"/>
          </w:rPr>
          <w:t>https://platformazakupowa.pl/transakcja/</w:t>
        </w:r>
        <w:r w:rsidR="00D9349F" w:rsidRPr="00D9349F">
          <w:rPr>
            <w:rStyle w:val="Hipercze"/>
            <w:rFonts w:ascii="Arial" w:hAnsi="Arial" w:cs="Arial"/>
            <w:sz w:val="24"/>
            <w:szCs w:val="24"/>
          </w:rPr>
          <w:t xml:space="preserve">716221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86FB16B"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4104EF" w:rsidRPr="004104EF">
        <w:rPr>
          <w:rStyle w:val="Hipercze"/>
          <w:rFonts w:ascii="Arial" w:hAnsi="Arial" w:cs="Arial"/>
          <w:sz w:val="24"/>
          <w:szCs w:val="24"/>
        </w:rPr>
        <w:t>711727</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B48E381"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D9349F">
        <w:rPr>
          <w:rFonts w:ascii="Arial" w:hAnsi="Arial" w:cs="Arial"/>
          <w:b/>
          <w:color w:val="000000" w:themeColor="text1"/>
          <w:sz w:val="24"/>
          <w:szCs w:val="24"/>
        </w:rPr>
        <w:t>02</w:t>
      </w:r>
      <w:r w:rsidR="00DE0017">
        <w:rPr>
          <w:rFonts w:ascii="Arial" w:hAnsi="Arial" w:cs="Arial"/>
          <w:b/>
          <w:color w:val="000000" w:themeColor="text1"/>
          <w:sz w:val="24"/>
          <w:szCs w:val="24"/>
        </w:rPr>
        <w:t>.0</w:t>
      </w:r>
      <w:r w:rsidR="00D9349F">
        <w:rPr>
          <w:rFonts w:ascii="Arial" w:hAnsi="Arial" w:cs="Arial"/>
          <w:b/>
          <w:color w:val="000000" w:themeColor="text1"/>
          <w:sz w:val="24"/>
          <w:szCs w:val="24"/>
        </w:rPr>
        <w:t>3</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284A734"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DE0017" w:rsidRPr="00CC1BCD">
          <w:rPr>
            <w:rStyle w:val="Hipercze"/>
            <w:rFonts w:ascii="Arial" w:hAnsi="Arial" w:cs="Arial"/>
            <w:sz w:val="24"/>
            <w:szCs w:val="24"/>
          </w:rPr>
          <w:t>https://platformazakupowa.pl/transakcja/</w:t>
        </w:r>
        <w:r w:rsidR="00D9349F" w:rsidRPr="00D9349F">
          <w:rPr>
            <w:rStyle w:val="Hipercze"/>
            <w:rFonts w:ascii="Arial" w:hAnsi="Arial" w:cs="Arial"/>
            <w:sz w:val="24"/>
            <w:szCs w:val="24"/>
          </w:rPr>
          <w:t xml:space="preserve">716221 </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D9349F">
        <w:rPr>
          <w:rFonts w:ascii="Arial" w:hAnsi="Arial" w:cs="Arial"/>
          <w:b/>
          <w:color w:val="000000" w:themeColor="text1"/>
          <w:sz w:val="24"/>
          <w:szCs w:val="24"/>
        </w:rPr>
        <w:t>01</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D9349F">
        <w:rPr>
          <w:rFonts w:ascii="Arial" w:hAnsi="Arial" w:cs="Arial"/>
          <w:b/>
          <w:color w:val="000000" w:themeColor="text1"/>
          <w:sz w:val="24"/>
          <w:szCs w:val="24"/>
        </w:rPr>
        <w:t>2</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FE87D5A"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D9349F">
        <w:rPr>
          <w:rFonts w:ascii="Arial" w:hAnsi="Arial" w:cs="Arial"/>
          <w:b/>
          <w:color w:val="000000" w:themeColor="text1"/>
          <w:sz w:val="24"/>
          <w:szCs w:val="24"/>
        </w:rPr>
        <w:t>01</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D9349F">
        <w:rPr>
          <w:rFonts w:ascii="Arial" w:hAnsi="Arial" w:cs="Arial"/>
          <w:b/>
          <w:color w:val="000000" w:themeColor="text1"/>
          <w:sz w:val="24"/>
          <w:szCs w:val="24"/>
        </w:rPr>
        <w:t>2</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124F50AD"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9349F">
        <w:rPr>
          <w:rFonts w:ascii="Arial" w:hAnsi="Arial" w:cs="Arial"/>
          <w:b/>
          <w:sz w:val="24"/>
          <w:szCs w:val="24"/>
        </w:rPr>
        <w:t>4</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D9349F">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59B6B1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9349F">
      <w:rPr>
        <w:rFonts w:ascii="Arial" w:hAnsi="Arial" w:cs="Arial"/>
        <w:b/>
        <w:bCs/>
        <w:sz w:val="18"/>
        <w:szCs w:val="18"/>
      </w:rPr>
      <w:t>4</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2FCEDCC"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9349F">
      <w:rPr>
        <w:rFonts w:ascii="Arial" w:hAnsi="Arial" w:cs="Arial"/>
        <w:b/>
        <w:bCs/>
        <w:sz w:val="18"/>
        <w:szCs w:val="18"/>
      </w:rPr>
      <w:t>4</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C0BE015"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104EF">
      <w:rPr>
        <w:rFonts w:ascii="Arial" w:hAnsi="Arial" w:cs="Arial"/>
        <w:b/>
        <w:bCs/>
        <w:sz w:val="18"/>
        <w:szCs w:val="18"/>
      </w:rPr>
      <w:t>2</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2DA8"/>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306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3066%20%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18452</Words>
  <Characters>110717</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cp:revision>
  <cp:lastPrinted>2023-01-17T06:26:00Z</cp:lastPrinted>
  <dcterms:created xsi:type="dcterms:W3CDTF">2022-12-21T08:58:00Z</dcterms:created>
  <dcterms:modified xsi:type="dcterms:W3CDTF">2023-01-17T06:26:00Z</dcterms:modified>
</cp:coreProperties>
</file>